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5C584" w14:textId="2AFA00FA" w:rsidR="00E8015B" w:rsidRPr="00E8015B" w:rsidRDefault="00E8015B" w:rsidP="00E8015B">
      <w:pPr>
        <w:pStyle w:val="BodyText"/>
        <w:rPr>
          <w:rFonts w:asciiTheme="majorHAnsi" w:eastAsiaTheme="majorEastAsia" w:hAnsiTheme="majorHAnsi" w:cstheme="majorBidi"/>
          <w:b/>
          <w:bCs/>
          <w:color w:val="4F81BD" w:themeColor="accent1"/>
          <w:sz w:val="32"/>
          <w:szCs w:val="32"/>
        </w:rPr>
      </w:pPr>
      <w:bookmarkStart w:id="0" w:name="X967e6925d322fe3dd85d4b81a189a8a2ae3542c"/>
      <w:r w:rsidRPr="00E8015B">
        <w:rPr>
          <w:rFonts w:asciiTheme="majorHAnsi" w:eastAsiaTheme="majorEastAsia" w:hAnsiTheme="majorHAnsi" w:cstheme="majorBidi"/>
          <w:b/>
          <w:bCs/>
          <w:color w:val="4F81BD" w:themeColor="accent1"/>
          <w:sz w:val="32"/>
          <w:szCs w:val="32"/>
        </w:rPr>
        <w:t>Image Captioning on Flickr8k: A Comparative Study of Encoder-Decoder Architectures</w:t>
      </w:r>
    </w:p>
    <w:p w14:paraId="50FC9A2C" w14:textId="73E0F34C" w:rsidR="00105678" w:rsidRDefault="00000000">
      <w:pPr>
        <w:pStyle w:val="FirstParagraph"/>
      </w:pPr>
      <w:r>
        <w:rPr>
          <w:b/>
          <w:bCs/>
        </w:rPr>
        <w:t>Piotr Salustowicz and Olgert Magilaj</w:t>
      </w:r>
      <w:r>
        <w:t xml:space="preserve"> — Team </w:t>
      </w:r>
      <w:r>
        <w:rPr>
          <w:i/>
          <w:iCs/>
        </w:rPr>
        <w:t>Neural Narrators</w:t>
      </w:r>
      <w:r>
        <w:t xml:space="preserve"> </w:t>
      </w:r>
      <w:r>
        <w:rPr>
          <w:i/>
          <w:iCs/>
        </w:rPr>
        <w:t>MSE FTP — Deep Learning — Mandatory Practical Work 03</w:t>
      </w:r>
      <w:r>
        <w:t xml:space="preserve"> </w:t>
      </w:r>
      <w:r>
        <w:rPr>
          <w:i/>
          <w:iCs/>
        </w:rPr>
        <w:t>Both authors contributed equally to this work.</w:t>
      </w:r>
      <w:r w:rsidR="00E8015B" w:rsidRPr="00E8015B">
        <w:t xml:space="preserve"> </w:t>
      </w:r>
    </w:p>
    <w:p w14:paraId="05B35EF5" w14:textId="77777777" w:rsidR="00105678" w:rsidRDefault="00000000">
      <w:pPr>
        <w:pStyle w:val="Heading2"/>
      </w:pPr>
      <w:bookmarkStart w:id="1" w:name="description-of-approach"/>
      <w:r>
        <w:t>1. Description of Approach</w:t>
      </w:r>
    </w:p>
    <w:p w14:paraId="20C7A8E0" w14:textId="77777777" w:rsidR="00F7686F" w:rsidRDefault="00F7686F">
      <w:pPr>
        <w:pStyle w:val="Heading2"/>
        <w:rPr>
          <w:rFonts w:asciiTheme="minorHAnsi" w:eastAsiaTheme="minorHAnsi" w:hAnsiTheme="minorHAnsi" w:cstheme="minorBidi"/>
          <w:b w:val="0"/>
          <w:bCs w:val="0"/>
          <w:color w:val="auto"/>
          <w:sz w:val="24"/>
          <w:szCs w:val="24"/>
        </w:rPr>
      </w:pPr>
      <w:bookmarkStart w:id="2" w:name="architectural-and-implementation-choices"/>
      <w:bookmarkEnd w:id="1"/>
      <w:r w:rsidRPr="00F7686F">
        <w:rPr>
          <w:rFonts w:asciiTheme="minorHAnsi" w:eastAsiaTheme="minorHAnsi" w:hAnsiTheme="minorHAnsi" w:cstheme="minorBidi"/>
          <w:b w:val="0"/>
          <w:bCs w:val="0"/>
          <w:color w:val="auto"/>
          <w:sz w:val="24"/>
          <w:szCs w:val="24"/>
        </w:rPr>
        <w:t>This project focuses on generating natural-language descriptions for unseen images. We implemented and compared two encoder-decoder architectures on the Flickr8k dataset: the "Show and Tell" baseline and the attention-based "Show, Attend and Tell" model. Both models utilize a shared fine-tuned ResNet-18 encoder and were trained under identical pipeline conditions. The vocabulary was constructed exclusively from the training split (minimum word frequency of 5), yielding 2,649 unique tokens, and captions were padded to 40 tokens using structural tokens (&lt;pad&gt;, &lt;</w:t>
      </w:r>
      <w:proofErr w:type="spellStart"/>
      <w:r w:rsidRPr="00F7686F">
        <w:rPr>
          <w:rFonts w:asciiTheme="minorHAnsi" w:eastAsiaTheme="minorHAnsi" w:hAnsiTheme="minorHAnsi" w:cstheme="minorBidi"/>
          <w:b w:val="0"/>
          <w:bCs w:val="0"/>
          <w:color w:val="auto"/>
          <w:sz w:val="24"/>
          <w:szCs w:val="24"/>
        </w:rPr>
        <w:t>bos</w:t>
      </w:r>
      <w:proofErr w:type="spellEnd"/>
      <w:r w:rsidRPr="00F7686F">
        <w:rPr>
          <w:rFonts w:asciiTheme="minorHAnsi" w:eastAsiaTheme="minorHAnsi" w:hAnsiTheme="minorHAnsi" w:cstheme="minorBidi"/>
          <w:b w:val="0"/>
          <w:bCs w:val="0"/>
          <w:color w:val="auto"/>
          <w:sz w:val="24"/>
          <w:szCs w:val="24"/>
        </w:rPr>
        <w:t>&gt;, &lt;</w:t>
      </w:r>
      <w:proofErr w:type="spellStart"/>
      <w:r w:rsidRPr="00F7686F">
        <w:rPr>
          <w:rFonts w:asciiTheme="minorHAnsi" w:eastAsiaTheme="minorHAnsi" w:hAnsiTheme="minorHAnsi" w:cstheme="minorBidi"/>
          <w:b w:val="0"/>
          <w:bCs w:val="0"/>
          <w:color w:val="auto"/>
          <w:sz w:val="24"/>
          <w:szCs w:val="24"/>
        </w:rPr>
        <w:t>eos</w:t>
      </w:r>
      <w:proofErr w:type="spellEnd"/>
      <w:r w:rsidRPr="00F7686F">
        <w:rPr>
          <w:rFonts w:asciiTheme="minorHAnsi" w:eastAsiaTheme="minorHAnsi" w:hAnsiTheme="minorHAnsi" w:cstheme="minorBidi"/>
          <w:b w:val="0"/>
          <w:bCs w:val="0"/>
          <w:color w:val="auto"/>
          <w:sz w:val="24"/>
          <w:szCs w:val="24"/>
        </w:rPr>
        <w:t>&gt;, &lt;</w:t>
      </w:r>
      <w:proofErr w:type="spellStart"/>
      <w:r w:rsidRPr="00F7686F">
        <w:rPr>
          <w:rFonts w:asciiTheme="minorHAnsi" w:eastAsiaTheme="minorHAnsi" w:hAnsiTheme="minorHAnsi" w:cstheme="minorBidi"/>
          <w:b w:val="0"/>
          <w:bCs w:val="0"/>
          <w:color w:val="auto"/>
          <w:sz w:val="24"/>
          <w:szCs w:val="24"/>
        </w:rPr>
        <w:t>unk</w:t>
      </w:r>
      <w:proofErr w:type="spellEnd"/>
      <w:r w:rsidRPr="00F7686F">
        <w:rPr>
          <w:rFonts w:asciiTheme="minorHAnsi" w:eastAsiaTheme="minorHAnsi" w:hAnsiTheme="minorHAnsi" w:cstheme="minorBidi"/>
          <w:b w:val="0"/>
          <w:bCs w:val="0"/>
          <w:color w:val="auto"/>
          <w:sz w:val="24"/>
          <w:szCs w:val="24"/>
        </w:rPr>
        <w:t>&gt;). Strong data augmentation (random resized crops, horizontal flips, color jitter, and grayscale conversions) was applied during training to mitigate overfitting.</w:t>
      </w:r>
      <w:r w:rsidRPr="00F7686F">
        <w:rPr>
          <w:rFonts w:asciiTheme="minorHAnsi" w:eastAsiaTheme="minorHAnsi" w:hAnsiTheme="minorHAnsi" w:cstheme="minorBidi"/>
          <w:b w:val="0"/>
          <w:bCs w:val="0"/>
          <w:color w:val="auto"/>
          <w:sz w:val="24"/>
          <w:szCs w:val="24"/>
        </w:rPr>
        <w:t xml:space="preserve"> </w:t>
      </w:r>
    </w:p>
    <w:p w14:paraId="6D33A98A" w14:textId="16219116" w:rsidR="00105678" w:rsidRDefault="00000000">
      <w:pPr>
        <w:pStyle w:val="Heading2"/>
      </w:pPr>
      <w:r>
        <w:t>2. Architectural and Implementation Choices</w:t>
      </w:r>
    </w:p>
    <w:p w14:paraId="71FC03F9" w14:textId="77777777" w:rsidR="00105678" w:rsidRDefault="00000000">
      <w:pPr>
        <w:pStyle w:val="FirstParagraph"/>
      </w:pPr>
      <w:r>
        <w:t>A fine-tuned ResNet-18 backbone serves as the feature extractor. For the baseline model, features were extracted from the final adaptive average pooling layer and projected to produce a 512-dimensional context vector. For the attention models, the network was truncated prior to pooling to preserve a 512x7x7 spatial feature map.</w:t>
      </w:r>
    </w:p>
    <w:p w14:paraId="6C315693" w14:textId="77777777" w:rsidR="00105678" w:rsidRDefault="00000000">
      <w:pPr>
        <w:pStyle w:val="BodyText"/>
      </w:pPr>
      <w:r>
        <w:t>The decoders utilize an LSTM cell. The baseline initializes states directly with the global image vector, processing 256-dimensional word embeddings sequentially. The attention decoder incorporates Bahdanau additive attention over the 49 spatial regions to compute a dynamic context vector at each time step.</w:t>
      </w:r>
    </w:p>
    <w:p w14:paraId="3BD32DA1" w14:textId="77777777" w:rsidR="00105678" w:rsidRDefault="00000000">
      <w:pPr>
        <w:pStyle w:val="BodyText"/>
      </w:pPr>
      <w:r>
        <w:rPr>
          <w:b/>
          <w:bCs/>
        </w:rPr>
        <w:t>Table 1: Training and Model Hyperparameters</w:t>
      </w:r>
    </w:p>
    <w:tbl>
      <w:tblPr>
        <w:tblStyle w:val="Table"/>
        <w:tblW w:w="5000" w:type="pct"/>
        <w:tblLook w:val="0020" w:firstRow="1" w:lastRow="0" w:firstColumn="0" w:lastColumn="0" w:noHBand="0" w:noVBand="0"/>
      </w:tblPr>
      <w:tblGrid>
        <w:gridCol w:w="4505"/>
        <w:gridCol w:w="2840"/>
        <w:gridCol w:w="2957"/>
      </w:tblGrid>
      <w:tr w:rsidR="00105678" w14:paraId="3BF0995E" w14:textId="77777777" w:rsidTr="00105678">
        <w:trPr>
          <w:cnfStyle w:val="100000000000" w:firstRow="1" w:lastRow="0" w:firstColumn="0" w:lastColumn="0" w:oddVBand="0" w:evenVBand="0" w:oddHBand="0" w:evenHBand="0" w:firstRowFirstColumn="0" w:firstRowLastColumn="0" w:lastRowFirstColumn="0" w:lastRowLastColumn="0"/>
          <w:tblHeader/>
        </w:trPr>
        <w:tc>
          <w:tcPr>
            <w:tcW w:w="0" w:type="auto"/>
          </w:tcPr>
          <w:p w14:paraId="2F8A4671" w14:textId="77777777" w:rsidR="00105678" w:rsidRPr="00487028" w:rsidRDefault="00000000">
            <w:pPr>
              <w:pStyle w:val="Compact"/>
              <w:rPr>
                <w:sz w:val="22"/>
                <w:szCs w:val="22"/>
              </w:rPr>
            </w:pPr>
            <w:r w:rsidRPr="00487028">
              <w:rPr>
                <w:sz w:val="22"/>
                <w:szCs w:val="22"/>
              </w:rPr>
              <w:t>Hyperparameter</w:t>
            </w:r>
          </w:p>
        </w:tc>
        <w:tc>
          <w:tcPr>
            <w:tcW w:w="0" w:type="auto"/>
          </w:tcPr>
          <w:p w14:paraId="66BD256E" w14:textId="77777777" w:rsidR="00105678" w:rsidRPr="00487028" w:rsidRDefault="00000000">
            <w:pPr>
              <w:pStyle w:val="Compact"/>
              <w:rPr>
                <w:sz w:val="22"/>
                <w:szCs w:val="22"/>
              </w:rPr>
            </w:pPr>
            <w:r w:rsidRPr="00487028">
              <w:rPr>
                <w:sz w:val="22"/>
                <w:szCs w:val="22"/>
              </w:rPr>
              <w:t>Baseline Configuration</w:t>
            </w:r>
          </w:p>
        </w:tc>
        <w:tc>
          <w:tcPr>
            <w:tcW w:w="0" w:type="auto"/>
          </w:tcPr>
          <w:p w14:paraId="0151D8A3" w14:textId="77777777" w:rsidR="00105678" w:rsidRPr="00487028" w:rsidRDefault="00000000">
            <w:pPr>
              <w:pStyle w:val="Compact"/>
              <w:rPr>
                <w:sz w:val="22"/>
                <w:szCs w:val="22"/>
              </w:rPr>
            </w:pPr>
            <w:r w:rsidRPr="00487028">
              <w:rPr>
                <w:sz w:val="22"/>
                <w:szCs w:val="22"/>
              </w:rPr>
              <w:t>Attention Configuration</w:t>
            </w:r>
          </w:p>
        </w:tc>
      </w:tr>
      <w:tr w:rsidR="00105678" w14:paraId="078D09CC" w14:textId="77777777">
        <w:tc>
          <w:tcPr>
            <w:tcW w:w="0" w:type="auto"/>
          </w:tcPr>
          <w:p w14:paraId="18386ED0" w14:textId="77777777" w:rsidR="00105678" w:rsidRPr="00487028" w:rsidRDefault="00000000">
            <w:pPr>
              <w:pStyle w:val="Compact"/>
              <w:rPr>
                <w:sz w:val="22"/>
                <w:szCs w:val="22"/>
              </w:rPr>
            </w:pPr>
            <w:r w:rsidRPr="00487028">
              <w:rPr>
                <w:sz w:val="22"/>
                <w:szCs w:val="22"/>
              </w:rPr>
              <w:t>Dimensions (Enc. / Embed. / Hidden)</w:t>
            </w:r>
          </w:p>
        </w:tc>
        <w:tc>
          <w:tcPr>
            <w:tcW w:w="0" w:type="auto"/>
          </w:tcPr>
          <w:p w14:paraId="47FFE154" w14:textId="77777777" w:rsidR="00105678" w:rsidRPr="00487028" w:rsidRDefault="00000000">
            <w:pPr>
              <w:pStyle w:val="Compact"/>
              <w:rPr>
                <w:sz w:val="22"/>
                <w:szCs w:val="22"/>
              </w:rPr>
            </w:pPr>
            <w:r w:rsidRPr="00487028">
              <w:rPr>
                <w:sz w:val="22"/>
                <w:szCs w:val="22"/>
              </w:rPr>
              <w:t>512 / 256 / 512</w:t>
            </w:r>
          </w:p>
        </w:tc>
        <w:tc>
          <w:tcPr>
            <w:tcW w:w="0" w:type="auto"/>
          </w:tcPr>
          <w:p w14:paraId="3E741D18" w14:textId="77777777" w:rsidR="00105678" w:rsidRPr="00487028" w:rsidRDefault="00000000">
            <w:pPr>
              <w:pStyle w:val="Compact"/>
              <w:rPr>
                <w:sz w:val="22"/>
                <w:szCs w:val="22"/>
              </w:rPr>
            </w:pPr>
            <w:r w:rsidRPr="00487028">
              <w:rPr>
                <w:sz w:val="22"/>
                <w:szCs w:val="22"/>
              </w:rPr>
              <w:t>512 / 256 / 512</w:t>
            </w:r>
          </w:p>
        </w:tc>
      </w:tr>
      <w:tr w:rsidR="00105678" w14:paraId="10640F8E" w14:textId="77777777">
        <w:tc>
          <w:tcPr>
            <w:tcW w:w="0" w:type="auto"/>
          </w:tcPr>
          <w:p w14:paraId="48BD960D" w14:textId="77777777" w:rsidR="00105678" w:rsidRPr="00487028" w:rsidRDefault="00000000">
            <w:pPr>
              <w:pStyle w:val="Compact"/>
              <w:rPr>
                <w:sz w:val="22"/>
                <w:szCs w:val="22"/>
              </w:rPr>
            </w:pPr>
            <w:r w:rsidRPr="00487028">
              <w:rPr>
                <w:sz w:val="22"/>
                <w:szCs w:val="22"/>
              </w:rPr>
              <w:t>Attention Dimensionality</w:t>
            </w:r>
          </w:p>
        </w:tc>
        <w:tc>
          <w:tcPr>
            <w:tcW w:w="0" w:type="auto"/>
          </w:tcPr>
          <w:p w14:paraId="2C323A61" w14:textId="77777777" w:rsidR="00105678" w:rsidRPr="00487028" w:rsidRDefault="00000000">
            <w:pPr>
              <w:pStyle w:val="Compact"/>
              <w:rPr>
                <w:sz w:val="22"/>
                <w:szCs w:val="22"/>
              </w:rPr>
            </w:pPr>
            <w:r w:rsidRPr="00487028">
              <w:rPr>
                <w:sz w:val="22"/>
                <w:szCs w:val="22"/>
              </w:rPr>
              <w:t>None</w:t>
            </w:r>
          </w:p>
        </w:tc>
        <w:tc>
          <w:tcPr>
            <w:tcW w:w="0" w:type="auto"/>
          </w:tcPr>
          <w:p w14:paraId="1DF663EC" w14:textId="77777777" w:rsidR="00105678" w:rsidRPr="00487028" w:rsidRDefault="00000000">
            <w:pPr>
              <w:pStyle w:val="Compact"/>
              <w:rPr>
                <w:sz w:val="22"/>
                <w:szCs w:val="22"/>
              </w:rPr>
            </w:pPr>
            <w:r w:rsidRPr="00487028">
              <w:rPr>
                <w:sz w:val="22"/>
                <w:szCs w:val="22"/>
              </w:rPr>
              <w:t>256</w:t>
            </w:r>
          </w:p>
        </w:tc>
      </w:tr>
      <w:tr w:rsidR="00105678" w14:paraId="7C9F2F18" w14:textId="77777777">
        <w:tc>
          <w:tcPr>
            <w:tcW w:w="0" w:type="auto"/>
          </w:tcPr>
          <w:p w14:paraId="69B5849D" w14:textId="77777777" w:rsidR="00105678" w:rsidRPr="00487028" w:rsidRDefault="00000000">
            <w:pPr>
              <w:pStyle w:val="Compact"/>
              <w:rPr>
                <w:sz w:val="22"/>
                <w:szCs w:val="22"/>
              </w:rPr>
            </w:pPr>
            <w:r w:rsidRPr="00487028">
              <w:rPr>
                <w:sz w:val="22"/>
                <w:szCs w:val="22"/>
              </w:rPr>
              <w:t>Dropout / Weight Decay</w:t>
            </w:r>
          </w:p>
        </w:tc>
        <w:tc>
          <w:tcPr>
            <w:tcW w:w="0" w:type="auto"/>
          </w:tcPr>
          <w:p w14:paraId="73AD668E" w14:textId="77777777" w:rsidR="00105678" w:rsidRPr="00487028" w:rsidRDefault="00000000">
            <w:pPr>
              <w:pStyle w:val="Compact"/>
              <w:rPr>
                <w:sz w:val="22"/>
                <w:szCs w:val="22"/>
              </w:rPr>
            </w:pPr>
            <w:r w:rsidRPr="00487028">
              <w:rPr>
                <w:sz w:val="22"/>
                <w:szCs w:val="22"/>
              </w:rPr>
              <w:t>0.2 / 1e-3</w:t>
            </w:r>
          </w:p>
        </w:tc>
        <w:tc>
          <w:tcPr>
            <w:tcW w:w="0" w:type="auto"/>
          </w:tcPr>
          <w:p w14:paraId="5E444886" w14:textId="77777777" w:rsidR="00105678" w:rsidRPr="00487028" w:rsidRDefault="00000000">
            <w:pPr>
              <w:pStyle w:val="Compact"/>
              <w:rPr>
                <w:sz w:val="22"/>
                <w:szCs w:val="22"/>
              </w:rPr>
            </w:pPr>
            <w:r w:rsidRPr="00487028">
              <w:rPr>
                <w:sz w:val="22"/>
                <w:szCs w:val="22"/>
              </w:rPr>
              <w:t>0.2 / 1e-3</w:t>
            </w:r>
          </w:p>
        </w:tc>
      </w:tr>
      <w:tr w:rsidR="00105678" w14:paraId="46061018" w14:textId="77777777">
        <w:tc>
          <w:tcPr>
            <w:tcW w:w="0" w:type="auto"/>
          </w:tcPr>
          <w:p w14:paraId="01DE9393" w14:textId="77777777" w:rsidR="00105678" w:rsidRPr="00487028" w:rsidRDefault="00000000">
            <w:pPr>
              <w:pStyle w:val="Compact"/>
              <w:rPr>
                <w:sz w:val="22"/>
                <w:szCs w:val="22"/>
              </w:rPr>
            </w:pPr>
            <w:r w:rsidRPr="00487028">
              <w:rPr>
                <w:sz w:val="22"/>
                <w:szCs w:val="22"/>
              </w:rPr>
              <w:t>Learning Rate (Decoder / Encoder)</w:t>
            </w:r>
          </w:p>
        </w:tc>
        <w:tc>
          <w:tcPr>
            <w:tcW w:w="0" w:type="auto"/>
          </w:tcPr>
          <w:p w14:paraId="52D01896" w14:textId="77777777" w:rsidR="00105678" w:rsidRPr="00487028" w:rsidRDefault="00000000">
            <w:pPr>
              <w:pStyle w:val="Compact"/>
              <w:rPr>
                <w:sz w:val="22"/>
                <w:szCs w:val="22"/>
              </w:rPr>
            </w:pPr>
            <w:r w:rsidRPr="00487028">
              <w:rPr>
                <w:sz w:val="22"/>
                <w:szCs w:val="22"/>
              </w:rPr>
              <w:t>5e-4 / 1e-5</w:t>
            </w:r>
          </w:p>
        </w:tc>
        <w:tc>
          <w:tcPr>
            <w:tcW w:w="0" w:type="auto"/>
          </w:tcPr>
          <w:p w14:paraId="144C1674" w14:textId="77777777" w:rsidR="00105678" w:rsidRPr="00487028" w:rsidRDefault="00000000">
            <w:pPr>
              <w:pStyle w:val="Compact"/>
              <w:rPr>
                <w:sz w:val="22"/>
                <w:szCs w:val="22"/>
              </w:rPr>
            </w:pPr>
            <w:r w:rsidRPr="00487028">
              <w:rPr>
                <w:sz w:val="22"/>
                <w:szCs w:val="22"/>
              </w:rPr>
              <w:t>5e-4 / 1e-5</w:t>
            </w:r>
          </w:p>
        </w:tc>
      </w:tr>
      <w:tr w:rsidR="00105678" w14:paraId="186D1A17" w14:textId="77777777">
        <w:tc>
          <w:tcPr>
            <w:tcW w:w="0" w:type="auto"/>
          </w:tcPr>
          <w:p w14:paraId="71A44C25" w14:textId="77777777" w:rsidR="00105678" w:rsidRPr="00487028" w:rsidRDefault="00000000">
            <w:pPr>
              <w:pStyle w:val="Compact"/>
              <w:rPr>
                <w:sz w:val="22"/>
                <w:szCs w:val="22"/>
              </w:rPr>
            </w:pPr>
            <w:r w:rsidRPr="00487028">
              <w:rPr>
                <w:sz w:val="22"/>
                <w:szCs w:val="22"/>
              </w:rPr>
              <w:t>Batch Size / Max Caption Length</w:t>
            </w:r>
          </w:p>
        </w:tc>
        <w:tc>
          <w:tcPr>
            <w:tcW w:w="0" w:type="auto"/>
          </w:tcPr>
          <w:p w14:paraId="470A2911" w14:textId="77777777" w:rsidR="00105678" w:rsidRPr="00487028" w:rsidRDefault="00000000">
            <w:pPr>
              <w:pStyle w:val="Compact"/>
              <w:rPr>
                <w:sz w:val="22"/>
                <w:szCs w:val="22"/>
              </w:rPr>
            </w:pPr>
            <w:r w:rsidRPr="00487028">
              <w:rPr>
                <w:sz w:val="22"/>
                <w:szCs w:val="22"/>
              </w:rPr>
              <w:t>64 / 40</w:t>
            </w:r>
          </w:p>
        </w:tc>
        <w:tc>
          <w:tcPr>
            <w:tcW w:w="0" w:type="auto"/>
          </w:tcPr>
          <w:p w14:paraId="6BD6544E" w14:textId="77777777" w:rsidR="00105678" w:rsidRPr="00487028" w:rsidRDefault="00000000">
            <w:pPr>
              <w:pStyle w:val="Compact"/>
              <w:rPr>
                <w:sz w:val="22"/>
                <w:szCs w:val="22"/>
              </w:rPr>
            </w:pPr>
            <w:r w:rsidRPr="00487028">
              <w:rPr>
                <w:sz w:val="22"/>
                <w:szCs w:val="22"/>
              </w:rPr>
              <w:t>64 / 40</w:t>
            </w:r>
          </w:p>
        </w:tc>
      </w:tr>
    </w:tbl>
    <w:p w14:paraId="2C8EB19C" w14:textId="77777777" w:rsidR="00105678" w:rsidRDefault="00000000">
      <w:pPr>
        <w:pStyle w:val="BodyText"/>
      </w:pPr>
      <w:r>
        <w:t>We also evaluated scaled dot-product attention, a Transformer decoder, beam-search decoding, and pretrained GloVe embeddings.</w:t>
      </w:r>
    </w:p>
    <w:p w14:paraId="79406B8F" w14:textId="77777777" w:rsidR="00105678" w:rsidRDefault="00000000">
      <w:pPr>
        <w:pStyle w:val="Heading2"/>
      </w:pPr>
      <w:bookmarkStart w:id="3" w:name="experimental-setup"/>
      <w:bookmarkEnd w:id="2"/>
      <w:r>
        <w:t>3. Experimental Setup</w:t>
      </w:r>
    </w:p>
    <w:p w14:paraId="376B4E80" w14:textId="6C9A068B" w:rsidR="00105678" w:rsidRDefault="00A91414">
      <w:pPr>
        <w:pStyle w:val="FirstParagraph"/>
      </w:pPr>
      <w:r w:rsidRPr="00A91414">
        <w:t xml:space="preserve">Models were optimized using </w:t>
      </w:r>
      <w:proofErr w:type="spellStart"/>
      <w:r w:rsidRPr="00A91414">
        <w:t>AdamW</w:t>
      </w:r>
      <w:proofErr w:type="spellEnd"/>
      <w:r w:rsidRPr="00A91414">
        <w:t xml:space="preserve"> with a linear warmup and cosine decay schedule. For the LSTM-based models, the learning rate warmed up linearly over 3 epochs; the Transformer decoder used a 5-epoch warmup to accommodate its more sensitive optimization landscape. Gradients were clipped to a maximum norm of 5.0 at every step. Regularization included a </w:t>
      </w:r>
      <w:r w:rsidRPr="00A91414">
        <w:lastRenderedPageBreak/>
        <w:t xml:space="preserve">dropout rate of 0.2 (0.1 for the Transformer decoder), weight decay of </w:t>
      </w:r>
      <w:proofErr w:type="gramStart"/>
      <w:r w:rsidRPr="00A91414">
        <w:t>1e</w:t>
      </w:r>
      <w:proofErr w:type="gramEnd"/>
      <w:r w:rsidRPr="00A91414">
        <w:t>-3, and early stopping with a patience of 15 epochs. The objective function was a masked cross-entropy loss. Training was executed using automatic mixed precision on an NVIDIA H200 GPU. The best-performing checkpoints were reloaded for final evaluation.</w:t>
      </w:r>
    </w:p>
    <w:p w14:paraId="2AAF6097" w14:textId="77777777" w:rsidR="00105678" w:rsidRDefault="00000000">
      <w:pPr>
        <w:pStyle w:val="Heading2"/>
      </w:pPr>
      <w:bookmarkStart w:id="4" w:name="quantitative-results"/>
      <w:bookmarkEnd w:id="3"/>
      <w:r>
        <w:t>4. Quantitative Results</w:t>
      </w:r>
    </w:p>
    <w:p w14:paraId="25193D66" w14:textId="77777777" w:rsidR="00105678" w:rsidRDefault="00000000">
      <w:pPr>
        <w:pStyle w:val="FirstParagraph"/>
      </w:pPr>
      <w:r>
        <w:t>Evaluation using greedy decoding revealed highly competitive results across the recurrent baselines, with the Transformer architecture demonstrating the highest absolute performance.</w:t>
      </w:r>
    </w:p>
    <w:p w14:paraId="545542E7" w14:textId="77777777" w:rsidR="00105678" w:rsidRDefault="00000000">
      <w:pPr>
        <w:pStyle w:val="BodyText"/>
      </w:pPr>
      <w:r>
        <w:rPr>
          <w:b/>
          <w:bCs/>
        </w:rPr>
        <w:t>Table 2: Test Set Evaluation Metrics (Greedy Decoding)</w:t>
      </w:r>
    </w:p>
    <w:tbl>
      <w:tblPr>
        <w:tblStyle w:val="Table"/>
        <w:tblW w:w="5000" w:type="pct"/>
        <w:tblLook w:val="0020" w:firstRow="1" w:lastRow="0" w:firstColumn="0" w:lastColumn="0" w:noHBand="0" w:noVBand="0"/>
      </w:tblPr>
      <w:tblGrid>
        <w:gridCol w:w="3682"/>
        <w:gridCol w:w="1352"/>
        <w:gridCol w:w="1268"/>
        <w:gridCol w:w="1000"/>
        <w:gridCol w:w="1000"/>
        <w:gridCol w:w="1000"/>
        <w:gridCol w:w="1000"/>
      </w:tblGrid>
      <w:tr w:rsidR="00105678" w14:paraId="21C9FFB5" w14:textId="77777777" w:rsidTr="00105678">
        <w:trPr>
          <w:cnfStyle w:val="100000000000" w:firstRow="1" w:lastRow="0" w:firstColumn="0" w:lastColumn="0" w:oddVBand="0" w:evenVBand="0" w:oddHBand="0" w:evenHBand="0" w:firstRowFirstColumn="0" w:firstRowLastColumn="0" w:lastRowFirstColumn="0" w:lastRowLastColumn="0"/>
          <w:tblHeader/>
        </w:trPr>
        <w:tc>
          <w:tcPr>
            <w:tcW w:w="0" w:type="auto"/>
          </w:tcPr>
          <w:p w14:paraId="65F47161" w14:textId="77777777" w:rsidR="00105678" w:rsidRPr="00487028" w:rsidRDefault="00000000">
            <w:pPr>
              <w:pStyle w:val="Compact"/>
              <w:rPr>
                <w:sz w:val="22"/>
                <w:szCs w:val="22"/>
              </w:rPr>
            </w:pPr>
            <w:r w:rsidRPr="00487028">
              <w:rPr>
                <w:sz w:val="22"/>
                <w:szCs w:val="22"/>
              </w:rPr>
              <w:t>Model Architecture</w:t>
            </w:r>
          </w:p>
        </w:tc>
        <w:tc>
          <w:tcPr>
            <w:tcW w:w="0" w:type="auto"/>
          </w:tcPr>
          <w:p w14:paraId="6DAE91CB" w14:textId="77777777" w:rsidR="00105678" w:rsidRPr="00487028" w:rsidRDefault="00000000">
            <w:pPr>
              <w:pStyle w:val="Compact"/>
              <w:rPr>
                <w:sz w:val="22"/>
                <w:szCs w:val="22"/>
              </w:rPr>
            </w:pPr>
            <w:r w:rsidRPr="00487028">
              <w:rPr>
                <w:sz w:val="22"/>
                <w:szCs w:val="22"/>
              </w:rPr>
              <w:t>Best Epoch</w:t>
            </w:r>
          </w:p>
        </w:tc>
        <w:tc>
          <w:tcPr>
            <w:tcW w:w="0" w:type="auto"/>
          </w:tcPr>
          <w:p w14:paraId="5D1C06BD" w14:textId="77777777" w:rsidR="00105678" w:rsidRPr="00487028" w:rsidRDefault="00000000">
            <w:pPr>
              <w:pStyle w:val="Compact"/>
              <w:rPr>
                <w:sz w:val="22"/>
                <w:szCs w:val="22"/>
              </w:rPr>
            </w:pPr>
            <w:r w:rsidRPr="00487028">
              <w:rPr>
                <w:sz w:val="22"/>
                <w:szCs w:val="22"/>
              </w:rPr>
              <w:t>Perplexity</w:t>
            </w:r>
          </w:p>
        </w:tc>
        <w:tc>
          <w:tcPr>
            <w:tcW w:w="0" w:type="auto"/>
          </w:tcPr>
          <w:p w14:paraId="173B7361" w14:textId="77777777" w:rsidR="00105678" w:rsidRPr="00487028" w:rsidRDefault="00000000">
            <w:pPr>
              <w:pStyle w:val="Compact"/>
              <w:rPr>
                <w:sz w:val="22"/>
                <w:szCs w:val="22"/>
              </w:rPr>
            </w:pPr>
            <w:r w:rsidRPr="00487028">
              <w:rPr>
                <w:sz w:val="22"/>
                <w:szCs w:val="22"/>
              </w:rPr>
              <w:t>BLEU-1</w:t>
            </w:r>
          </w:p>
        </w:tc>
        <w:tc>
          <w:tcPr>
            <w:tcW w:w="0" w:type="auto"/>
          </w:tcPr>
          <w:p w14:paraId="5EC6073C" w14:textId="77777777" w:rsidR="00105678" w:rsidRPr="00487028" w:rsidRDefault="00000000">
            <w:pPr>
              <w:pStyle w:val="Compact"/>
              <w:rPr>
                <w:sz w:val="22"/>
                <w:szCs w:val="22"/>
              </w:rPr>
            </w:pPr>
            <w:r w:rsidRPr="00487028">
              <w:rPr>
                <w:sz w:val="22"/>
                <w:szCs w:val="22"/>
              </w:rPr>
              <w:t>BLEU-2</w:t>
            </w:r>
          </w:p>
        </w:tc>
        <w:tc>
          <w:tcPr>
            <w:tcW w:w="0" w:type="auto"/>
          </w:tcPr>
          <w:p w14:paraId="6E106F12" w14:textId="77777777" w:rsidR="00105678" w:rsidRPr="00487028" w:rsidRDefault="00000000">
            <w:pPr>
              <w:pStyle w:val="Compact"/>
              <w:rPr>
                <w:sz w:val="22"/>
                <w:szCs w:val="22"/>
              </w:rPr>
            </w:pPr>
            <w:r w:rsidRPr="00487028">
              <w:rPr>
                <w:sz w:val="22"/>
                <w:szCs w:val="22"/>
              </w:rPr>
              <w:t>BLEU-3</w:t>
            </w:r>
          </w:p>
        </w:tc>
        <w:tc>
          <w:tcPr>
            <w:tcW w:w="0" w:type="auto"/>
          </w:tcPr>
          <w:p w14:paraId="0782036C" w14:textId="77777777" w:rsidR="00105678" w:rsidRPr="00487028" w:rsidRDefault="00000000">
            <w:pPr>
              <w:pStyle w:val="Compact"/>
              <w:rPr>
                <w:sz w:val="22"/>
                <w:szCs w:val="22"/>
              </w:rPr>
            </w:pPr>
            <w:r w:rsidRPr="00487028">
              <w:rPr>
                <w:sz w:val="22"/>
                <w:szCs w:val="22"/>
              </w:rPr>
              <w:t>BLEU-4</w:t>
            </w:r>
          </w:p>
        </w:tc>
      </w:tr>
      <w:tr w:rsidR="00105678" w14:paraId="10102FB7" w14:textId="77777777">
        <w:tc>
          <w:tcPr>
            <w:tcW w:w="0" w:type="auto"/>
          </w:tcPr>
          <w:p w14:paraId="5D638271" w14:textId="77777777" w:rsidR="00105678" w:rsidRPr="00487028" w:rsidRDefault="00000000">
            <w:pPr>
              <w:pStyle w:val="Compact"/>
              <w:rPr>
                <w:sz w:val="22"/>
                <w:szCs w:val="22"/>
              </w:rPr>
            </w:pPr>
            <w:r w:rsidRPr="00487028">
              <w:rPr>
                <w:sz w:val="22"/>
                <w:szCs w:val="22"/>
              </w:rPr>
              <w:t>Show and Tell (Baseline)</w:t>
            </w:r>
          </w:p>
        </w:tc>
        <w:tc>
          <w:tcPr>
            <w:tcW w:w="0" w:type="auto"/>
          </w:tcPr>
          <w:p w14:paraId="4D901206" w14:textId="77777777" w:rsidR="00105678" w:rsidRPr="00487028" w:rsidRDefault="00000000">
            <w:pPr>
              <w:pStyle w:val="Compact"/>
              <w:rPr>
                <w:sz w:val="22"/>
                <w:szCs w:val="22"/>
              </w:rPr>
            </w:pPr>
            <w:r w:rsidRPr="00487028">
              <w:rPr>
                <w:sz w:val="22"/>
                <w:szCs w:val="22"/>
              </w:rPr>
              <w:t>11</w:t>
            </w:r>
          </w:p>
        </w:tc>
        <w:tc>
          <w:tcPr>
            <w:tcW w:w="0" w:type="auto"/>
          </w:tcPr>
          <w:p w14:paraId="2B105C61" w14:textId="77777777" w:rsidR="00105678" w:rsidRPr="00487028" w:rsidRDefault="00000000">
            <w:pPr>
              <w:pStyle w:val="Compact"/>
              <w:rPr>
                <w:sz w:val="22"/>
                <w:szCs w:val="22"/>
              </w:rPr>
            </w:pPr>
            <w:r w:rsidRPr="00487028">
              <w:rPr>
                <w:sz w:val="22"/>
                <w:szCs w:val="22"/>
              </w:rPr>
              <w:t>14.61</w:t>
            </w:r>
          </w:p>
        </w:tc>
        <w:tc>
          <w:tcPr>
            <w:tcW w:w="0" w:type="auto"/>
          </w:tcPr>
          <w:p w14:paraId="2DB4B3CE" w14:textId="77777777" w:rsidR="00105678" w:rsidRPr="00487028" w:rsidRDefault="00000000">
            <w:pPr>
              <w:pStyle w:val="Compact"/>
              <w:rPr>
                <w:sz w:val="22"/>
                <w:szCs w:val="22"/>
              </w:rPr>
            </w:pPr>
            <w:r w:rsidRPr="00487028">
              <w:rPr>
                <w:sz w:val="22"/>
                <w:szCs w:val="22"/>
              </w:rPr>
              <w:t>0.5871</w:t>
            </w:r>
          </w:p>
        </w:tc>
        <w:tc>
          <w:tcPr>
            <w:tcW w:w="0" w:type="auto"/>
          </w:tcPr>
          <w:p w14:paraId="0862B304" w14:textId="77777777" w:rsidR="00105678" w:rsidRPr="00487028" w:rsidRDefault="00000000">
            <w:pPr>
              <w:pStyle w:val="Compact"/>
              <w:rPr>
                <w:sz w:val="22"/>
                <w:szCs w:val="22"/>
              </w:rPr>
            </w:pPr>
            <w:r w:rsidRPr="00487028">
              <w:rPr>
                <w:sz w:val="22"/>
                <w:szCs w:val="22"/>
              </w:rPr>
              <w:t>0.4068</w:t>
            </w:r>
          </w:p>
        </w:tc>
        <w:tc>
          <w:tcPr>
            <w:tcW w:w="0" w:type="auto"/>
          </w:tcPr>
          <w:p w14:paraId="4D7A5760" w14:textId="77777777" w:rsidR="00105678" w:rsidRPr="00487028" w:rsidRDefault="00000000">
            <w:pPr>
              <w:pStyle w:val="Compact"/>
              <w:rPr>
                <w:sz w:val="22"/>
                <w:szCs w:val="22"/>
              </w:rPr>
            </w:pPr>
            <w:r w:rsidRPr="00487028">
              <w:rPr>
                <w:sz w:val="22"/>
                <w:szCs w:val="22"/>
              </w:rPr>
              <w:t>0.2708</w:t>
            </w:r>
          </w:p>
        </w:tc>
        <w:tc>
          <w:tcPr>
            <w:tcW w:w="0" w:type="auto"/>
          </w:tcPr>
          <w:p w14:paraId="6976DD2E" w14:textId="77777777" w:rsidR="00105678" w:rsidRPr="00487028" w:rsidRDefault="00000000">
            <w:pPr>
              <w:pStyle w:val="Compact"/>
              <w:rPr>
                <w:sz w:val="22"/>
                <w:szCs w:val="22"/>
              </w:rPr>
            </w:pPr>
            <w:r w:rsidRPr="00487028">
              <w:rPr>
                <w:sz w:val="22"/>
                <w:szCs w:val="22"/>
              </w:rPr>
              <w:t>0.1782</w:t>
            </w:r>
          </w:p>
        </w:tc>
      </w:tr>
      <w:tr w:rsidR="00105678" w14:paraId="45BDDBD9" w14:textId="77777777">
        <w:tc>
          <w:tcPr>
            <w:tcW w:w="0" w:type="auto"/>
          </w:tcPr>
          <w:p w14:paraId="58033893" w14:textId="77777777" w:rsidR="00105678" w:rsidRPr="00487028" w:rsidRDefault="00000000">
            <w:pPr>
              <w:pStyle w:val="Compact"/>
              <w:rPr>
                <w:sz w:val="22"/>
                <w:szCs w:val="22"/>
              </w:rPr>
            </w:pPr>
            <w:r w:rsidRPr="00487028">
              <w:rPr>
                <w:sz w:val="22"/>
                <w:szCs w:val="22"/>
              </w:rPr>
              <w:t>Show, Attend and Tell (Bahdanau)</w:t>
            </w:r>
          </w:p>
        </w:tc>
        <w:tc>
          <w:tcPr>
            <w:tcW w:w="0" w:type="auto"/>
          </w:tcPr>
          <w:p w14:paraId="0E9E48FB" w14:textId="77777777" w:rsidR="00105678" w:rsidRPr="00487028" w:rsidRDefault="00000000">
            <w:pPr>
              <w:pStyle w:val="Compact"/>
              <w:rPr>
                <w:sz w:val="22"/>
                <w:szCs w:val="22"/>
              </w:rPr>
            </w:pPr>
            <w:r w:rsidRPr="00487028">
              <w:rPr>
                <w:sz w:val="22"/>
                <w:szCs w:val="22"/>
              </w:rPr>
              <w:t>11</w:t>
            </w:r>
          </w:p>
        </w:tc>
        <w:tc>
          <w:tcPr>
            <w:tcW w:w="0" w:type="auto"/>
          </w:tcPr>
          <w:p w14:paraId="69627609" w14:textId="77777777" w:rsidR="00105678" w:rsidRPr="00487028" w:rsidRDefault="00000000">
            <w:pPr>
              <w:pStyle w:val="Compact"/>
              <w:rPr>
                <w:sz w:val="22"/>
                <w:szCs w:val="22"/>
              </w:rPr>
            </w:pPr>
            <w:r w:rsidRPr="00487028">
              <w:rPr>
                <w:sz w:val="22"/>
                <w:szCs w:val="22"/>
              </w:rPr>
              <w:t>14.68</w:t>
            </w:r>
          </w:p>
        </w:tc>
        <w:tc>
          <w:tcPr>
            <w:tcW w:w="0" w:type="auto"/>
          </w:tcPr>
          <w:p w14:paraId="01572199" w14:textId="77777777" w:rsidR="00105678" w:rsidRPr="00487028" w:rsidRDefault="00000000">
            <w:pPr>
              <w:pStyle w:val="Compact"/>
              <w:rPr>
                <w:sz w:val="22"/>
                <w:szCs w:val="22"/>
              </w:rPr>
            </w:pPr>
            <w:r w:rsidRPr="00487028">
              <w:rPr>
                <w:sz w:val="22"/>
                <w:szCs w:val="22"/>
              </w:rPr>
              <w:t>0.5883</w:t>
            </w:r>
          </w:p>
        </w:tc>
        <w:tc>
          <w:tcPr>
            <w:tcW w:w="0" w:type="auto"/>
          </w:tcPr>
          <w:p w14:paraId="06B09465" w14:textId="77777777" w:rsidR="00105678" w:rsidRPr="00487028" w:rsidRDefault="00000000">
            <w:pPr>
              <w:pStyle w:val="Compact"/>
              <w:rPr>
                <w:sz w:val="22"/>
                <w:szCs w:val="22"/>
              </w:rPr>
            </w:pPr>
            <w:r w:rsidRPr="00487028">
              <w:rPr>
                <w:sz w:val="22"/>
                <w:szCs w:val="22"/>
              </w:rPr>
              <w:t>0.4096</w:t>
            </w:r>
          </w:p>
        </w:tc>
        <w:tc>
          <w:tcPr>
            <w:tcW w:w="0" w:type="auto"/>
          </w:tcPr>
          <w:p w14:paraId="3F39A7CE" w14:textId="77777777" w:rsidR="00105678" w:rsidRPr="00487028" w:rsidRDefault="00000000">
            <w:pPr>
              <w:pStyle w:val="Compact"/>
              <w:rPr>
                <w:sz w:val="22"/>
                <w:szCs w:val="22"/>
              </w:rPr>
            </w:pPr>
            <w:r w:rsidRPr="00487028">
              <w:rPr>
                <w:sz w:val="22"/>
                <w:szCs w:val="22"/>
              </w:rPr>
              <w:t>0.2774</w:t>
            </w:r>
          </w:p>
        </w:tc>
        <w:tc>
          <w:tcPr>
            <w:tcW w:w="0" w:type="auto"/>
          </w:tcPr>
          <w:p w14:paraId="21E76942" w14:textId="77777777" w:rsidR="00105678" w:rsidRPr="00487028" w:rsidRDefault="00000000">
            <w:pPr>
              <w:pStyle w:val="Compact"/>
              <w:rPr>
                <w:sz w:val="22"/>
                <w:szCs w:val="22"/>
              </w:rPr>
            </w:pPr>
            <w:r w:rsidRPr="00487028">
              <w:rPr>
                <w:sz w:val="22"/>
                <w:szCs w:val="22"/>
              </w:rPr>
              <w:t>0.1862</w:t>
            </w:r>
          </w:p>
        </w:tc>
      </w:tr>
      <w:tr w:rsidR="00105678" w14:paraId="51C046BE" w14:textId="77777777">
        <w:tc>
          <w:tcPr>
            <w:tcW w:w="0" w:type="auto"/>
          </w:tcPr>
          <w:p w14:paraId="1FA7E9A1" w14:textId="77777777" w:rsidR="00105678" w:rsidRPr="00487028" w:rsidRDefault="00000000">
            <w:pPr>
              <w:pStyle w:val="Compact"/>
              <w:rPr>
                <w:sz w:val="22"/>
                <w:szCs w:val="22"/>
              </w:rPr>
            </w:pPr>
            <w:r w:rsidRPr="00487028">
              <w:rPr>
                <w:sz w:val="22"/>
                <w:szCs w:val="22"/>
              </w:rPr>
              <w:t>Dot-Product Attention LSTM</w:t>
            </w:r>
          </w:p>
        </w:tc>
        <w:tc>
          <w:tcPr>
            <w:tcW w:w="0" w:type="auto"/>
          </w:tcPr>
          <w:p w14:paraId="07BA7825" w14:textId="77777777" w:rsidR="00105678" w:rsidRPr="00487028" w:rsidRDefault="00000000">
            <w:pPr>
              <w:pStyle w:val="Compact"/>
              <w:rPr>
                <w:sz w:val="22"/>
                <w:szCs w:val="22"/>
              </w:rPr>
            </w:pPr>
            <w:r w:rsidRPr="00487028">
              <w:rPr>
                <w:sz w:val="22"/>
                <w:szCs w:val="22"/>
              </w:rPr>
              <w:t>11</w:t>
            </w:r>
          </w:p>
        </w:tc>
        <w:tc>
          <w:tcPr>
            <w:tcW w:w="0" w:type="auto"/>
          </w:tcPr>
          <w:p w14:paraId="179FCED4" w14:textId="77777777" w:rsidR="00105678" w:rsidRPr="00487028" w:rsidRDefault="00000000">
            <w:pPr>
              <w:pStyle w:val="Compact"/>
              <w:rPr>
                <w:sz w:val="22"/>
                <w:szCs w:val="22"/>
              </w:rPr>
            </w:pPr>
            <w:r w:rsidRPr="00487028">
              <w:rPr>
                <w:sz w:val="22"/>
                <w:szCs w:val="22"/>
              </w:rPr>
              <w:t>14.27</w:t>
            </w:r>
          </w:p>
        </w:tc>
        <w:tc>
          <w:tcPr>
            <w:tcW w:w="0" w:type="auto"/>
          </w:tcPr>
          <w:p w14:paraId="68CE5502" w14:textId="77777777" w:rsidR="00105678" w:rsidRPr="00487028" w:rsidRDefault="00000000">
            <w:pPr>
              <w:pStyle w:val="Compact"/>
              <w:rPr>
                <w:sz w:val="22"/>
                <w:szCs w:val="22"/>
              </w:rPr>
            </w:pPr>
            <w:r w:rsidRPr="00487028">
              <w:rPr>
                <w:sz w:val="22"/>
                <w:szCs w:val="22"/>
              </w:rPr>
              <w:t>0.5915</w:t>
            </w:r>
          </w:p>
        </w:tc>
        <w:tc>
          <w:tcPr>
            <w:tcW w:w="0" w:type="auto"/>
          </w:tcPr>
          <w:p w14:paraId="4EA01E31" w14:textId="77777777" w:rsidR="00105678" w:rsidRPr="00487028" w:rsidRDefault="00000000">
            <w:pPr>
              <w:pStyle w:val="Compact"/>
              <w:rPr>
                <w:sz w:val="22"/>
                <w:szCs w:val="22"/>
              </w:rPr>
            </w:pPr>
            <w:r w:rsidRPr="00487028">
              <w:rPr>
                <w:sz w:val="22"/>
                <w:szCs w:val="22"/>
              </w:rPr>
              <w:t>0.4148</w:t>
            </w:r>
          </w:p>
        </w:tc>
        <w:tc>
          <w:tcPr>
            <w:tcW w:w="0" w:type="auto"/>
          </w:tcPr>
          <w:p w14:paraId="6FB3304A" w14:textId="77777777" w:rsidR="00105678" w:rsidRPr="00487028" w:rsidRDefault="00000000">
            <w:pPr>
              <w:pStyle w:val="Compact"/>
              <w:rPr>
                <w:sz w:val="22"/>
                <w:szCs w:val="22"/>
              </w:rPr>
            </w:pPr>
            <w:r w:rsidRPr="00487028">
              <w:rPr>
                <w:sz w:val="22"/>
                <w:szCs w:val="22"/>
              </w:rPr>
              <w:t>0.2796</w:t>
            </w:r>
          </w:p>
        </w:tc>
        <w:tc>
          <w:tcPr>
            <w:tcW w:w="0" w:type="auto"/>
          </w:tcPr>
          <w:p w14:paraId="485075B4" w14:textId="77777777" w:rsidR="00105678" w:rsidRPr="00487028" w:rsidRDefault="00000000">
            <w:pPr>
              <w:pStyle w:val="Compact"/>
              <w:rPr>
                <w:sz w:val="22"/>
                <w:szCs w:val="22"/>
              </w:rPr>
            </w:pPr>
            <w:r w:rsidRPr="00487028">
              <w:rPr>
                <w:sz w:val="22"/>
                <w:szCs w:val="22"/>
              </w:rPr>
              <w:t>0.1866</w:t>
            </w:r>
          </w:p>
        </w:tc>
      </w:tr>
      <w:tr w:rsidR="00105678" w14:paraId="6B42F1EB" w14:textId="77777777">
        <w:tc>
          <w:tcPr>
            <w:tcW w:w="0" w:type="auto"/>
          </w:tcPr>
          <w:p w14:paraId="5866C462" w14:textId="77777777" w:rsidR="00105678" w:rsidRPr="00487028" w:rsidRDefault="00000000">
            <w:pPr>
              <w:pStyle w:val="Compact"/>
              <w:rPr>
                <w:sz w:val="22"/>
                <w:szCs w:val="22"/>
              </w:rPr>
            </w:pPr>
            <w:r w:rsidRPr="00487028">
              <w:rPr>
                <w:sz w:val="22"/>
                <w:szCs w:val="22"/>
              </w:rPr>
              <w:t>Transformer Decoder</w:t>
            </w:r>
          </w:p>
        </w:tc>
        <w:tc>
          <w:tcPr>
            <w:tcW w:w="0" w:type="auto"/>
          </w:tcPr>
          <w:p w14:paraId="7988C9E0" w14:textId="77777777" w:rsidR="00105678" w:rsidRPr="00487028" w:rsidRDefault="00000000">
            <w:pPr>
              <w:pStyle w:val="Compact"/>
              <w:rPr>
                <w:sz w:val="22"/>
                <w:szCs w:val="22"/>
              </w:rPr>
            </w:pPr>
            <w:r w:rsidRPr="00487028">
              <w:rPr>
                <w:sz w:val="22"/>
                <w:szCs w:val="22"/>
              </w:rPr>
              <w:t>9</w:t>
            </w:r>
          </w:p>
        </w:tc>
        <w:tc>
          <w:tcPr>
            <w:tcW w:w="0" w:type="auto"/>
          </w:tcPr>
          <w:p w14:paraId="0FB59442" w14:textId="77777777" w:rsidR="00105678" w:rsidRPr="00487028" w:rsidRDefault="00000000">
            <w:pPr>
              <w:pStyle w:val="Compact"/>
              <w:rPr>
                <w:sz w:val="22"/>
                <w:szCs w:val="22"/>
              </w:rPr>
            </w:pPr>
            <w:r w:rsidRPr="00487028">
              <w:rPr>
                <w:sz w:val="22"/>
                <w:szCs w:val="22"/>
              </w:rPr>
              <w:t>14.21</w:t>
            </w:r>
          </w:p>
        </w:tc>
        <w:tc>
          <w:tcPr>
            <w:tcW w:w="0" w:type="auto"/>
          </w:tcPr>
          <w:p w14:paraId="44056172" w14:textId="77777777" w:rsidR="00105678" w:rsidRPr="00487028" w:rsidRDefault="00000000">
            <w:pPr>
              <w:pStyle w:val="Compact"/>
              <w:rPr>
                <w:sz w:val="22"/>
                <w:szCs w:val="22"/>
              </w:rPr>
            </w:pPr>
            <w:r w:rsidRPr="00487028">
              <w:rPr>
                <w:sz w:val="22"/>
                <w:szCs w:val="22"/>
              </w:rPr>
              <w:t>0.6151</w:t>
            </w:r>
          </w:p>
        </w:tc>
        <w:tc>
          <w:tcPr>
            <w:tcW w:w="0" w:type="auto"/>
          </w:tcPr>
          <w:p w14:paraId="1D783878" w14:textId="77777777" w:rsidR="00105678" w:rsidRPr="00487028" w:rsidRDefault="00000000">
            <w:pPr>
              <w:pStyle w:val="Compact"/>
              <w:rPr>
                <w:sz w:val="22"/>
                <w:szCs w:val="22"/>
              </w:rPr>
            </w:pPr>
            <w:r w:rsidRPr="00487028">
              <w:rPr>
                <w:sz w:val="22"/>
                <w:szCs w:val="22"/>
              </w:rPr>
              <w:t>0.4340</w:t>
            </w:r>
          </w:p>
        </w:tc>
        <w:tc>
          <w:tcPr>
            <w:tcW w:w="0" w:type="auto"/>
          </w:tcPr>
          <w:p w14:paraId="281B1635" w14:textId="77777777" w:rsidR="00105678" w:rsidRPr="00487028" w:rsidRDefault="00000000">
            <w:pPr>
              <w:pStyle w:val="Compact"/>
              <w:rPr>
                <w:sz w:val="22"/>
                <w:szCs w:val="22"/>
              </w:rPr>
            </w:pPr>
            <w:r w:rsidRPr="00487028">
              <w:rPr>
                <w:sz w:val="22"/>
                <w:szCs w:val="22"/>
              </w:rPr>
              <w:t>0.2983</w:t>
            </w:r>
          </w:p>
        </w:tc>
        <w:tc>
          <w:tcPr>
            <w:tcW w:w="0" w:type="auto"/>
          </w:tcPr>
          <w:p w14:paraId="322FB517" w14:textId="77777777" w:rsidR="00105678" w:rsidRPr="00487028" w:rsidRDefault="00000000">
            <w:pPr>
              <w:pStyle w:val="Compact"/>
              <w:rPr>
                <w:sz w:val="22"/>
                <w:szCs w:val="22"/>
              </w:rPr>
            </w:pPr>
            <w:r w:rsidRPr="00487028">
              <w:rPr>
                <w:sz w:val="22"/>
                <w:szCs w:val="22"/>
              </w:rPr>
              <w:t>0.2047</w:t>
            </w:r>
          </w:p>
        </w:tc>
      </w:tr>
    </w:tbl>
    <w:p w14:paraId="0247B7EA" w14:textId="77777777" w:rsidR="00105678" w:rsidRDefault="00000000">
      <w:pPr>
        <w:pStyle w:val="BodyText"/>
      </w:pPr>
      <w:r>
        <w:t>While training loss decreased consistently, validation loss reached its optimum early (around epochs 9 to 12) before diverging, indicating overfitting due to the constrained sample size of the dataset.</w:t>
      </w:r>
    </w:p>
    <w:p w14:paraId="125E1E8D" w14:textId="098EF612" w:rsidR="00487028" w:rsidRDefault="00487028" w:rsidP="00487028">
      <w:pPr>
        <w:pStyle w:val="CaptionedFigure"/>
        <w:jc w:val="center"/>
      </w:pPr>
      <w:r>
        <w:rPr>
          <w:noProof/>
        </w:rPr>
        <w:drawing>
          <wp:inline distT="0" distB="0" distL="0" distR="0" wp14:anchorId="0B84099E" wp14:editId="0606D4FB">
            <wp:extent cx="3193145" cy="1504950"/>
            <wp:effectExtent l="0" t="0" r="0" b="0"/>
            <wp:docPr id="27" name="Picture" descr="Validation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val_loss_showtell.png"/>
                    <pic:cNvPicPr>
                      <a:picLocks noChangeAspect="1" noChangeArrowheads="1"/>
                    </pic:cNvPicPr>
                  </pic:nvPicPr>
                  <pic:blipFill rotWithShape="1">
                    <a:blip r:embed="rId7"/>
                    <a:srcRect t="87" b="87"/>
                    <a:stretch>
                      <a:fillRect/>
                    </a:stretch>
                  </pic:blipFill>
                  <pic:spPr bwMode="auto">
                    <a:xfrm>
                      <a:off x="0" y="0"/>
                      <a:ext cx="3198737" cy="1507585"/>
                    </a:xfrm>
                    <a:prstGeom prst="rect">
                      <a:avLst/>
                    </a:prstGeom>
                    <a:noFill/>
                    <a:ln w="9525">
                      <a:noFill/>
                      <a:headEnd/>
                      <a:tailEnd/>
                    </a:ln>
                  </pic:spPr>
                </pic:pic>
              </a:graphicData>
            </a:graphic>
          </wp:inline>
        </w:drawing>
      </w:r>
      <w:r>
        <w:rPr>
          <w:noProof/>
        </w:rPr>
        <w:drawing>
          <wp:inline distT="0" distB="0" distL="0" distR="0" wp14:anchorId="7F381270" wp14:editId="3E263055">
            <wp:extent cx="3193147" cy="1504950"/>
            <wp:effectExtent l="0" t="0" r="0" b="0"/>
            <wp:docPr id="24" name="Picture" descr="Training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train_loss_showtell.png"/>
                    <pic:cNvPicPr>
                      <a:picLocks noChangeAspect="1" noChangeArrowheads="1"/>
                    </pic:cNvPicPr>
                  </pic:nvPicPr>
                  <pic:blipFill>
                    <a:blip r:embed="rId8"/>
                    <a:stretch>
                      <a:fillRect/>
                    </a:stretch>
                  </pic:blipFill>
                  <pic:spPr bwMode="auto">
                    <a:xfrm>
                      <a:off x="0" y="0"/>
                      <a:ext cx="3198076" cy="1507273"/>
                    </a:xfrm>
                    <a:prstGeom prst="rect">
                      <a:avLst/>
                    </a:prstGeom>
                    <a:noFill/>
                    <a:ln w="9525">
                      <a:noFill/>
                      <a:headEnd/>
                      <a:tailEnd/>
                    </a:ln>
                  </pic:spPr>
                </pic:pic>
              </a:graphicData>
            </a:graphic>
          </wp:inline>
        </w:drawing>
      </w:r>
    </w:p>
    <w:p w14:paraId="0B7BE2FE" w14:textId="1AB7A5BE" w:rsidR="00105678" w:rsidRDefault="00000000">
      <w:pPr>
        <w:pStyle w:val="BodyText"/>
      </w:pPr>
      <w:r>
        <w:rPr>
          <w:i/>
          <w:iCs/>
        </w:rPr>
        <w:t>Figure 1: Training and validation loss curves for the baseline architecture, demonstrating early overfitting.</w:t>
      </w:r>
    </w:p>
    <w:p w14:paraId="4CC773F0" w14:textId="7F200DAB" w:rsidR="00487028" w:rsidRDefault="00000000" w:rsidP="00487028">
      <w:pPr>
        <w:pStyle w:val="BodyText"/>
        <w:jc w:val="center"/>
      </w:pPr>
      <w:r>
        <w:rPr>
          <w:noProof/>
        </w:rPr>
        <w:drawing>
          <wp:inline distT="0" distB="0" distL="0" distR="0" wp14:anchorId="0EBAF434" wp14:editId="61AC3DB4">
            <wp:extent cx="4743790" cy="1943100"/>
            <wp:effectExtent l="0" t="0" r="0" b="0"/>
            <wp:docPr id="30" name="Picture" descr="Validation Loss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val_loss_comparison.png"/>
                    <pic:cNvPicPr>
                      <a:picLocks noChangeAspect="1" noChangeArrowheads="1"/>
                    </pic:cNvPicPr>
                  </pic:nvPicPr>
                  <pic:blipFill>
                    <a:blip r:embed="rId9"/>
                    <a:stretch>
                      <a:fillRect/>
                    </a:stretch>
                  </pic:blipFill>
                  <pic:spPr bwMode="auto">
                    <a:xfrm>
                      <a:off x="0" y="0"/>
                      <a:ext cx="4768204" cy="1953100"/>
                    </a:xfrm>
                    <a:prstGeom prst="rect">
                      <a:avLst/>
                    </a:prstGeom>
                    <a:noFill/>
                    <a:ln w="9525">
                      <a:noFill/>
                      <a:headEnd/>
                      <a:tailEnd/>
                    </a:ln>
                  </pic:spPr>
                </pic:pic>
              </a:graphicData>
            </a:graphic>
          </wp:inline>
        </w:drawing>
      </w:r>
    </w:p>
    <w:p w14:paraId="2ABFDB0E" w14:textId="556CDF82" w:rsidR="00105678" w:rsidRDefault="00000000">
      <w:pPr>
        <w:pStyle w:val="BodyText"/>
      </w:pPr>
      <w:r>
        <w:rPr>
          <w:i/>
          <w:iCs/>
        </w:rPr>
        <w:t>Figure 2: Validation loss comparison across all evaluated architectures.</w:t>
      </w:r>
    </w:p>
    <w:p w14:paraId="1D436514" w14:textId="77777777" w:rsidR="00105678" w:rsidRDefault="00000000">
      <w:pPr>
        <w:pStyle w:val="BodyText"/>
      </w:pPr>
      <w:r>
        <w:lastRenderedPageBreak/>
        <w:t>Beam search (k = 5) consistently out-performed greedy decoding across all metrics, particularly improving higher-order BLEU scores.</w:t>
      </w:r>
    </w:p>
    <w:p w14:paraId="3D89848F" w14:textId="77777777" w:rsidR="00105678" w:rsidRDefault="00000000">
      <w:pPr>
        <w:pStyle w:val="BodyText"/>
      </w:pPr>
      <w:r>
        <w:rPr>
          <w:b/>
          <w:bCs/>
        </w:rPr>
        <w:t>Table 3: Inference Strategy Comparison (500-Image Subset)</w:t>
      </w:r>
    </w:p>
    <w:tbl>
      <w:tblPr>
        <w:tblStyle w:val="Table"/>
        <w:tblW w:w="0" w:type="auto"/>
        <w:tblLook w:val="0020" w:firstRow="1" w:lastRow="0" w:firstColumn="0" w:lastColumn="0" w:noHBand="0" w:noVBand="0"/>
      </w:tblPr>
      <w:tblGrid>
        <w:gridCol w:w="2274"/>
        <w:gridCol w:w="998"/>
        <w:gridCol w:w="998"/>
        <w:gridCol w:w="998"/>
        <w:gridCol w:w="998"/>
      </w:tblGrid>
      <w:tr w:rsidR="00105678" w14:paraId="1E7EE974" w14:textId="77777777" w:rsidTr="00105678">
        <w:trPr>
          <w:cnfStyle w:val="100000000000" w:firstRow="1" w:lastRow="0" w:firstColumn="0" w:lastColumn="0" w:oddVBand="0" w:evenVBand="0" w:oddHBand="0" w:evenHBand="0" w:firstRowFirstColumn="0" w:firstRowLastColumn="0" w:lastRowFirstColumn="0" w:lastRowLastColumn="0"/>
          <w:tblHeader/>
        </w:trPr>
        <w:tc>
          <w:tcPr>
            <w:tcW w:w="0" w:type="auto"/>
          </w:tcPr>
          <w:p w14:paraId="5FAF490D" w14:textId="77777777" w:rsidR="00105678" w:rsidRDefault="00000000">
            <w:pPr>
              <w:pStyle w:val="Compact"/>
            </w:pPr>
            <w:r>
              <w:t>Strategy</w:t>
            </w:r>
          </w:p>
        </w:tc>
        <w:tc>
          <w:tcPr>
            <w:tcW w:w="0" w:type="auto"/>
          </w:tcPr>
          <w:p w14:paraId="62924F2A" w14:textId="77777777" w:rsidR="00105678" w:rsidRDefault="00000000">
            <w:pPr>
              <w:pStyle w:val="Compact"/>
            </w:pPr>
            <w:r>
              <w:t>BLEU-1</w:t>
            </w:r>
          </w:p>
        </w:tc>
        <w:tc>
          <w:tcPr>
            <w:tcW w:w="0" w:type="auto"/>
          </w:tcPr>
          <w:p w14:paraId="21F3D720" w14:textId="77777777" w:rsidR="00105678" w:rsidRDefault="00000000">
            <w:pPr>
              <w:pStyle w:val="Compact"/>
            </w:pPr>
            <w:r>
              <w:t>BLEU-2</w:t>
            </w:r>
          </w:p>
        </w:tc>
        <w:tc>
          <w:tcPr>
            <w:tcW w:w="0" w:type="auto"/>
          </w:tcPr>
          <w:p w14:paraId="2290AA70" w14:textId="77777777" w:rsidR="00105678" w:rsidRDefault="00000000">
            <w:pPr>
              <w:pStyle w:val="Compact"/>
            </w:pPr>
            <w:r>
              <w:t>BLEU-3</w:t>
            </w:r>
          </w:p>
        </w:tc>
        <w:tc>
          <w:tcPr>
            <w:tcW w:w="0" w:type="auto"/>
          </w:tcPr>
          <w:p w14:paraId="22E74CED" w14:textId="77777777" w:rsidR="00105678" w:rsidRDefault="00000000">
            <w:pPr>
              <w:pStyle w:val="Compact"/>
            </w:pPr>
            <w:r>
              <w:t>BLEU-4</w:t>
            </w:r>
          </w:p>
        </w:tc>
      </w:tr>
      <w:tr w:rsidR="00105678" w14:paraId="25274EB4" w14:textId="77777777">
        <w:tc>
          <w:tcPr>
            <w:tcW w:w="0" w:type="auto"/>
          </w:tcPr>
          <w:p w14:paraId="05CEDA51" w14:textId="77777777" w:rsidR="00105678" w:rsidRDefault="00000000">
            <w:pPr>
              <w:pStyle w:val="Compact"/>
            </w:pPr>
            <w:r>
              <w:t>Greedy Decoding</w:t>
            </w:r>
          </w:p>
        </w:tc>
        <w:tc>
          <w:tcPr>
            <w:tcW w:w="0" w:type="auto"/>
          </w:tcPr>
          <w:p w14:paraId="6B99FA5D" w14:textId="77777777" w:rsidR="00105678" w:rsidRDefault="00000000">
            <w:pPr>
              <w:pStyle w:val="Compact"/>
            </w:pPr>
            <w:r>
              <w:t>0.6005</w:t>
            </w:r>
          </w:p>
        </w:tc>
        <w:tc>
          <w:tcPr>
            <w:tcW w:w="0" w:type="auto"/>
          </w:tcPr>
          <w:p w14:paraId="0D26B0AF" w14:textId="77777777" w:rsidR="00105678" w:rsidRDefault="00000000">
            <w:pPr>
              <w:pStyle w:val="Compact"/>
            </w:pPr>
            <w:r>
              <w:t>0.4233</w:t>
            </w:r>
          </w:p>
        </w:tc>
        <w:tc>
          <w:tcPr>
            <w:tcW w:w="0" w:type="auto"/>
          </w:tcPr>
          <w:p w14:paraId="2054D675" w14:textId="77777777" w:rsidR="00105678" w:rsidRDefault="00000000">
            <w:pPr>
              <w:pStyle w:val="Compact"/>
            </w:pPr>
            <w:r>
              <w:t>0.2874</w:t>
            </w:r>
          </w:p>
        </w:tc>
        <w:tc>
          <w:tcPr>
            <w:tcW w:w="0" w:type="auto"/>
          </w:tcPr>
          <w:p w14:paraId="71B418C6" w14:textId="77777777" w:rsidR="00105678" w:rsidRDefault="00000000">
            <w:pPr>
              <w:pStyle w:val="Compact"/>
            </w:pPr>
            <w:r>
              <w:t>0.1912</w:t>
            </w:r>
          </w:p>
        </w:tc>
      </w:tr>
      <w:tr w:rsidR="00105678" w14:paraId="32E9064C" w14:textId="77777777">
        <w:tc>
          <w:tcPr>
            <w:tcW w:w="0" w:type="auto"/>
          </w:tcPr>
          <w:p w14:paraId="70032315" w14:textId="77777777" w:rsidR="00105678" w:rsidRDefault="00000000">
            <w:pPr>
              <w:pStyle w:val="Compact"/>
            </w:pPr>
            <w:r>
              <w:t>Beam Search (k = 5)</w:t>
            </w:r>
          </w:p>
        </w:tc>
        <w:tc>
          <w:tcPr>
            <w:tcW w:w="0" w:type="auto"/>
          </w:tcPr>
          <w:p w14:paraId="4365D8B6" w14:textId="77777777" w:rsidR="00105678" w:rsidRDefault="00000000">
            <w:pPr>
              <w:pStyle w:val="Compact"/>
            </w:pPr>
            <w:r>
              <w:t>0.6081</w:t>
            </w:r>
          </w:p>
        </w:tc>
        <w:tc>
          <w:tcPr>
            <w:tcW w:w="0" w:type="auto"/>
          </w:tcPr>
          <w:p w14:paraId="3537902A" w14:textId="77777777" w:rsidR="00105678" w:rsidRDefault="00000000">
            <w:pPr>
              <w:pStyle w:val="Compact"/>
            </w:pPr>
            <w:r>
              <w:t>0.4387</w:t>
            </w:r>
          </w:p>
        </w:tc>
        <w:tc>
          <w:tcPr>
            <w:tcW w:w="0" w:type="auto"/>
          </w:tcPr>
          <w:p w14:paraId="2FA27121" w14:textId="77777777" w:rsidR="00105678" w:rsidRDefault="00000000">
            <w:pPr>
              <w:pStyle w:val="Compact"/>
            </w:pPr>
            <w:r>
              <w:t>0.3113</w:t>
            </w:r>
          </w:p>
        </w:tc>
        <w:tc>
          <w:tcPr>
            <w:tcW w:w="0" w:type="auto"/>
          </w:tcPr>
          <w:p w14:paraId="05DAB89D" w14:textId="77777777" w:rsidR="00105678" w:rsidRDefault="00000000">
            <w:pPr>
              <w:pStyle w:val="Compact"/>
            </w:pPr>
            <w:r>
              <w:t>0.2172</w:t>
            </w:r>
          </w:p>
        </w:tc>
      </w:tr>
    </w:tbl>
    <w:p w14:paraId="30A37258" w14:textId="77777777" w:rsidR="00105678" w:rsidRDefault="00000000">
      <w:pPr>
        <w:pStyle w:val="BodyText"/>
      </w:pPr>
      <w:r>
        <w:t>Integrating pretrained GloVe embeddings yielded no significant advantage, as the training corpus adequately covered 99.5% of the everyday vocabulary.</w:t>
      </w:r>
    </w:p>
    <w:p w14:paraId="0966608E" w14:textId="77777777" w:rsidR="00105678" w:rsidRDefault="00000000">
      <w:pPr>
        <w:pStyle w:val="Heading2"/>
      </w:pPr>
      <w:bookmarkStart w:id="5" w:name="qualitative-analysis"/>
      <w:bookmarkEnd w:id="4"/>
      <w:r>
        <w:t>5. Qualitative Analysis</w:t>
      </w:r>
    </w:p>
    <w:p w14:paraId="3792DF1C" w14:textId="77777777" w:rsidR="00105678" w:rsidRDefault="00000000">
      <w:pPr>
        <w:pStyle w:val="FirstParagraph"/>
      </w:pPr>
      <w:r>
        <w:t>Qualitative review indicates that while models succeed in identifying primary subjects, they exhibit a drop-off in higher-order sentence fluency.</w:t>
      </w:r>
    </w:p>
    <w:p w14:paraId="1D03D441" w14:textId="77777777" w:rsidR="00487028" w:rsidRDefault="00000000" w:rsidP="00487028">
      <w:pPr>
        <w:pStyle w:val="BodyText"/>
        <w:jc w:val="center"/>
        <w:rPr>
          <w:i/>
          <w:iCs/>
        </w:rPr>
      </w:pPr>
      <w:r>
        <w:rPr>
          <w:noProof/>
        </w:rPr>
        <w:drawing>
          <wp:inline distT="0" distB="0" distL="0" distR="0" wp14:anchorId="2219A033" wp14:editId="0D41E707">
            <wp:extent cx="3965832" cy="4316125"/>
            <wp:effectExtent l="0" t="0" r="0" b="0"/>
            <wp:docPr id="3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043099" cy="4400217"/>
                    </a:xfrm>
                    <a:prstGeom prst="rect">
                      <a:avLst/>
                    </a:prstGeom>
                    <a:noFill/>
                    <a:ln w="9525">
                      <a:noFill/>
                      <a:headEnd/>
                      <a:tailEnd/>
                    </a:ln>
                  </pic:spPr>
                </pic:pic>
              </a:graphicData>
            </a:graphic>
          </wp:inline>
        </w:drawing>
      </w:r>
    </w:p>
    <w:p w14:paraId="1885FF81" w14:textId="62ACDF6A" w:rsidR="00105678" w:rsidRDefault="00000000" w:rsidP="00487028">
      <w:pPr>
        <w:pStyle w:val="BodyText"/>
      </w:pPr>
      <w:r>
        <w:rPr>
          <w:i/>
          <w:iCs/>
        </w:rPr>
        <w:t>Figure 3: Generated caption examples. Successful instances display accurate object localization (e.g., “grassy hill”). Errors involve hallucinated details (e.g., “snowboarding” instead of “ice climber”) and grammatical errors (e.g., “with a of people”).</w:t>
      </w:r>
    </w:p>
    <w:p w14:paraId="1CE9A31E" w14:textId="36F286EC" w:rsidR="00487028" w:rsidRDefault="00000000" w:rsidP="00487028">
      <w:pPr>
        <w:pStyle w:val="BodyText"/>
        <w:jc w:val="center"/>
      </w:pPr>
      <w:r>
        <w:rPr>
          <w:noProof/>
        </w:rPr>
        <w:lastRenderedPageBreak/>
        <w:drawing>
          <wp:inline distT="0" distB="0" distL="0" distR="0" wp14:anchorId="0815CC29" wp14:editId="66BDDC92">
            <wp:extent cx="5591175" cy="4095750"/>
            <wp:effectExtent l="0" t="0" r="0" b="0"/>
            <wp:docPr id="37" name="Picture" descr="Attention Overlays"/>
            <wp:cNvGraphicFramePr/>
            <a:graphic xmlns:a="http://schemas.openxmlformats.org/drawingml/2006/main">
              <a:graphicData uri="http://schemas.openxmlformats.org/drawingml/2006/picture">
                <pic:pic xmlns:pic="http://schemas.openxmlformats.org/drawingml/2006/picture">
                  <pic:nvPicPr>
                    <pic:cNvPr id="38" name="Picture" descr="attention_overlay_showattendtell.png"/>
                    <pic:cNvPicPr>
                      <a:picLocks noChangeAspect="1" noChangeArrowheads="1"/>
                    </pic:cNvPicPr>
                  </pic:nvPicPr>
                  <pic:blipFill>
                    <a:blip r:embed="rId11"/>
                    <a:stretch>
                      <a:fillRect/>
                    </a:stretch>
                  </pic:blipFill>
                  <pic:spPr bwMode="auto">
                    <a:xfrm>
                      <a:off x="0" y="0"/>
                      <a:ext cx="5591224" cy="4095786"/>
                    </a:xfrm>
                    <a:prstGeom prst="rect">
                      <a:avLst/>
                    </a:prstGeom>
                    <a:noFill/>
                    <a:ln w="9525">
                      <a:noFill/>
                      <a:headEnd/>
                      <a:tailEnd/>
                    </a:ln>
                  </pic:spPr>
                </pic:pic>
              </a:graphicData>
            </a:graphic>
          </wp:inline>
        </w:drawing>
      </w:r>
    </w:p>
    <w:p w14:paraId="67A7B288" w14:textId="59DA0B20" w:rsidR="00105678" w:rsidRDefault="00000000">
      <w:pPr>
        <w:pStyle w:val="BodyText"/>
      </w:pPr>
      <w:r>
        <w:rPr>
          <w:i/>
          <w:iCs/>
        </w:rPr>
        <w:t>Figure 4: Sequential attention maps. The network correctly focuses on relevant regions (e.g., attending to the water when predicting “lake”), though it misidentifies the child as “man” and “woman”.</w:t>
      </w:r>
    </w:p>
    <w:p w14:paraId="2778EDDD" w14:textId="77777777" w:rsidR="00105678" w:rsidRDefault="00000000">
      <w:pPr>
        <w:pStyle w:val="Heading2"/>
      </w:pPr>
      <w:bookmarkStart w:id="6" w:name="discussion-and-future-work"/>
      <w:bookmarkEnd w:id="5"/>
      <w:r>
        <w:t>6. Discussion and Future Work</w:t>
      </w:r>
    </w:p>
    <w:p w14:paraId="70D7F525" w14:textId="01623D74" w:rsidR="00105678" w:rsidRDefault="00000000">
      <w:pPr>
        <w:pStyle w:val="FirstParagraph"/>
      </w:pPr>
      <w:r>
        <w:t>The experiments emphasize that dataset scale represents the primary bottleneck. All models overfitted within 12 epochs. Consequently, spatial attention mechanisms yielded marginal performance increases over the global baseline. The Transformer decoder offered the most significant structural advantage, and beam search effectively improved fluency. Future work should investigate larger pre-training corpora, alternative alignment metrics, and scheduled sampling.</w:t>
      </w:r>
      <w:bookmarkEnd w:id="0"/>
      <w:bookmarkEnd w:id="6"/>
    </w:p>
    <w:sectPr w:rsidR="00105678" w:rsidSect="00BB6F0E">
      <w:pgSz w:w="12240" w:h="15840"/>
      <w:pgMar w:top="1247" w:right="1077" w:bottom="1247" w:left="107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461C1" w14:textId="77777777" w:rsidR="00E33CF8" w:rsidRDefault="00E33CF8">
      <w:pPr>
        <w:spacing w:after="0"/>
      </w:pPr>
      <w:r>
        <w:separator/>
      </w:r>
    </w:p>
  </w:endnote>
  <w:endnote w:type="continuationSeparator" w:id="0">
    <w:p w14:paraId="3946217C" w14:textId="77777777" w:rsidR="00E33CF8" w:rsidRDefault="00E33CF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F6B6" w14:textId="77777777" w:rsidR="00E33CF8" w:rsidRDefault="00E33CF8">
      <w:r>
        <w:separator/>
      </w:r>
    </w:p>
  </w:footnote>
  <w:footnote w:type="continuationSeparator" w:id="0">
    <w:p w14:paraId="557D9676" w14:textId="77777777" w:rsidR="00E33CF8" w:rsidRDefault="00E33C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20C516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26330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05678"/>
    <w:rsid w:val="00105678"/>
    <w:rsid w:val="003A6345"/>
    <w:rsid w:val="00470B4C"/>
    <w:rsid w:val="00487028"/>
    <w:rsid w:val="0087031A"/>
    <w:rsid w:val="00A91414"/>
    <w:rsid w:val="00BB6F0E"/>
    <w:rsid w:val="00C510C8"/>
    <w:rsid w:val="00E33CF8"/>
    <w:rsid w:val="00E8015B"/>
    <w:rsid w:val="00F7686F"/>
    <w:rsid w:val="00FD620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AB7D1"/>
  <w15:docId w15:val="{46271B2A-C12D-454C-B5B6-4812A6433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E8015B"/>
    <w:pPr>
      <w:tabs>
        <w:tab w:val="center" w:pos="4513"/>
        <w:tab w:val="right" w:pos="9026"/>
      </w:tabs>
      <w:spacing w:after="0"/>
    </w:pPr>
  </w:style>
  <w:style w:type="character" w:customStyle="1" w:styleId="HeaderChar">
    <w:name w:val="Header Char"/>
    <w:basedOn w:val="DefaultParagraphFont"/>
    <w:link w:val="Header"/>
    <w:rsid w:val="00E8015B"/>
  </w:style>
  <w:style w:type="paragraph" w:styleId="Footer">
    <w:name w:val="footer"/>
    <w:basedOn w:val="Normal"/>
    <w:link w:val="FooterChar"/>
    <w:rsid w:val="00E8015B"/>
    <w:pPr>
      <w:tabs>
        <w:tab w:val="center" w:pos="4513"/>
        <w:tab w:val="right" w:pos="9026"/>
      </w:tabs>
      <w:spacing w:after="0"/>
    </w:pPr>
  </w:style>
  <w:style w:type="character" w:customStyle="1" w:styleId="FooterChar">
    <w:name w:val="Footer Char"/>
    <w:basedOn w:val="DefaultParagraphFont"/>
    <w:link w:val="Footer"/>
    <w:rsid w:val="00E801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816</Words>
  <Characters>4652</Characters>
  <Application>Microsoft Office Word</Application>
  <DocSecurity>0</DocSecurity>
  <Lines>38</Lines>
  <Paragraphs>10</Paragraphs>
  <ScaleCrop>false</ScaleCrop>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Salustowicz Piotr (saluspio)</cp:lastModifiedBy>
  <cp:revision>8</cp:revision>
  <cp:lastPrinted>2026-06-03T17:08:00Z</cp:lastPrinted>
  <dcterms:created xsi:type="dcterms:W3CDTF">2026-06-03T16:37:00Z</dcterms:created>
  <dcterms:modified xsi:type="dcterms:W3CDTF">2026-06-03T17:09:00Z</dcterms:modified>
</cp:coreProperties>
</file>