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56"/>
          <w:szCs w:val="56"/>
        </w:rPr>
        <w:t xml:space="preserve">Difference-in-Differences</w:t>
      </w:r>
    </w:p>
    <w:p>
      <w:pPr>
        <w:spacing w:after="600"/>
        <w:jc w:val="center"/>
      </w:pPr>
      <w:r>
        <w:rPr>
          <w:rFonts w:ascii="Arial" w:cs="Arial" w:eastAsia="Arial" w:hAnsi="Arial"/>
          <w:color w:val="2E75B6"/>
          <w:sz w:val="40"/>
          <w:szCs w:val="40"/>
        </w:rPr>
        <w:t xml:space="preserve">Study Notes Companion</w:t>
      </w:r>
    </w:p>
    <w:p>
      <w:pPr>
        <w:spacing w:after="200"/>
        <w:jc w:val="center"/>
      </w:pPr>
      <w:r>
        <w:rPr>
          <w:rFonts w:ascii="Arial" w:cs="Arial" w:eastAsia="Arial" w:hAnsi="Arial"/>
          <w:i/>
          <w:iCs/>
          <w:color w:val="595959"/>
          <w:sz w:val="24"/>
          <w:szCs w:val="24"/>
        </w:rPr>
        <w:t xml:space="preserve">A structured guide to accompany</w:t>
      </w:r>
    </w:p>
    <w:p>
      <w:pPr>
        <w:spacing w:after="600"/>
        <w:jc w:val="center"/>
      </w:pPr>
      <w:r>
        <w:rPr>
          <w:rFonts w:ascii="Arial" w:cs="Arial" w:eastAsia="Arial" w:hAnsi="Arial"/>
          <w:b/>
          <w:bCs/>
          <w:sz w:val="26"/>
          <w:szCs w:val="26"/>
        </w:rPr>
        <w:t xml:space="preserve">Cunningham, Causal Inference: The Mixtape</w:t>
      </w:r>
    </w:p>
    <w:p>
      <w:pPr>
        <w:spacing w:after="200"/>
        <w:jc w:val="center"/>
      </w:pPr>
      <w:r>
        <w:rPr>
          <w:rFonts w:ascii="Arial" w:cs="Arial" w:eastAsia="Arial" w:hAnsi="Arial"/>
          <w:color w:val="595959"/>
          <w:sz w:val="22"/>
          <w:szCs w:val="22"/>
        </w:rPr>
        <w:t xml:space="preserve">Tailored for: staggered policy research in mutual funds</w:t>
      </w:r>
    </w:p>
    <w:p>
      <w:pPr>
        <w:spacing w:after="200"/>
        <w:jc w:val="center"/>
      </w:pPr>
      <w:r>
        <w:rPr>
          <w:rFonts w:ascii="Arial" w:cs="Arial" w:eastAsia="Arial" w:hAnsi="Arial"/>
          <w:color w:val="595959"/>
          <w:sz w:val="22"/>
          <w:szCs w:val="22"/>
        </w:rPr>
        <w:t xml:space="preserve">Prepared for Dung — PhD self-study</w:t>
      </w:r>
    </w:p>
    <w:p>
      <w:r>
        <w:br w:type="page"/>
      </w:r>
    </w:p>
    <w:p>
      <w:pPr>
        <w:pStyle w:val="Heading1"/>
        <w:spacing w:after="200" w:before="360"/>
      </w:pPr>
      <w:r>
        <w:rPr>
          <w:rFonts w:ascii="Arial" w:cs="Arial" w:eastAsia="Arial" w:hAnsi="Arial"/>
          <w:b/>
          <w:bCs/>
          <w:color w:val="1F3864"/>
          <w:sz w:val="32"/>
          <w:szCs w:val="32"/>
        </w:rPr>
        <w:t xml:space="preserve">How to use this document</w:t>
      </w:r>
    </w:p>
    <w:p>
      <w:pPr>
        <w:spacing w:after="120" w:line="300"/>
      </w:pPr>
      <w:r>
        <w:rPr>
          <w:rFonts w:ascii="Arial" w:cs="Arial" w:eastAsia="Arial" w:hAnsi="Arial"/>
          <w:sz w:val="22"/>
          <w:szCs w:val="22"/>
        </w:rPr>
        <w:t xml:space="preserve">This is a study companion, not a replacement for the book. Read each chapter of Cunningham's Mixtape, then use the matching section here to (1) consolidate the key ideas in concise form, (2) connect them to your mutual fund staggered-policy research, and (3) write your own notes in the gray boxes. The math is presented in a way that should be readable even if you are still building your matrix algebra fluency — most expressions involve only sums, expectations, and indicator variables.</w:t>
      </w:r>
    </w:p>
    <w:p>
      <w:pPr>
        <w:spacing w:after="120" w:line="300"/>
      </w:pPr>
      <w:r>
        <w:rPr>
          <w:rFonts w:ascii="Arial" w:cs="Arial" w:eastAsia="Arial" w:hAnsi="Arial"/>
          <w:sz w:val="22"/>
          <w:szCs w:val="22"/>
        </w:rPr>
        <w:t xml:space="preserve">How the sections work:</w:t>
      </w:r>
    </w:p>
    <w:p>
      <w:pPr>
        <w:pStyle w:val="ListParagraph"/>
        <w:numPr>
          <w:ilvl w:val="0"/>
          <w:numId w:val="2"/>
        </w:numPr>
        <w:spacing w:after="60" w:line="280"/>
      </w:pPr>
      <w:r>
        <w:rPr>
          <w:rFonts w:ascii="Arial" w:cs="Arial" w:eastAsia="Arial" w:hAnsi="Arial"/>
          <w:sz w:val="22"/>
          <w:szCs w:val="22"/>
        </w:rPr>
        <w:t xml:space="preserve">Concept summary — the core idea in plain language.</w:t>
      </w:r>
    </w:p>
    <w:p>
      <w:pPr>
        <w:pStyle w:val="ListParagraph"/>
        <w:numPr>
          <w:ilvl w:val="0"/>
          <w:numId w:val="2"/>
        </w:numPr>
        <w:spacing w:after="60" w:line="280"/>
      </w:pPr>
      <w:r>
        <w:rPr>
          <w:rFonts w:ascii="Arial" w:cs="Arial" w:eastAsia="Arial" w:hAnsi="Arial"/>
          <w:sz w:val="22"/>
          <w:szCs w:val="22"/>
        </w:rPr>
        <w:t xml:space="preserve">Math — the formula(s), with each symbol defined.</w:t>
      </w:r>
    </w:p>
    <w:p>
      <w:pPr>
        <w:pStyle w:val="ListParagraph"/>
        <w:numPr>
          <w:ilvl w:val="0"/>
          <w:numId w:val="2"/>
        </w:numPr>
        <w:spacing w:after="60" w:line="280"/>
      </w:pPr>
      <w:r>
        <w:rPr>
          <w:rFonts w:ascii="Arial" w:cs="Arial" w:eastAsia="Arial" w:hAnsi="Arial"/>
          <w:sz w:val="22"/>
          <w:szCs w:val="22"/>
        </w:rPr>
        <w:t xml:space="preserve">Mutual fund example — how the concept maps onto a stylized fund-policy setting like the one in your paper.</w:t>
      </w:r>
    </w:p>
    <w:p>
      <w:pPr>
        <w:pStyle w:val="ListParagraph"/>
        <w:numPr>
          <w:ilvl w:val="0"/>
          <w:numId w:val="2"/>
        </w:numPr>
        <w:spacing w:after="60" w:line="280"/>
      </w:pPr>
      <w:r>
        <w:rPr>
          <w:rFonts w:ascii="Arial" w:cs="Arial" w:eastAsia="Arial" w:hAnsi="Arial"/>
          <w:sz w:val="22"/>
          <w:szCs w:val="22"/>
        </w:rPr>
        <w:t xml:space="preserve">Pitfalls — mistakes that PhD students (and reviewers) commonly catch.</w:t>
      </w:r>
    </w:p>
    <w:p>
      <w:pPr>
        <w:pStyle w:val="ListParagraph"/>
        <w:numPr>
          <w:ilvl w:val="0"/>
          <w:numId w:val="2"/>
        </w:numPr>
        <w:spacing w:after="60" w:line="280"/>
      </w:pPr>
      <w:r>
        <w:rPr>
          <w:rFonts w:ascii="Arial" w:cs="Arial" w:eastAsia="Arial" w:hAnsi="Arial"/>
          <w:sz w:val="22"/>
          <w:szCs w:val="22"/>
        </w:rPr>
        <w:t xml:space="preserve">Notes box — your own writing space.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DEEAF6" w:val="clear"/>
            <w:tcMar>
              <w:top w:type="dxa" w:w="160"/>
              <w:left w:type="dxa" w:w="200"/>
              <w:bottom w:type="dxa" w:w="160"/>
              <w:right w:type="dxa" w:w="200"/>
            </w:tcMar>
          </w:tcPr>
          <w:p>
            <w:pPr>
              <w:spacing w:after="80"/>
            </w:pPr>
            <w:r>
              <w:rPr>
                <w:rFonts w:ascii="Arial" w:cs="Arial" w:eastAsia="Arial" w:hAnsi="Arial"/>
                <w:b/>
                <w:bCs/>
                <w:color w:val="7F6000"/>
                <w:sz w:val="22"/>
                <w:szCs w:val="22"/>
              </w:rPr>
              <w:t xml:space="preserve">Reading order suggestion</w:t>
            </w:r>
          </w:p>
          <w:p>
            <w:pPr>
              <w:spacing w:after="120" w:line="300"/>
            </w:pPr>
            <w:r>
              <w:rPr>
                <w:rFonts w:ascii="Arial" w:cs="Arial" w:eastAsia="Arial" w:hAnsi="Arial"/>
                <w:sz w:val="22"/>
                <w:szCs w:val="22"/>
              </w:rPr>
              <w:t xml:space="preserve">If you are short on time, read Parts I, III, IV, and VII first. Part I gives you the foundation. Part III explains why the simple TWFE specification you may be tempted to run on staggered data is biased. Part IV gives you modern estimators that fix the bias. Part VII applies it to your paper.</w:t>
            </w:r>
          </w:p>
        </w:tc>
      </w:tr>
    </w:tbl>
    <w:p>
      <w:r>
        <w:br w:type="page"/>
      </w:r>
    </w:p>
    <w:p>
      <w:pPr>
        <w:pStyle w:val="Heading1"/>
        <w:spacing w:after="200" w:before="360"/>
      </w:pPr>
      <w:r>
        <w:rPr>
          <w:rFonts w:ascii="Arial" w:cs="Arial" w:eastAsia="Arial" w:hAnsi="Arial"/>
          <w:b/>
          <w:bCs/>
          <w:color w:val="1F3864"/>
          <w:sz w:val="32"/>
          <w:szCs w:val="32"/>
        </w:rPr>
        <w:t xml:space="preserve">Contents</w:t>
      </w:r>
    </w:p>
    <w:p>
      <w:pPr>
        <w:spacing w:after="60"/>
      </w:pPr>
      <w:r>
        <w:rPr>
          <w:rFonts w:ascii="Arial" w:cs="Arial" w:eastAsia="Arial" w:hAnsi="Arial"/>
          <w:sz w:val="22"/>
          <w:szCs w:val="22"/>
        </w:rPr>
        <w:t xml:space="preserve">Part I — Classical 2x2 Difference-in-Differences</w:t>
      </w:r>
    </w:p>
    <w:p>
      <w:pPr>
        <w:spacing w:after="60"/>
      </w:pPr>
      <w:r>
        <w:rPr>
          <w:rFonts w:ascii="Arial" w:cs="Arial" w:eastAsia="Arial" w:hAnsi="Arial"/>
          <w:sz w:val="22"/>
          <w:szCs w:val="22"/>
        </w:rPr>
        <w:t xml:space="preserve">    1.1 The fundamental problem of causal inference</w:t>
      </w:r>
    </w:p>
    <w:p>
      <w:pPr>
        <w:spacing w:after="60"/>
      </w:pPr>
      <w:r>
        <w:rPr>
          <w:rFonts w:ascii="Arial" w:cs="Arial" w:eastAsia="Arial" w:hAnsi="Arial"/>
          <w:sz w:val="22"/>
          <w:szCs w:val="22"/>
        </w:rPr>
        <w:t xml:space="preserve">    1.2 The 2x2 estimator</w:t>
      </w:r>
    </w:p>
    <w:p>
      <w:pPr>
        <w:spacing w:after="60"/>
      </w:pPr>
      <w:r>
        <w:rPr>
          <w:rFonts w:ascii="Arial" w:cs="Arial" w:eastAsia="Arial" w:hAnsi="Arial"/>
          <w:sz w:val="22"/>
          <w:szCs w:val="22"/>
        </w:rPr>
        <w:t xml:space="preserve">    1.3 The parallel trends assumption</w:t>
      </w:r>
    </w:p>
    <w:p>
      <w:pPr>
        <w:spacing w:after="60"/>
      </w:pPr>
      <w:r>
        <w:rPr>
          <w:rFonts w:ascii="Arial" w:cs="Arial" w:eastAsia="Arial" w:hAnsi="Arial"/>
          <w:sz w:val="22"/>
          <w:szCs w:val="22"/>
        </w:rPr>
        <w:t xml:space="preserve">    1.4 Regression form of the 2x2</w:t>
      </w:r>
    </w:p>
    <w:p>
      <w:pPr>
        <w:spacing w:after="60"/>
      </w:pPr>
      <w:r>
        <w:rPr>
          <w:rFonts w:ascii="Arial" w:cs="Arial" w:eastAsia="Arial" w:hAnsi="Arial"/>
          <w:sz w:val="22"/>
          <w:szCs w:val="22"/>
        </w:rPr>
        <w:t xml:space="preserve">    1.5 Standard errors and clustering</w:t>
      </w:r>
    </w:p>
    <w:p>
      <w:pPr>
        <w:spacing w:after="60"/>
      </w:pPr>
      <w:r>
        <w:rPr>
          <w:rFonts w:ascii="Arial" w:cs="Arial" w:eastAsia="Arial" w:hAnsi="Arial"/>
          <w:sz w:val="22"/>
          <w:szCs w:val="22"/>
        </w:rPr>
        <w:t xml:space="preserve">Part II — Multiple periods, multiple groups: TWFE</w:t>
      </w:r>
    </w:p>
    <w:p>
      <w:pPr>
        <w:spacing w:after="60"/>
      </w:pPr>
      <w:r>
        <w:rPr>
          <w:rFonts w:ascii="Arial" w:cs="Arial" w:eastAsia="Arial" w:hAnsi="Arial"/>
          <w:sz w:val="22"/>
          <w:szCs w:val="22"/>
        </w:rPr>
        <w:t xml:space="preserve">    2.1 Two-way fixed effects intuition</w:t>
      </w:r>
    </w:p>
    <w:p>
      <w:pPr>
        <w:spacing w:after="60"/>
      </w:pPr>
      <w:r>
        <w:rPr>
          <w:rFonts w:ascii="Arial" w:cs="Arial" w:eastAsia="Arial" w:hAnsi="Arial"/>
          <w:sz w:val="22"/>
          <w:szCs w:val="22"/>
        </w:rPr>
        <w:t xml:space="preserve">    2.2 When TWFE is a clean DiD</w:t>
      </w:r>
    </w:p>
    <w:p>
      <w:pPr>
        <w:spacing w:after="60"/>
      </w:pPr>
      <w:r>
        <w:rPr>
          <w:rFonts w:ascii="Arial" w:cs="Arial" w:eastAsia="Arial" w:hAnsi="Arial"/>
          <w:sz w:val="22"/>
          <w:szCs w:val="22"/>
        </w:rPr>
        <w:t xml:space="preserve">Part III — Why staggered DiD breaks TWFE</w:t>
      </w:r>
    </w:p>
    <w:p>
      <w:pPr>
        <w:spacing w:after="60"/>
      </w:pPr>
      <w:r>
        <w:rPr>
          <w:rFonts w:ascii="Arial" w:cs="Arial" w:eastAsia="Arial" w:hAnsi="Arial"/>
          <w:sz w:val="22"/>
          <w:szCs w:val="22"/>
        </w:rPr>
        <w:t xml:space="preserve">    3.1 The forbidden comparison problem</w:t>
      </w:r>
    </w:p>
    <w:p>
      <w:pPr>
        <w:spacing w:after="60"/>
      </w:pPr>
      <w:r>
        <w:rPr>
          <w:rFonts w:ascii="Arial" w:cs="Arial" w:eastAsia="Arial" w:hAnsi="Arial"/>
          <w:sz w:val="22"/>
          <w:szCs w:val="22"/>
        </w:rPr>
        <w:t xml:space="preserve">    3.2 Goodman-Bacon decomposition</w:t>
      </w:r>
    </w:p>
    <w:p>
      <w:pPr>
        <w:spacing w:after="60"/>
      </w:pPr>
      <w:r>
        <w:rPr>
          <w:rFonts w:ascii="Arial" w:cs="Arial" w:eastAsia="Arial" w:hAnsi="Arial"/>
          <w:sz w:val="22"/>
          <w:szCs w:val="22"/>
        </w:rPr>
        <w:t xml:space="preserve">    3.3 Negative weights and sign reversals</w:t>
      </w:r>
    </w:p>
    <w:p>
      <w:pPr>
        <w:spacing w:after="60"/>
      </w:pPr>
      <w:r>
        <w:rPr>
          <w:rFonts w:ascii="Arial" w:cs="Arial" w:eastAsia="Arial" w:hAnsi="Arial"/>
          <w:sz w:val="22"/>
          <w:szCs w:val="22"/>
        </w:rPr>
        <w:t xml:space="preserve">Part IV — Modern staggered DiD estimators</w:t>
      </w:r>
    </w:p>
    <w:p>
      <w:pPr>
        <w:spacing w:after="60"/>
      </w:pPr>
      <w:r>
        <w:rPr>
          <w:rFonts w:ascii="Arial" w:cs="Arial" w:eastAsia="Arial" w:hAnsi="Arial"/>
          <w:sz w:val="22"/>
          <w:szCs w:val="22"/>
        </w:rPr>
        <w:t xml:space="preserve">    4.1 Callaway and Sant'Anna (2021)</w:t>
      </w:r>
    </w:p>
    <w:p>
      <w:pPr>
        <w:spacing w:after="60"/>
      </w:pPr>
      <w:r>
        <w:rPr>
          <w:rFonts w:ascii="Arial" w:cs="Arial" w:eastAsia="Arial" w:hAnsi="Arial"/>
          <w:sz w:val="22"/>
          <w:szCs w:val="22"/>
        </w:rPr>
        <w:t xml:space="preserve">    4.2 Sun and Abraham (2021)</w:t>
      </w:r>
    </w:p>
    <w:p>
      <w:pPr>
        <w:spacing w:after="60"/>
      </w:pPr>
      <w:r>
        <w:rPr>
          <w:rFonts w:ascii="Arial" w:cs="Arial" w:eastAsia="Arial" w:hAnsi="Arial"/>
          <w:sz w:val="22"/>
          <w:szCs w:val="22"/>
        </w:rPr>
        <w:t xml:space="preserve">    4.3 de Chaisemartin and D'Haultfoeuille (2020)</w:t>
      </w:r>
    </w:p>
    <w:p>
      <w:pPr>
        <w:spacing w:after="60"/>
      </w:pPr>
      <w:r>
        <w:rPr>
          <w:rFonts w:ascii="Arial" w:cs="Arial" w:eastAsia="Arial" w:hAnsi="Arial"/>
          <w:sz w:val="22"/>
          <w:szCs w:val="22"/>
        </w:rPr>
        <w:t xml:space="preserve">    4.4 Borusyak, Jaravel, and Spiess (2024)</w:t>
      </w:r>
    </w:p>
    <w:p>
      <w:pPr>
        <w:spacing w:after="60"/>
      </w:pPr>
      <w:r>
        <w:rPr>
          <w:rFonts w:ascii="Arial" w:cs="Arial" w:eastAsia="Arial" w:hAnsi="Arial"/>
          <w:sz w:val="22"/>
          <w:szCs w:val="22"/>
        </w:rPr>
        <w:t xml:space="preserve">    4.5 Comparison and how to choose</w:t>
      </w:r>
    </w:p>
    <w:p>
      <w:pPr>
        <w:spacing w:after="60"/>
      </w:pPr>
      <w:r>
        <w:rPr>
          <w:rFonts w:ascii="Arial" w:cs="Arial" w:eastAsia="Arial" w:hAnsi="Arial"/>
          <w:sz w:val="22"/>
          <w:szCs w:val="22"/>
        </w:rPr>
        <w:t xml:space="preserve">Part V — Event studies</w:t>
      </w:r>
    </w:p>
    <w:p>
      <w:pPr>
        <w:spacing w:after="60"/>
      </w:pPr>
      <w:r>
        <w:rPr>
          <w:rFonts w:ascii="Arial" w:cs="Arial" w:eastAsia="Arial" w:hAnsi="Arial"/>
          <w:sz w:val="22"/>
          <w:szCs w:val="22"/>
        </w:rPr>
        <w:t xml:space="preserve">    5.1 The dynamic specification</w:t>
      </w:r>
    </w:p>
    <w:p>
      <w:pPr>
        <w:spacing w:after="60"/>
      </w:pPr>
      <w:r>
        <w:rPr>
          <w:rFonts w:ascii="Arial" w:cs="Arial" w:eastAsia="Arial" w:hAnsi="Arial"/>
          <w:sz w:val="22"/>
          <w:szCs w:val="22"/>
        </w:rPr>
        <w:t xml:space="preserve">    5.2 Pre-trend tests and their limits</w:t>
      </w:r>
    </w:p>
    <w:p>
      <w:pPr>
        <w:spacing w:after="60"/>
      </w:pPr>
      <w:r>
        <w:rPr>
          <w:rFonts w:ascii="Arial" w:cs="Arial" w:eastAsia="Arial" w:hAnsi="Arial"/>
          <w:sz w:val="22"/>
          <w:szCs w:val="22"/>
        </w:rPr>
        <w:t xml:space="preserve">    5.3 Binning, normalization, and reporting</w:t>
      </w:r>
    </w:p>
    <w:p>
      <w:pPr>
        <w:spacing w:after="60"/>
      </w:pPr>
      <w:r>
        <w:rPr>
          <w:rFonts w:ascii="Arial" w:cs="Arial" w:eastAsia="Arial" w:hAnsi="Arial"/>
          <w:sz w:val="22"/>
          <w:szCs w:val="22"/>
        </w:rPr>
        <w:t xml:space="preserve">Part VI — Robustness and sensitivity</w:t>
      </w:r>
    </w:p>
    <w:p>
      <w:pPr>
        <w:spacing w:after="60"/>
      </w:pPr>
      <w:r>
        <w:rPr>
          <w:rFonts w:ascii="Arial" w:cs="Arial" w:eastAsia="Arial" w:hAnsi="Arial"/>
          <w:sz w:val="22"/>
          <w:szCs w:val="22"/>
        </w:rPr>
        <w:t xml:space="preserve">    6.1 Honest DiD (Rambachan and Roth)</w:t>
      </w:r>
    </w:p>
    <w:p>
      <w:pPr>
        <w:spacing w:after="60"/>
      </w:pPr>
      <w:r>
        <w:rPr>
          <w:rFonts w:ascii="Arial" w:cs="Arial" w:eastAsia="Arial" w:hAnsi="Arial"/>
          <w:sz w:val="22"/>
          <w:szCs w:val="22"/>
        </w:rPr>
        <w:t xml:space="preserve">    6.2 Placebo and falsification tests</w:t>
      </w:r>
    </w:p>
    <w:p>
      <w:pPr>
        <w:spacing w:after="60"/>
      </w:pPr>
      <w:r>
        <w:rPr>
          <w:rFonts w:ascii="Arial" w:cs="Arial" w:eastAsia="Arial" w:hAnsi="Arial"/>
          <w:sz w:val="22"/>
          <w:szCs w:val="22"/>
        </w:rPr>
        <w:t xml:space="preserve">    6.3 Anticipation, spillovers, and SUTVA</w:t>
      </w:r>
    </w:p>
    <w:p>
      <w:pPr>
        <w:spacing w:after="60"/>
      </w:pPr>
      <w:r>
        <w:rPr>
          <w:rFonts w:ascii="Arial" w:cs="Arial" w:eastAsia="Arial" w:hAnsi="Arial"/>
          <w:sz w:val="22"/>
          <w:szCs w:val="22"/>
        </w:rPr>
        <w:t xml:space="preserve">Part VII — Application: your mutual fund staggered DiD</w:t>
      </w:r>
    </w:p>
    <w:p>
      <w:pPr>
        <w:spacing w:after="60"/>
      </w:pPr>
      <w:r>
        <w:rPr>
          <w:rFonts w:ascii="Arial" w:cs="Arial" w:eastAsia="Arial" w:hAnsi="Arial"/>
          <w:sz w:val="22"/>
          <w:szCs w:val="22"/>
        </w:rPr>
        <w:t xml:space="preserve">    7.1 Diagnostic questions</w:t>
      </w:r>
    </w:p>
    <w:p>
      <w:pPr>
        <w:spacing w:after="60"/>
      </w:pPr>
      <w:r>
        <w:rPr>
          <w:rFonts w:ascii="Arial" w:cs="Arial" w:eastAsia="Arial" w:hAnsi="Arial"/>
          <w:sz w:val="22"/>
          <w:szCs w:val="22"/>
        </w:rPr>
        <w:t xml:space="preserve">    7.2 Decision tree for estimator choice</w:t>
      </w:r>
    </w:p>
    <w:p>
      <w:pPr>
        <w:spacing w:after="60"/>
      </w:pPr>
      <w:r>
        <w:rPr>
          <w:rFonts w:ascii="Arial" w:cs="Arial" w:eastAsia="Arial" w:hAnsi="Arial"/>
          <w:sz w:val="22"/>
          <w:szCs w:val="22"/>
        </w:rPr>
        <w:t xml:space="preserve">    7.3 Recommended Stata and R packages</w:t>
      </w:r>
    </w:p>
    <w:p>
      <w:pPr>
        <w:spacing w:after="60"/>
      </w:pPr>
      <w:r>
        <w:rPr>
          <w:rFonts w:ascii="Arial" w:cs="Arial" w:eastAsia="Arial" w:hAnsi="Arial"/>
          <w:sz w:val="22"/>
          <w:szCs w:val="22"/>
        </w:rPr>
        <w:t xml:space="preserve">    7.4 Reporting checklist</w:t>
      </w:r>
    </w:p>
    <w:p>
      <w:pPr>
        <w:spacing w:after="60"/>
      </w:pPr>
      <w:r>
        <w:rPr>
          <w:rFonts w:ascii="Arial" w:cs="Arial" w:eastAsia="Arial" w:hAnsi="Arial"/>
          <w:sz w:val="22"/>
          <w:szCs w:val="22"/>
        </w:rPr>
        <w:t xml:space="preserve">Part VIII — Reading roadmap and key papers</w:t>
      </w:r>
    </w:p>
    <w:p>
      <w:pPr>
        <w:spacing w:after="60"/>
      </w:pPr>
      <w:r>
        <w:rPr>
          <w:rFonts w:ascii="Arial" w:cs="Arial" w:eastAsia="Arial" w:hAnsi="Arial"/>
          <w:sz w:val="22"/>
          <w:szCs w:val="22"/>
        </w:rPr>
        <w:t xml:space="preserve">Glossary and key formulas</w:t>
      </w:r>
    </w:p>
    <w:p>
      <w:r>
        <w:br w:type="page"/>
      </w:r>
    </w:p>
    <w:p>
      <w:pPr>
        <w:pStyle w:val="Heading1"/>
        <w:spacing w:after="200" w:before="360"/>
      </w:pPr>
      <w:r>
        <w:rPr>
          <w:rFonts w:ascii="Arial" w:cs="Arial" w:eastAsia="Arial" w:hAnsi="Arial"/>
          <w:b/>
          <w:bCs/>
          <w:color w:val="1F3864"/>
          <w:sz w:val="32"/>
          <w:szCs w:val="32"/>
        </w:rPr>
        <w:t xml:space="preserve">Part I — Classical 2×2 Difference-in-Differences</w:t>
      </w:r>
    </w:p>
    <w:p>
      <w:pPr>
        <w:pStyle w:val="Heading2"/>
        <w:spacing w:after="160" w:before="280"/>
      </w:pPr>
      <w:r>
        <w:rPr>
          <w:rFonts w:ascii="Arial" w:cs="Arial" w:eastAsia="Arial" w:hAnsi="Arial"/>
          <w:b/>
          <w:bCs/>
          <w:color w:val="2E75B6"/>
          <w:sz w:val="26"/>
          <w:szCs w:val="26"/>
        </w:rPr>
        <w:t xml:space="preserve">1.1 The fundamental problem of causal inference</w:t>
      </w:r>
    </w:p>
    <w:p>
      <w:pPr>
        <w:spacing w:after="120" w:line="300"/>
      </w:pPr>
      <w:r>
        <w:rPr>
          <w:rFonts w:ascii="Arial" w:cs="Arial" w:eastAsia="Arial" w:hAnsi="Arial"/>
          <w:sz w:val="22"/>
          <w:szCs w:val="22"/>
        </w:rPr>
        <w:t xml:space="preserve">Causal inference asks: what would have happened to the treated unit if it had not been treated? This counterfactual outcome is unobservable. Every causal method is, at heart, a strategy for estimating that missing counterfactual.</w:t>
      </w:r>
    </w:p>
    <w:p>
      <w:pPr>
        <w:spacing w:after="120" w:line="300"/>
      </w:pPr>
      <w:r>
        <w:rPr>
          <w:rFonts w:ascii="Arial" w:cs="Arial" w:eastAsia="Arial" w:hAnsi="Arial"/>
          <w:sz w:val="22"/>
          <w:szCs w:val="22"/>
        </w:rPr>
        <w:t xml:space="preserve">Notation. Let Y(1) be the outcome under treatment and Y(0) the outcome without treatment. For unit i in period t, only one of the two potential outcomes is observed:</w:t>
      </w:r>
    </w:p>
    <w:p>
      <w:pPr>
        <w:spacing w:after="120" w:before="120"/>
        <w:jc w:val="center"/>
      </w:pPr>
      <w:r>
        <w:rPr>
          <w:rFonts w:ascii="Cambria Math" w:cs="Cambria Math" w:eastAsia="Cambria Math" w:hAnsi="Cambria Math"/>
          <w:i/>
          <w:iCs/>
          <w:sz w:val="24"/>
          <w:szCs w:val="24"/>
        </w:rPr>
        <w:t xml:space="preserve">Y_it = D_it · Y_it(1) + (1 − D_it) · Y_it(0)</w:t>
      </w:r>
    </w:p>
    <w:p>
      <w:pPr>
        <w:spacing w:after="120" w:line="300"/>
      </w:pPr>
      <w:r>
        <w:rPr>
          <w:rFonts w:ascii="Arial" w:cs="Arial" w:eastAsia="Arial" w:hAnsi="Arial"/>
          <w:sz w:val="22"/>
          <w:szCs w:val="22"/>
        </w:rPr>
        <w:t xml:space="preserve">where D_it = 1 if unit i is treated in period t, 0 otherwise. The individual treatment effect is τ_it = Y_it(1) − Y_it(0), and the average treatment effect on the treated (ATT) is the average of τ_it over treated unit-periods.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FFF2CC" w:val="clear"/>
            <w:tcMar>
              <w:top w:type="dxa" w:w="160"/>
              <w:left w:type="dxa" w:w="200"/>
              <w:bottom w:type="dxa" w:w="160"/>
              <w:right w:type="dxa" w:w="200"/>
            </w:tcMar>
          </w:tcPr>
          <w:p>
            <w:pPr>
              <w:spacing w:after="80"/>
            </w:pPr>
            <w:r>
              <w:rPr>
                <w:rFonts w:ascii="Arial" w:cs="Arial" w:eastAsia="Arial" w:hAnsi="Arial"/>
                <w:b/>
                <w:bCs/>
                <w:color w:val="7F6000"/>
                <w:sz w:val="22"/>
                <w:szCs w:val="22"/>
              </w:rPr>
              <w:t xml:space="preserve">Why this matters for you</w:t>
            </w:r>
          </w:p>
          <w:p>
            <w:pPr>
              <w:spacing w:after="120" w:line="300"/>
            </w:pPr>
            <w:r>
              <w:rPr>
                <w:rFonts w:ascii="Arial" w:cs="Arial" w:eastAsia="Arial" w:hAnsi="Arial"/>
                <w:sz w:val="22"/>
                <w:szCs w:val="22"/>
              </w:rPr>
              <w:t xml:space="preserve">Your paper asks: did mutual funds change behavior because of a policy? You can observe what funds did. You cannot observe what those same funds would have done in the absence of the policy. Every DiD specification you write is a different way of estimating that missing counterfactual.</w:t>
            </w:r>
          </w:p>
        </w:tc>
      </w:tr>
    </w:tbl>
    <w:p>
      <w:pPr>
        <w:pStyle w:val="Heading2"/>
        <w:spacing w:after="160" w:before="280"/>
      </w:pPr>
      <w:r>
        <w:rPr>
          <w:rFonts w:ascii="Arial" w:cs="Arial" w:eastAsia="Arial" w:hAnsi="Arial"/>
          <w:b/>
          <w:bCs/>
          <w:color w:val="2E75B6"/>
          <w:sz w:val="26"/>
          <w:szCs w:val="26"/>
        </w:rPr>
        <w:t xml:space="preserve">1.2 The 2x2 estimator</w:t>
      </w:r>
    </w:p>
    <w:p>
      <w:pPr>
        <w:spacing w:after="120" w:line="300"/>
      </w:pPr>
      <w:r>
        <w:rPr>
          <w:rFonts w:ascii="Arial" w:cs="Arial" w:eastAsia="Arial" w:hAnsi="Arial"/>
          <w:sz w:val="22"/>
          <w:szCs w:val="22"/>
        </w:rPr>
        <w:t xml:space="preserve">The simplest DiD has two groups (treated, control) and two periods (pre, post). The estimator is:</w:t>
      </w:r>
    </w:p>
    <w:p>
      <w:pPr>
        <w:spacing w:after="120" w:before="120"/>
        <w:jc w:val="center"/>
      </w:pPr>
      <w:r>
        <w:rPr>
          <w:rFonts w:ascii="Cambria Math" w:cs="Cambria Math" w:eastAsia="Cambria Math" w:hAnsi="Cambria Math"/>
          <w:i/>
          <w:iCs/>
          <w:sz w:val="24"/>
          <w:szCs w:val="24"/>
        </w:rPr>
        <w:t xml:space="preserve">τ̂_DiD = (Ȳ_T,post − Ȳ_T,pre) − (Ȳ_C,post − Ȳ_C,pre)</w:t>
      </w:r>
    </w:p>
    <w:p>
      <w:pPr>
        <w:spacing w:after="120" w:line="300"/>
      </w:pPr>
      <w:r>
        <w:rPr>
          <w:rFonts w:ascii="Arial" w:cs="Arial" w:eastAsia="Arial" w:hAnsi="Arial"/>
          <w:sz w:val="22"/>
          <w:szCs w:val="22"/>
        </w:rPr>
        <w:t xml:space="preserve">Read: take the change in the treated group's outcome, subtract the change in the control group's outcome. The first difference removes time-invariant unit characteristics; the second difference removes common time shocks. What is left, under the parallel trends assumption, is the causal effect.</w:t>
      </w:r>
    </w:p>
    <w:p>
      <w:pPr>
        <w:pStyle w:val="Heading3"/>
        <w:spacing w:after="120" w:before="200"/>
      </w:pPr>
      <w:r>
        <w:rPr>
          <w:rFonts w:ascii="Arial" w:cs="Arial" w:eastAsia="Arial" w:hAnsi="Arial"/>
          <w:b/>
          <w:bCs/>
          <w:color w:val="2E75B6"/>
          <w:sz w:val="23"/>
          <w:szCs w:val="23"/>
        </w:rPr>
        <w:t xml:space="preserve">A worked stylized example</w:t>
      </w:r>
    </w:p>
    <w:p>
      <w:pPr>
        <w:spacing w:after="120" w:line="300"/>
      </w:pPr>
      <w:r>
        <w:rPr>
          <w:rFonts w:ascii="Arial" w:cs="Arial" w:eastAsia="Arial" w:hAnsi="Arial"/>
          <w:sz w:val="22"/>
          <w:szCs w:val="22"/>
        </w:rPr>
        <w:t xml:space="preserve">Suppose 50 mutual funds hold securities affected by a new disclosure rule. 50 other funds do not. You observe each fund's tracking error before and after the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rPr>
          <w:tblHeader/>
        </w:trPr>
        <w:tc>
          <w:tcPr>
            <w:tcW w:type="dxa" w:w="270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
            </w:r>
          </w:p>
        </w:tc>
        <w:tc>
          <w:tcPr>
            <w:tcW w:type="dxa" w:w="222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Pre-policy mean</w:t>
            </w:r>
          </w:p>
        </w:tc>
        <w:tc>
          <w:tcPr>
            <w:tcW w:type="dxa" w:w="222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Post-policy mean</w:t>
            </w:r>
          </w:p>
        </w:tc>
        <w:tc>
          <w:tcPr>
            <w:tcW w:type="dxa" w:w="222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First difference</w:t>
            </w:r>
          </w:p>
        </w:tc>
      </w:tr>
      <w:tr>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Treated funds</w:t>
            </w:r>
          </w:p>
        </w:tc>
        <w:tc>
          <w:tcPr>
            <w:tcW w:type="dxa" w:w="22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0.80%</w:t>
            </w:r>
          </w:p>
        </w:tc>
        <w:tc>
          <w:tcPr>
            <w:tcW w:type="dxa" w:w="22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1.10%</w:t>
            </w:r>
          </w:p>
        </w:tc>
        <w:tc>
          <w:tcPr>
            <w:tcW w:type="dxa" w:w="22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+0.30 pp</w:t>
            </w:r>
          </w:p>
        </w:tc>
      </w:tr>
      <w:tr>
        <w:tc>
          <w:tcPr>
            <w:tcW w:type="dxa" w:w="2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Control funds</w:t>
            </w:r>
          </w:p>
        </w:tc>
        <w:tc>
          <w:tcPr>
            <w:tcW w:type="dxa" w:w="22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0.85%</w:t>
            </w:r>
          </w:p>
        </w:tc>
        <w:tc>
          <w:tcPr>
            <w:tcW w:type="dxa" w:w="22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0.95%</w:t>
            </w:r>
          </w:p>
        </w:tc>
        <w:tc>
          <w:tcPr>
            <w:tcW w:type="dxa" w:w="22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+0.10 pp</w:t>
            </w:r>
          </w:p>
        </w:tc>
      </w:tr>
      <w:tr>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Treated − Control</w:t>
            </w:r>
          </w:p>
        </w:tc>
        <w:tc>
          <w:tcPr>
            <w:tcW w:type="dxa" w:w="22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−0.05 pp</w:t>
            </w:r>
          </w:p>
        </w:tc>
        <w:tc>
          <w:tcPr>
            <w:tcW w:type="dxa" w:w="22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+0.15 pp</w:t>
            </w:r>
          </w:p>
        </w:tc>
        <w:tc>
          <w:tcPr>
            <w:tcW w:type="dxa" w:w="22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+0.20 pp</w:t>
            </w:r>
          </w:p>
        </w:tc>
      </w:tr>
    </w:tbl>
    <w:p>
      <w:pPr>
        <w:spacing w:after="120"/>
      </w:pPr>
      <w:r>
        <w:t xml:space="preserve"/>
      </w:r>
    </w:p>
    <w:p>
      <w:pPr>
        <w:spacing w:after="120" w:line="300"/>
      </w:pPr>
      <w:r>
        <w:rPr>
          <w:rFonts w:ascii="Arial" w:cs="Arial" w:eastAsia="Arial" w:hAnsi="Arial"/>
          <w:sz w:val="22"/>
          <w:szCs w:val="22"/>
        </w:rPr>
        <w:t xml:space="preserve">The DiD estimate is +0.20 percentage points. Tracking error rose more for treated funds than for control funds. If you believe parallel trends, this is the policy's causal effect on tracking error.</w:t>
      </w:r>
    </w:p>
    <w:p>
      <w:pPr>
        <w:pStyle w:val="Heading2"/>
        <w:spacing w:after="160" w:before="280"/>
      </w:pPr>
      <w:r>
        <w:rPr>
          <w:rFonts w:ascii="Arial" w:cs="Arial" w:eastAsia="Arial" w:hAnsi="Arial"/>
          <w:b/>
          <w:bCs/>
          <w:color w:val="2E75B6"/>
          <w:sz w:val="26"/>
          <w:szCs w:val="26"/>
        </w:rPr>
        <w:t xml:space="preserve">1.3 The parallel trends assumption</w:t>
      </w:r>
    </w:p>
    <w:p>
      <w:pPr>
        <w:spacing w:after="120" w:line="300"/>
      </w:pPr>
      <w:r>
        <w:rPr>
          <w:rFonts w:ascii="Arial" w:cs="Arial" w:eastAsia="Arial" w:hAnsi="Arial"/>
          <w:sz w:val="22"/>
          <w:szCs w:val="22"/>
        </w:rPr>
        <w:t xml:space="preserve">Parallel trends says: in the absence of treatment, the average outcome for the treated group would have evolved parallel to the control group. Formally,</w:t>
      </w:r>
    </w:p>
    <w:p>
      <w:pPr>
        <w:spacing w:after="120" w:before="120"/>
        <w:jc w:val="center"/>
      </w:pPr>
      <w:r>
        <w:rPr>
          <w:rFonts w:ascii="Cambria Math" w:cs="Cambria Math" w:eastAsia="Cambria Math" w:hAnsi="Cambria Math"/>
          <w:i/>
          <w:iCs/>
          <w:sz w:val="24"/>
          <w:szCs w:val="24"/>
        </w:rPr>
        <w:t xml:space="preserve">E[Y_it(0) | T=treated, t=post] − E[Y_it(0) | T=treated, t=pre] = E[Y_it(0) | T=control, t=post] − E[Y_it(0) | T=control, t=pre]</w:t>
      </w:r>
    </w:p>
    <w:p>
      <w:pPr>
        <w:spacing w:after="120" w:line="300"/>
      </w:pPr>
      <w:r>
        <w:rPr>
          <w:rFonts w:ascii="Arial" w:cs="Arial" w:eastAsia="Arial" w:hAnsi="Arial"/>
          <w:sz w:val="22"/>
          <w:szCs w:val="22"/>
        </w:rPr>
        <w:t xml:space="preserve">This is a counterfactual statement — it concerns what would have happened to treated units' Y(0) in the post period. It is fundamentally untestable because we never observe Y(0) for treated units in the post period. We can only test whether trends were parallel before treatment, and use that as suggestive evidence.</w:t>
      </w:r>
    </w:p>
    <w:p>
      <w:pPr>
        <w:pStyle w:val="Heading3"/>
        <w:spacing w:after="120" w:before="200"/>
      </w:pPr>
      <w:r>
        <w:rPr>
          <w:rFonts w:ascii="Arial" w:cs="Arial" w:eastAsia="Arial" w:hAnsi="Arial"/>
          <w:b/>
          <w:bCs/>
          <w:color w:val="2E75B6"/>
          <w:sz w:val="23"/>
          <w:szCs w:val="23"/>
        </w:rPr>
        <w:t xml:space="preserve">Threats to parallel trends in your setting</w:t>
      </w:r>
    </w:p>
    <w:p>
      <w:pPr>
        <w:pStyle w:val="ListParagraph"/>
        <w:numPr>
          <w:ilvl w:val="0"/>
          <w:numId w:val="2"/>
        </w:numPr>
        <w:spacing w:after="60" w:line="280"/>
      </w:pPr>
      <w:r>
        <w:rPr>
          <w:rFonts w:ascii="Arial" w:cs="Arial" w:eastAsia="Arial" w:hAnsi="Arial"/>
          <w:sz w:val="22"/>
          <w:szCs w:val="22"/>
        </w:rPr>
        <w:t xml:space="preserve">Selection on trends. If the policy targeted funds whose tracking errors were already on a different trajectory, parallel trends fails.</w:t>
      </w:r>
    </w:p>
    <w:p>
      <w:pPr>
        <w:pStyle w:val="ListParagraph"/>
        <w:numPr>
          <w:ilvl w:val="0"/>
          <w:numId w:val="2"/>
        </w:numPr>
        <w:spacing w:after="60" w:line="280"/>
      </w:pPr>
      <w:r>
        <w:rPr>
          <w:rFonts w:ascii="Arial" w:cs="Arial" w:eastAsia="Arial" w:hAnsi="Arial"/>
          <w:sz w:val="22"/>
          <w:szCs w:val="22"/>
        </w:rPr>
        <w:t xml:space="preserve">Differential exposure to other shocks. If treated funds happen to be more concentrated in a sector that was hit by a separate shock during your post period, you will mistake that for the policy effect.</w:t>
      </w:r>
    </w:p>
    <w:p>
      <w:pPr>
        <w:pStyle w:val="ListParagraph"/>
        <w:numPr>
          <w:ilvl w:val="0"/>
          <w:numId w:val="2"/>
        </w:numPr>
        <w:spacing w:after="60" w:line="280"/>
      </w:pPr>
      <w:r>
        <w:rPr>
          <w:rFonts w:ascii="Arial" w:cs="Arial" w:eastAsia="Arial" w:hAnsi="Arial"/>
          <w:sz w:val="22"/>
          <w:szCs w:val="22"/>
        </w:rPr>
        <w:t xml:space="preserve">Reverse causation through anticipation. If funds anticipated the policy and started adjusting before the official date, your pre-period is contaminated.</w:t>
      </w:r>
    </w:p>
    <w:p>
      <w:pPr>
        <w:pStyle w:val="Heading2"/>
        <w:spacing w:after="160" w:before="280"/>
      </w:pPr>
      <w:r>
        <w:rPr>
          <w:rFonts w:ascii="Arial" w:cs="Arial" w:eastAsia="Arial" w:hAnsi="Arial"/>
          <w:b/>
          <w:bCs/>
          <w:color w:val="2E75B6"/>
          <w:sz w:val="26"/>
          <w:szCs w:val="26"/>
        </w:rPr>
        <w:t xml:space="preserve">1.4 Regression form of the 2x2</w:t>
      </w:r>
    </w:p>
    <w:p>
      <w:pPr>
        <w:spacing w:after="120" w:line="300"/>
      </w:pPr>
      <w:r>
        <w:rPr>
          <w:rFonts w:ascii="Arial" w:cs="Arial" w:eastAsia="Arial" w:hAnsi="Arial"/>
          <w:sz w:val="22"/>
          <w:szCs w:val="22"/>
        </w:rPr>
        <w:t xml:space="preserve">The same estimator can be obtained from a regression:</w:t>
      </w:r>
    </w:p>
    <w:p>
      <w:pPr>
        <w:spacing w:after="120" w:before="120"/>
        <w:jc w:val="center"/>
      </w:pPr>
      <w:r>
        <w:rPr>
          <w:rFonts w:ascii="Cambria Math" w:cs="Cambria Math" w:eastAsia="Cambria Math" w:hAnsi="Cambria Math"/>
          <w:i/>
          <w:iCs/>
          <w:sz w:val="24"/>
          <w:szCs w:val="24"/>
        </w:rPr>
        <w:t xml:space="preserve">Y_it = α + β · Treat_i + γ · Post_t + δ · (Treat_i × Post_t) + ε_it</w:t>
      </w:r>
    </w:p>
    <w:p>
      <w:pPr>
        <w:spacing w:after="120" w:line="300"/>
      </w:pPr>
      <w:r>
        <w:rPr>
          <w:rFonts w:ascii="Arial" w:cs="Arial" w:eastAsia="Arial" w:hAnsi="Arial"/>
          <w:sz w:val="22"/>
          <w:szCs w:val="22"/>
        </w:rPr>
        <w:t xml:space="preserve">Definitions: α is the pre-period mean for control funds; β is the level difference between treated and control in the pre-period; γ is the time change for control funds; δ is the DiD estimate — the additional change experienced by treated funds. The hypothesis test on δ is your test for a policy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DEEAF6" w:val="clear"/>
            <w:tcMar>
              <w:top w:type="dxa" w:w="160"/>
              <w:left w:type="dxa" w:w="200"/>
              <w:bottom w:type="dxa" w:w="160"/>
              <w:right w:type="dxa" w:w="200"/>
            </w:tcMar>
          </w:tcPr>
          <w:p>
            <w:pPr>
              <w:spacing w:after="80"/>
            </w:pPr>
            <w:r>
              <w:rPr>
                <w:rFonts w:ascii="Arial" w:cs="Arial" w:eastAsia="Arial" w:hAnsi="Arial"/>
                <w:b/>
                <w:bCs/>
                <w:color w:val="7F6000"/>
                <w:sz w:val="22"/>
                <w:szCs w:val="22"/>
              </w:rPr>
              <w:t xml:space="preserve">Equivalent two-way fixed effects form</w:t>
            </w:r>
          </w:p>
          <w:p>
            <w:pPr>
              <w:spacing w:after="120" w:line="300"/>
            </w:pPr>
            <w:r>
              <w:rPr>
                <w:rFonts w:ascii="Arial" w:cs="Arial" w:eastAsia="Arial" w:hAnsi="Arial"/>
                <w:sz w:val="22"/>
                <w:szCs w:val="22"/>
              </w:rPr>
              <w:t xml:space="preserve">With unit and time fixed effects, the same δ comes from:</w:t>
            </w:r>
          </w:p>
          <w:p>
            <w:pPr>
              <w:spacing w:after="120" w:before="120"/>
              <w:jc w:val="center"/>
            </w:pPr>
            <w:r>
              <w:rPr>
                <w:rFonts w:ascii="Cambria Math" w:cs="Cambria Math" w:eastAsia="Cambria Math" w:hAnsi="Cambria Math"/>
                <w:i/>
                <w:iCs/>
                <w:sz w:val="24"/>
                <w:szCs w:val="24"/>
              </w:rPr>
              <w:t xml:space="preserve">Y_it = α_i + λ_t + δ · D_it + ε_it</w:t>
            </w:r>
          </w:p>
          <w:p>
            <w:pPr>
              <w:spacing w:after="120" w:line="300"/>
            </w:pPr>
            <w:r>
              <w:rPr>
                <w:rFonts w:ascii="Arial" w:cs="Arial" w:eastAsia="Arial" w:hAnsi="Arial"/>
                <w:sz w:val="22"/>
                <w:szCs w:val="22"/>
              </w:rPr>
              <w:t xml:space="preserve">where α_i is a fund fixed effect, λ_t is a time fixed effect, and D_it = 1 if fund i is treated in period t. With two periods and two groups, this gives identically the same DiD estimate as the regression above. Things change once you have multiple groups treated at different times — see Part III.</w:t>
            </w:r>
          </w:p>
        </w:tc>
      </w:tr>
    </w:tbl>
    <w:p>
      <w:pPr>
        <w:pStyle w:val="Heading2"/>
        <w:spacing w:after="160" w:before="280"/>
      </w:pPr>
      <w:r>
        <w:rPr>
          <w:rFonts w:ascii="Arial" w:cs="Arial" w:eastAsia="Arial" w:hAnsi="Arial"/>
          <w:b/>
          <w:bCs/>
          <w:color w:val="2E75B6"/>
          <w:sz w:val="26"/>
          <w:szCs w:val="26"/>
        </w:rPr>
        <w:t xml:space="preserve">1.5 Standard errors and clustering</w:t>
      </w:r>
    </w:p>
    <w:p>
      <w:pPr>
        <w:spacing w:after="120" w:line="300"/>
      </w:pPr>
      <w:r>
        <w:rPr>
          <w:rFonts w:ascii="Arial" w:cs="Arial" w:eastAsia="Arial" w:hAnsi="Arial"/>
          <w:sz w:val="22"/>
          <w:szCs w:val="22"/>
        </w:rPr>
        <w:t xml:space="preserve">Bertrand, Duflo, and Mullainathan (2004) showed that DiD standard errors are seriously understated if you ignore serial correlation in Y_it. The fix: cluster standard errors at the level of treatment assignment — almost always the unit level (fund, in your case).</w:t>
      </w:r>
    </w:p>
    <w:p>
      <w:pPr>
        <w:spacing w:after="120" w:line="300"/>
      </w:pPr>
      <w:r>
        <w:rPr>
          <w:rFonts w:ascii="Arial" w:cs="Arial" w:eastAsia="Arial" w:hAnsi="Arial"/>
          <w:sz w:val="22"/>
          <w:szCs w:val="22"/>
        </w:rPr>
        <w:t xml:space="preserve">Two practical points:</w:t>
      </w:r>
    </w:p>
    <w:p>
      <w:pPr>
        <w:pStyle w:val="ListParagraph"/>
        <w:numPr>
          <w:ilvl w:val="0"/>
          <w:numId w:val="2"/>
        </w:numPr>
        <w:spacing w:after="60" w:line="280"/>
      </w:pPr>
      <w:r>
        <w:rPr>
          <w:rFonts w:ascii="Arial" w:cs="Arial" w:eastAsia="Arial" w:hAnsi="Arial"/>
          <w:sz w:val="22"/>
          <w:szCs w:val="22"/>
        </w:rPr>
        <w:t xml:space="preserve">Cluster at the level of treatment assignment, not the level of observation. If treatment is at the fund level and varies over time, cluster at the fund level.</w:t>
      </w:r>
    </w:p>
    <w:p>
      <w:pPr>
        <w:pStyle w:val="ListParagraph"/>
        <w:numPr>
          <w:ilvl w:val="0"/>
          <w:numId w:val="2"/>
        </w:numPr>
        <w:spacing w:after="60" w:line="280"/>
      </w:pPr>
      <w:r>
        <w:rPr>
          <w:rFonts w:ascii="Arial" w:cs="Arial" w:eastAsia="Arial" w:hAnsi="Arial"/>
          <w:sz w:val="22"/>
          <w:szCs w:val="22"/>
        </w:rPr>
        <w:t xml:space="preserve">With few clusters (fewer than ~30 treated funds, for example), use wild cluster bootstrap (boottest in Stata, fwildclusterboot in R) to avoid over-rejection.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II — Multiple periods, multiple groups: TWFE</w:t>
      </w:r>
    </w:p>
    <w:p>
      <w:pPr>
        <w:pStyle w:val="Heading2"/>
        <w:spacing w:after="160" w:before="280"/>
      </w:pPr>
      <w:r>
        <w:rPr>
          <w:rFonts w:ascii="Arial" w:cs="Arial" w:eastAsia="Arial" w:hAnsi="Arial"/>
          <w:b/>
          <w:bCs/>
          <w:color w:val="2E75B6"/>
          <w:sz w:val="26"/>
          <w:szCs w:val="26"/>
        </w:rPr>
        <w:t xml:space="preserve">2.1 Two-way fixed effects intuition</w:t>
      </w:r>
    </w:p>
    <w:p>
      <w:pPr>
        <w:spacing w:after="120" w:line="300"/>
      </w:pPr>
      <w:r>
        <w:rPr>
          <w:rFonts w:ascii="Arial" w:cs="Arial" w:eastAsia="Arial" w:hAnsi="Arial"/>
          <w:sz w:val="22"/>
          <w:szCs w:val="22"/>
        </w:rPr>
        <w:t xml:space="preserve">Real research rarely has two periods and two groups. You will usually have many funds and many quarters. The natural extension is two-way fixed effects (TWFE):</w:t>
      </w:r>
    </w:p>
    <w:p>
      <w:pPr>
        <w:spacing w:after="120" w:before="120"/>
        <w:jc w:val="center"/>
      </w:pPr>
      <w:r>
        <w:rPr>
          <w:rFonts w:ascii="Cambria Math" w:cs="Cambria Math" w:eastAsia="Cambria Math" w:hAnsi="Cambria Math"/>
          <w:i/>
          <w:iCs/>
          <w:sz w:val="24"/>
          <w:szCs w:val="24"/>
        </w:rPr>
        <w:t xml:space="preserve">Y_it = α_i + λ_t + δ · D_it + ε_it</w:t>
      </w:r>
    </w:p>
    <w:p>
      <w:pPr>
        <w:spacing w:after="120" w:line="300"/>
      </w:pPr>
      <w:r>
        <w:rPr>
          <w:rFonts w:ascii="Arial" w:cs="Arial" w:eastAsia="Arial" w:hAnsi="Arial"/>
          <w:sz w:val="22"/>
          <w:szCs w:val="22"/>
        </w:rPr>
        <w:t xml:space="preserve">Here α_i absorbs every fund-specific characteristic that does not change over time (style, family, manager experience averaged across the sample). λ_t absorbs every period-specific shock that hits all funds equally (a market-wide volatility spike). The coefficient δ identifies the treatment effect from variation that is not explained by either set of fixed effects.</w:t>
      </w:r>
    </w:p>
    <w:p>
      <w:pPr>
        <w:pStyle w:val="Heading2"/>
        <w:spacing w:after="160" w:before="280"/>
      </w:pPr>
      <w:r>
        <w:rPr>
          <w:rFonts w:ascii="Arial" w:cs="Arial" w:eastAsia="Arial" w:hAnsi="Arial"/>
          <w:b/>
          <w:bCs/>
          <w:color w:val="2E75B6"/>
          <w:sz w:val="26"/>
          <w:szCs w:val="26"/>
        </w:rPr>
        <w:t xml:space="preserve">2.2 When TWFE is a clean DiD</w:t>
      </w:r>
    </w:p>
    <w:p>
      <w:pPr>
        <w:spacing w:after="120" w:line="300"/>
      </w:pPr>
      <w:r>
        <w:rPr>
          <w:rFonts w:ascii="Arial" w:cs="Arial" w:eastAsia="Arial" w:hAnsi="Arial"/>
          <w:sz w:val="22"/>
          <w:szCs w:val="22"/>
        </w:rPr>
        <w:t xml:space="preserve">If treatment is binary, absorbing (no one becomes untreated once treated), and turns on at the same time for all treated units, then TWFE recovers the same δ as the 2x2 DiD. Parallel trends is still required.</w:t>
      </w:r>
    </w:p>
    <w:p>
      <w:pPr>
        <w:spacing w:after="120" w:line="300"/>
      </w:pPr>
      <w:r>
        <w:rPr>
          <w:rFonts w:ascii="Arial" w:cs="Arial" w:eastAsia="Arial" w:hAnsi="Arial"/>
          <w:sz w:val="22"/>
          <w:szCs w:val="22"/>
        </w:rPr>
        <w:t xml:space="preserve">All three of those conditions matter:</w:t>
      </w:r>
    </w:p>
    <w:p>
      <w:pPr>
        <w:pStyle w:val="ListParagraph"/>
        <w:numPr>
          <w:ilvl w:val="0"/>
          <w:numId w:val="2"/>
        </w:numPr>
        <w:spacing w:after="60" w:line="280"/>
      </w:pPr>
      <w:r>
        <w:rPr>
          <w:rFonts w:ascii="Arial" w:cs="Arial" w:eastAsia="Arial" w:hAnsi="Arial"/>
          <w:sz w:val="22"/>
          <w:szCs w:val="22"/>
        </w:rPr>
        <w:t xml:space="preserve">Binary: D_it = 0 or 1, no intensity variation.</w:t>
      </w:r>
    </w:p>
    <w:p>
      <w:pPr>
        <w:pStyle w:val="ListParagraph"/>
        <w:numPr>
          <w:ilvl w:val="0"/>
          <w:numId w:val="2"/>
        </w:numPr>
        <w:spacing w:after="60" w:line="280"/>
      </w:pPr>
      <w:r>
        <w:rPr>
          <w:rFonts w:ascii="Arial" w:cs="Arial" w:eastAsia="Arial" w:hAnsi="Arial"/>
          <w:sz w:val="22"/>
          <w:szCs w:val="22"/>
        </w:rPr>
        <w:t xml:space="preserve">Absorbing: once a fund is treated, it stays treated.</w:t>
      </w:r>
    </w:p>
    <w:p>
      <w:pPr>
        <w:pStyle w:val="ListParagraph"/>
        <w:numPr>
          <w:ilvl w:val="0"/>
          <w:numId w:val="2"/>
        </w:numPr>
        <w:spacing w:after="60" w:line="280"/>
      </w:pPr>
      <w:r>
        <w:rPr>
          <w:rFonts w:ascii="Arial" w:cs="Arial" w:eastAsia="Arial" w:hAnsi="Arial"/>
          <w:sz w:val="22"/>
          <w:szCs w:val="22"/>
        </w:rPr>
        <w:t xml:space="preserve">Common timing: every treated fund's policy date is the same.</w:t>
      </w:r>
    </w:p>
    <w:p>
      <w:pPr>
        <w:spacing w:after="120" w:line="300"/>
      </w:pPr>
      <w:r>
        <w:rPr>
          <w:rFonts w:ascii="Arial" w:cs="Arial" w:eastAsia="Arial" w:hAnsi="Arial"/>
          <w:sz w:val="22"/>
          <w:szCs w:val="22"/>
        </w:rPr>
        <w:t xml:space="preserve">In your mutual fund paper with staggered policy timing, condition 3 fails. That is the entire reason Parts III and IV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III — Why staggered DiD breaks TWFE</w:t>
      </w:r>
    </w:p>
    <w:p>
      <w:pPr>
        <w:pStyle w:val="Heading2"/>
        <w:spacing w:after="160" w:before="280"/>
      </w:pPr>
      <w:r>
        <w:rPr>
          <w:rFonts w:ascii="Arial" w:cs="Arial" w:eastAsia="Arial" w:hAnsi="Arial"/>
          <w:b/>
          <w:bCs/>
          <w:color w:val="2E75B6"/>
          <w:sz w:val="26"/>
          <w:szCs w:val="26"/>
        </w:rPr>
        <w:t xml:space="preserve">3.1 The forbidden comparison problem</w:t>
      </w:r>
    </w:p>
    <w:p>
      <w:pPr>
        <w:spacing w:after="120" w:line="300"/>
      </w:pPr>
      <w:r>
        <w:rPr>
          <w:rFonts w:ascii="Arial" w:cs="Arial" w:eastAsia="Arial" w:hAnsi="Arial"/>
          <w:sz w:val="22"/>
          <w:szCs w:val="22"/>
        </w:rPr>
        <w:t xml:space="preserve">In a staggered design, units enter treatment at different times. Imagine three groups of funds: those treated in 2018Q1 (early), those treated in 2020Q1 (late), and those never treated. When you run TWFE, the coefficient δ is a weighted average of all 2×2 DiD comparisons that the data make available, including comparisons between early-treated and late-treated funds.</w:t>
      </w:r>
    </w:p>
    <w:p>
      <w:pPr>
        <w:spacing w:after="120" w:line="300"/>
      </w:pPr>
      <w:r>
        <w:rPr>
          <w:rFonts w:ascii="Arial" w:cs="Arial" w:eastAsia="Arial" w:hAnsi="Arial"/>
          <w:sz w:val="22"/>
          <w:szCs w:val="22"/>
        </w:rPr>
        <w:t xml:space="preserve">That last comparison is dangerous. When we use late-treated funds as the control group for early-treated funds in the period 2018Q1–2020Q1, we are using as a 'control' a group that is itself going to be treated — and in standard models, those late-treated units' Y_it already reflects their own response to the policy by the time they become 'controls' in another comparison. The result: TWFE can give a δ that is biased, sometimes severely, and in extreme cases has the wrong sign.</w:t>
      </w:r>
    </w:p>
    <w:p>
      <w:pPr>
        <w:pStyle w:val="Heading2"/>
        <w:spacing w:after="160" w:before="280"/>
      </w:pPr>
      <w:r>
        <w:rPr>
          <w:rFonts w:ascii="Arial" w:cs="Arial" w:eastAsia="Arial" w:hAnsi="Arial"/>
          <w:b/>
          <w:bCs/>
          <w:color w:val="2E75B6"/>
          <w:sz w:val="26"/>
          <w:szCs w:val="26"/>
        </w:rPr>
        <w:t xml:space="preserve">3.2 Goodman-Bacon decomposition</w:t>
      </w:r>
    </w:p>
    <w:p>
      <w:pPr>
        <w:spacing w:after="120" w:line="300"/>
      </w:pPr>
      <w:r>
        <w:rPr>
          <w:rFonts w:ascii="Arial" w:cs="Arial" w:eastAsia="Arial" w:hAnsi="Arial"/>
          <w:sz w:val="22"/>
          <w:szCs w:val="22"/>
        </w:rPr>
        <w:t xml:space="preserve">Goodman-Bacon (2021) showed that the TWFE coefficient is a weighted average of every possible 2×2 DiD that the panel can produce. The weights depend on group sizes and on how much variance each comparison contributes.</w:t>
      </w:r>
    </w:p>
    <w:p>
      <w:pPr>
        <w:spacing w:after="120" w:line="300"/>
      </w:pPr>
      <w:r>
        <w:rPr>
          <w:rFonts w:ascii="Arial" w:cs="Arial" w:eastAsia="Arial" w:hAnsi="Arial"/>
          <w:sz w:val="22"/>
          <w:szCs w:val="22"/>
        </w:rPr>
        <w:t xml:space="preserve">Three families of 2×2 comparisons appear:</w:t>
      </w:r>
    </w:p>
    <w:p>
      <w:pPr>
        <w:pStyle w:val="ListParagraph"/>
        <w:numPr>
          <w:ilvl w:val="0"/>
          <w:numId w:val="3"/>
        </w:numPr>
        <w:spacing w:after="60" w:line="280"/>
      </w:pPr>
      <w:r>
        <w:rPr>
          <w:rFonts w:ascii="Arial" w:cs="Arial" w:eastAsia="Arial" w:hAnsi="Arial"/>
          <w:sz w:val="22"/>
          <w:szCs w:val="22"/>
        </w:rPr>
        <w:t xml:space="preserve">Treated vs never-treated. Clean — never-treated funds are a true control.</w:t>
      </w:r>
    </w:p>
    <w:p>
      <w:pPr>
        <w:pStyle w:val="ListParagraph"/>
        <w:numPr>
          <w:ilvl w:val="0"/>
          <w:numId w:val="3"/>
        </w:numPr>
        <w:spacing w:after="60" w:line="280"/>
      </w:pPr>
      <w:r>
        <w:rPr>
          <w:rFonts w:ascii="Arial" w:cs="Arial" w:eastAsia="Arial" w:hAnsi="Arial"/>
          <w:sz w:val="22"/>
          <w:szCs w:val="22"/>
        </w:rPr>
        <w:t xml:space="preserve">Early-treated vs late-treated, using the period before the late group is treated. Clean if treatment effects are constant.</w:t>
      </w:r>
    </w:p>
    <w:p>
      <w:pPr>
        <w:pStyle w:val="ListParagraph"/>
        <w:numPr>
          <w:ilvl w:val="0"/>
          <w:numId w:val="3"/>
        </w:numPr>
        <w:spacing w:after="60" w:line="280"/>
      </w:pPr>
      <w:r>
        <w:rPr>
          <w:rFonts w:ascii="Arial" w:cs="Arial" w:eastAsia="Arial" w:hAnsi="Arial"/>
          <w:sz w:val="22"/>
          <w:szCs w:val="22"/>
        </w:rPr>
        <w:t xml:space="preserve">Late-treated vs early-treated, using the period after the early group is treated. </w:t>
      </w:r>
      <w:r>
        <w:rPr>
          <w:rFonts w:ascii="Arial" w:cs="Arial" w:eastAsia="Arial" w:hAnsi="Arial"/>
          <w:b/>
          <w:bCs/>
          <w:sz w:val="22"/>
          <w:szCs w:val="22"/>
        </w:rPr>
        <w:t xml:space="preserve">This is the forbidden comparison.</w:t>
      </w:r>
      <w:r>
        <w:rPr>
          <w:rFonts w:ascii="Arial" w:cs="Arial" w:eastAsia="Arial" w:hAnsi="Arial"/>
          <w:sz w:val="22"/>
          <w:szCs w:val="22"/>
        </w:rPr>
        <w:t xml:space="preserve"> The 'control' here is already treated, so the comparison subtracts off part of the treatment effect — possibly producing negative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FBE5D6" w:val="clear"/>
            <w:tcMar>
              <w:top w:type="dxa" w:w="160"/>
              <w:left w:type="dxa" w:w="200"/>
              <w:bottom w:type="dxa" w:w="160"/>
              <w:right w:type="dxa" w:w="200"/>
            </w:tcMar>
          </w:tcPr>
          <w:p>
            <w:pPr>
              <w:spacing w:after="80"/>
            </w:pPr>
            <w:r>
              <w:rPr>
                <w:rFonts w:ascii="Arial" w:cs="Arial" w:eastAsia="Arial" w:hAnsi="Arial"/>
                <w:b/>
                <w:bCs/>
                <w:color w:val="7F6000"/>
                <w:sz w:val="22"/>
                <w:szCs w:val="22"/>
              </w:rPr>
              <w:t xml:space="preserve">What this means for you</w:t>
            </w:r>
          </w:p>
          <w:p>
            <w:pPr>
              <w:spacing w:after="120" w:line="300"/>
            </w:pPr>
            <w:r>
              <w:rPr>
                <w:rFonts w:ascii="Arial" w:cs="Arial" w:eastAsia="Arial" w:hAnsi="Arial"/>
                <w:sz w:val="22"/>
                <w:szCs w:val="22"/>
              </w:rPr>
              <w:t xml:space="preserve">If you run a single TWFE regression on your mutual fund panel and report δ as 'the effect of the policy', that estimate is a weighted average that includes forbidden comparisons. Reviewers in finance journals are increasingly aware of this and will reject papers that ignore it.</w:t>
            </w:r>
          </w:p>
        </w:tc>
      </w:tr>
    </w:tbl>
    <w:p>
      <w:pPr>
        <w:pStyle w:val="Heading2"/>
        <w:spacing w:after="160" w:before="280"/>
      </w:pPr>
      <w:r>
        <w:rPr>
          <w:rFonts w:ascii="Arial" w:cs="Arial" w:eastAsia="Arial" w:hAnsi="Arial"/>
          <w:b/>
          <w:bCs/>
          <w:color w:val="2E75B6"/>
          <w:sz w:val="26"/>
          <w:szCs w:val="26"/>
        </w:rPr>
        <w:t xml:space="preserve">3.3 Negative weights and sign reversals</w:t>
      </w:r>
    </w:p>
    <w:p>
      <w:pPr>
        <w:spacing w:after="120" w:line="300"/>
      </w:pPr>
      <w:r>
        <w:rPr>
          <w:rFonts w:ascii="Arial" w:cs="Arial" w:eastAsia="Arial" w:hAnsi="Arial"/>
          <w:sz w:val="22"/>
          <w:szCs w:val="22"/>
        </w:rPr>
        <w:t xml:space="preserve">de Chaisemartin and D'Haultfoeuille (2020) formalized the concern: under heterogeneous treatment effects (which are the rule, not the exception), the TWFE estimator places negative weights on some unit-time treatment effects. If treatment effects grow or shrink over time — entirely plausible for a policy that funds adapt to gradually — these negative weights can produce a δ that is the opposite sign from every individual treatment effect.</w:t>
      </w:r>
    </w:p>
    <w:p>
      <w:pPr>
        <w:spacing w:after="120" w:line="300"/>
      </w:pPr>
      <w:r>
        <w:rPr>
          <w:rFonts w:ascii="Arial" w:cs="Arial" w:eastAsia="Arial" w:hAnsi="Arial"/>
          <w:sz w:val="22"/>
          <w:szCs w:val="22"/>
        </w:rPr>
        <w:t xml:space="preserve">Practical diagnostic: run </w:t>
      </w:r>
    </w:p>
    <w:p>
      <w:pPr>
        <w:pStyle w:val="ListParagraph"/>
        <w:numPr>
          <w:ilvl w:val="0"/>
          <w:numId w:val="2"/>
        </w:numPr>
        <w:spacing w:after="60" w:line="280"/>
      </w:pPr>
      <w:r>
        <w:rPr>
          <w:rFonts w:ascii="Arial" w:cs="Arial" w:eastAsia="Arial" w:hAnsi="Arial"/>
          <w:sz w:val="22"/>
          <w:szCs w:val="22"/>
        </w:rPr>
        <w:t xml:space="preserve">bacondecomp in Stata or did_imputation post-estimation tools.</w:t>
      </w:r>
    </w:p>
    <w:p>
      <w:pPr>
        <w:spacing w:after="120" w:line="300"/>
      </w:pPr>
      <w:r>
        <w:rPr>
          <w:rFonts w:ascii="Arial" w:cs="Arial" w:eastAsia="Arial" w:hAnsi="Arial"/>
          <w:sz w:val="22"/>
          <w:szCs w:val="22"/>
        </w:rPr>
        <w:t xml:space="preserve">If a large share of weight comes from forbidden comparisons, your TWFE δ is unreliable and you must use a modern estimator (Part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IV — Modern staggered DiD estimators</w:t>
      </w:r>
    </w:p>
    <w:p>
      <w:pPr>
        <w:spacing w:after="120" w:line="300"/>
      </w:pPr>
      <w:r>
        <w:rPr>
          <w:rFonts w:ascii="Arial" w:cs="Arial" w:eastAsia="Arial" w:hAnsi="Arial"/>
          <w:sz w:val="22"/>
          <w:szCs w:val="22"/>
        </w:rPr>
        <w:t xml:space="preserve">All four estimators below share a common philosophy: build the ATT from clean 2×2 comparisons that never use already-treated units as controls, and aggregate them into interpretable summaries.</w:t>
      </w:r>
    </w:p>
    <w:p>
      <w:pPr>
        <w:pStyle w:val="Heading2"/>
        <w:spacing w:after="160" w:before="280"/>
      </w:pPr>
      <w:r>
        <w:rPr>
          <w:rFonts w:ascii="Arial" w:cs="Arial" w:eastAsia="Arial" w:hAnsi="Arial"/>
          <w:b/>
          <w:bCs/>
          <w:color w:val="2E75B6"/>
          <w:sz w:val="26"/>
          <w:szCs w:val="26"/>
        </w:rPr>
        <w:t xml:space="preserve">4.1 Callaway and Sant'Anna (2021)</w:t>
      </w:r>
    </w:p>
    <w:p>
      <w:pPr>
        <w:pStyle w:val="Heading3"/>
        <w:spacing w:after="120" w:before="200"/>
      </w:pPr>
      <w:r>
        <w:rPr>
          <w:rFonts w:ascii="Arial" w:cs="Arial" w:eastAsia="Arial" w:hAnsi="Arial"/>
          <w:b/>
          <w:bCs/>
          <w:color w:val="2E75B6"/>
          <w:sz w:val="23"/>
          <w:szCs w:val="23"/>
        </w:rPr>
        <w:t xml:space="preserve">Core idea</w:t>
      </w:r>
    </w:p>
    <w:p>
      <w:pPr>
        <w:spacing w:after="120" w:line="300"/>
      </w:pPr>
      <w:r>
        <w:rPr>
          <w:rFonts w:ascii="Arial" w:cs="Arial" w:eastAsia="Arial" w:hAnsi="Arial"/>
          <w:sz w:val="22"/>
          <w:szCs w:val="22"/>
        </w:rPr>
        <w:t xml:space="preserve">Define the group-time average treatment effect:</w:t>
      </w:r>
    </w:p>
    <w:p>
      <w:pPr>
        <w:spacing w:after="120" w:before="120"/>
        <w:jc w:val="center"/>
      </w:pPr>
      <w:r>
        <w:rPr>
          <w:rFonts w:ascii="Cambria Math" w:cs="Cambria Math" w:eastAsia="Cambria Math" w:hAnsi="Cambria Math"/>
          <w:i/>
          <w:iCs/>
          <w:sz w:val="24"/>
          <w:szCs w:val="24"/>
        </w:rPr>
        <w:t xml:space="preserve">ATT(g, t) = E[ Y_it(1) − Y_it(0) | G_i = g, t ≥ g ]</w:t>
      </w:r>
    </w:p>
    <w:p>
      <w:pPr>
        <w:spacing w:after="120" w:line="300"/>
      </w:pPr>
      <w:r>
        <w:rPr>
          <w:rFonts w:ascii="Arial" w:cs="Arial" w:eastAsia="Arial" w:hAnsi="Arial"/>
          <w:sz w:val="22"/>
          <w:szCs w:val="22"/>
        </w:rPr>
        <w:t xml:space="preserve">where g is the period in which a group first becomes treated and t is the calendar period. Callaway and Sant'Anna estimate ATT(g, t) for every group g and every post-treatment period t, then aggregate.</w:t>
      </w:r>
    </w:p>
    <w:p>
      <w:pPr>
        <w:pStyle w:val="Heading3"/>
        <w:spacing w:after="120" w:before="200"/>
      </w:pPr>
      <w:r>
        <w:rPr>
          <w:rFonts w:ascii="Arial" w:cs="Arial" w:eastAsia="Arial" w:hAnsi="Arial"/>
          <w:b/>
          <w:bCs/>
          <w:color w:val="2E75B6"/>
          <w:sz w:val="23"/>
          <w:szCs w:val="23"/>
        </w:rPr>
        <w:t xml:space="preserve">How</w:t>
      </w:r>
    </w:p>
    <w:p>
      <w:pPr>
        <w:spacing w:after="120" w:line="300"/>
      </w:pPr>
      <w:r>
        <w:rPr>
          <w:rFonts w:ascii="Arial" w:cs="Arial" w:eastAsia="Arial" w:hAnsi="Arial"/>
          <w:sz w:val="22"/>
          <w:szCs w:val="22"/>
        </w:rPr>
        <w:t xml:space="preserve">For each (g, t) pair, identify a comparison group of units that are not-yet-treated at time t (or, in a stricter version, never-treated). Estimate ATT(g, t) as a clean 2×2 DiD between group g and the comparison group, in periods g−1 (the last pre-period for group g) and t.</w:t>
      </w:r>
    </w:p>
    <w:p>
      <w:pPr>
        <w:pStyle w:val="Heading3"/>
        <w:spacing w:after="120" w:before="200"/>
      </w:pPr>
      <w:r>
        <w:rPr>
          <w:rFonts w:ascii="Arial" w:cs="Arial" w:eastAsia="Arial" w:hAnsi="Arial"/>
          <w:b/>
          <w:bCs/>
          <w:color w:val="2E75B6"/>
          <w:sz w:val="23"/>
          <w:szCs w:val="23"/>
        </w:rPr>
        <w:t xml:space="preserve">What you report</w:t>
      </w:r>
    </w:p>
    <w:p>
      <w:pPr>
        <w:pStyle w:val="ListParagraph"/>
        <w:numPr>
          <w:ilvl w:val="0"/>
          <w:numId w:val="2"/>
        </w:numPr>
        <w:spacing w:after="60" w:line="280"/>
      </w:pPr>
      <w:r>
        <w:rPr>
          <w:rFonts w:ascii="Arial" w:cs="Arial" w:eastAsia="Arial" w:hAnsi="Arial"/>
          <w:sz w:val="22"/>
          <w:szCs w:val="22"/>
        </w:rPr>
        <w:t xml:space="preserve">An overall ATT (averaged across g and t).</w:t>
      </w:r>
    </w:p>
    <w:p>
      <w:pPr>
        <w:pStyle w:val="ListParagraph"/>
        <w:numPr>
          <w:ilvl w:val="0"/>
          <w:numId w:val="2"/>
        </w:numPr>
        <w:spacing w:after="60" w:line="280"/>
      </w:pPr>
      <w:r>
        <w:rPr>
          <w:rFonts w:ascii="Arial" w:cs="Arial" w:eastAsia="Arial" w:hAnsi="Arial"/>
          <w:sz w:val="22"/>
          <w:szCs w:val="22"/>
        </w:rPr>
        <w:t xml:space="preserve">Event-study-style aggregations (average ATT k periods after treatment, for k = 0, 1, 2, ...).</w:t>
      </w:r>
    </w:p>
    <w:p>
      <w:pPr>
        <w:pStyle w:val="ListParagraph"/>
        <w:numPr>
          <w:ilvl w:val="0"/>
          <w:numId w:val="2"/>
        </w:numPr>
        <w:spacing w:after="60" w:line="280"/>
      </w:pPr>
      <w:r>
        <w:rPr>
          <w:rFonts w:ascii="Arial" w:cs="Arial" w:eastAsia="Arial" w:hAnsi="Arial"/>
          <w:sz w:val="22"/>
          <w:szCs w:val="22"/>
        </w:rPr>
        <w:t xml:space="preserve">Group-specific summaries (average ATT for the cohort first treated in 2018Q1).</w:t>
      </w:r>
    </w:p>
    <w:p>
      <w:pPr>
        <w:pStyle w:val="Heading3"/>
        <w:spacing w:after="120" w:before="200"/>
      </w:pPr>
      <w:r>
        <w:rPr>
          <w:rFonts w:ascii="Arial" w:cs="Arial" w:eastAsia="Arial" w:hAnsi="Arial"/>
          <w:b/>
          <w:bCs/>
          <w:color w:val="2E75B6"/>
          <w:sz w:val="23"/>
          <w:szCs w:val="23"/>
        </w:rPr>
        <w:t xml:space="preserve">Software</w:t>
      </w:r>
    </w:p>
    <w:p>
      <w:pPr>
        <w:pStyle w:val="ListParagraph"/>
        <w:numPr>
          <w:ilvl w:val="0"/>
          <w:numId w:val="2"/>
        </w:numPr>
        <w:spacing w:after="60" w:line="280"/>
      </w:pPr>
      <w:r>
        <w:rPr>
          <w:rFonts w:ascii="Arial" w:cs="Arial" w:eastAsia="Arial" w:hAnsi="Arial"/>
          <w:sz w:val="22"/>
          <w:szCs w:val="22"/>
        </w:rPr>
        <w:t xml:space="preserve">R: did package by Sant'Anna and Callaway.</w:t>
      </w:r>
    </w:p>
    <w:p>
      <w:pPr>
        <w:pStyle w:val="ListParagraph"/>
        <w:numPr>
          <w:ilvl w:val="0"/>
          <w:numId w:val="2"/>
        </w:numPr>
        <w:spacing w:after="60" w:line="280"/>
      </w:pPr>
      <w:r>
        <w:rPr>
          <w:rFonts w:ascii="Arial" w:cs="Arial" w:eastAsia="Arial" w:hAnsi="Arial"/>
          <w:sz w:val="22"/>
          <w:szCs w:val="22"/>
        </w:rPr>
        <w:t xml:space="preserve">Stata: csdid (Rios-Avila).</w:t>
      </w:r>
    </w:p>
    <w:p>
      <w:pPr>
        <w:pStyle w:val="Heading2"/>
        <w:spacing w:after="160" w:before="280"/>
      </w:pPr>
      <w:r>
        <w:rPr>
          <w:rFonts w:ascii="Arial" w:cs="Arial" w:eastAsia="Arial" w:hAnsi="Arial"/>
          <w:b/>
          <w:bCs/>
          <w:color w:val="2E75B6"/>
          <w:sz w:val="26"/>
          <w:szCs w:val="26"/>
        </w:rPr>
        <w:t xml:space="preserve">4.2 Sun and Abraham (2021)</w:t>
      </w:r>
    </w:p>
    <w:p>
      <w:pPr>
        <w:pStyle w:val="Heading3"/>
        <w:spacing w:after="120" w:before="200"/>
      </w:pPr>
      <w:r>
        <w:rPr>
          <w:rFonts w:ascii="Arial" w:cs="Arial" w:eastAsia="Arial" w:hAnsi="Arial"/>
          <w:b/>
          <w:bCs/>
          <w:color w:val="2E75B6"/>
          <w:sz w:val="23"/>
          <w:szCs w:val="23"/>
        </w:rPr>
        <w:t xml:space="preserve">Core idea</w:t>
      </w:r>
    </w:p>
    <w:p>
      <w:pPr>
        <w:spacing w:after="120" w:line="300"/>
      </w:pPr>
      <w:r>
        <w:rPr>
          <w:rFonts w:ascii="Arial" w:cs="Arial" w:eastAsia="Arial" w:hAnsi="Arial"/>
          <w:sz w:val="22"/>
          <w:szCs w:val="22"/>
        </w:rPr>
        <w:t xml:space="preserve">If you want a traditional event-study regression — a coefficient for each event time relative to treatment — Sun and Abraham show that the standard interaction-with-leads-and-lags specification is biased under heterogeneous effects across cohorts. Their fix: interact the event-time dummies with cohort dummies, then aggregate.</w:t>
      </w:r>
    </w:p>
    <w:p>
      <w:pPr>
        <w:pStyle w:val="Heading3"/>
        <w:spacing w:after="120" w:before="200"/>
      </w:pPr>
      <w:r>
        <w:rPr>
          <w:rFonts w:ascii="Arial" w:cs="Arial" w:eastAsia="Arial" w:hAnsi="Arial"/>
          <w:b/>
          <w:bCs/>
          <w:color w:val="2E75B6"/>
          <w:sz w:val="23"/>
          <w:szCs w:val="23"/>
        </w:rPr>
        <w:t xml:space="preserve">Estimating equation</w:t>
      </w:r>
    </w:p>
    <w:p>
      <w:pPr>
        <w:spacing w:after="120" w:before="120"/>
        <w:jc w:val="center"/>
      </w:pPr>
      <w:r>
        <w:rPr>
          <w:rFonts w:ascii="Cambria Math" w:cs="Cambria Math" w:eastAsia="Cambria Math" w:hAnsi="Cambria Math"/>
          <w:i/>
          <w:iCs/>
          <w:sz w:val="24"/>
          <w:szCs w:val="24"/>
        </w:rPr>
        <w:t xml:space="preserve">Y_it = α_i + λ_t + Σ_{e≠−1} Σ_g δ_{g,e} · 1{G_i = g} · 1{t − g = e} + ε_it</w:t>
      </w:r>
    </w:p>
    <w:p>
      <w:pPr>
        <w:spacing w:after="120" w:line="300"/>
      </w:pPr>
      <w:r>
        <w:rPr>
          <w:rFonts w:ascii="Arial" w:cs="Arial" w:eastAsia="Arial" w:hAnsi="Arial"/>
          <w:sz w:val="22"/>
          <w:szCs w:val="22"/>
        </w:rPr>
        <w:t xml:space="preserve">Each δ_{g,e} is the treatment effect for cohort g, e periods after treatment. The reported event-study coefficient at event time e is a weighted average of δ_{g,e} across cohorts using clean weights.</w:t>
      </w:r>
    </w:p>
    <w:p>
      <w:pPr>
        <w:pStyle w:val="Heading3"/>
        <w:spacing w:after="120" w:before="200"/>
      </w:pPr>
      <w:r>
        <w:rPr>
          <w:rFonts w:ascii="Arial" w:cs="Arial" w:eastAsia="Arial" w:hAnsi="Arial"/>
          <w:b/>
          <w:bCs/>
          <w:color w:val="2E75B6"/>
          <w:sz w:val="23"/>
          <w:szCs w:val="23"/>
        </w:rPr>
        <w:t xml:space="preserve">Software</w:t>
      </w:r>
    </w:p>
    <w:p>
      <w:pPr>
        <w:pStyle w:val="ListParagraph"/>
        <w:numPr>
          <w:ilvl w:val="0"/>
          <w:numId w:val="2"/>
        </w:numPr>
        <w:spacing w:after="60" w:line="280"/>
      </w:pPr>
      <w:r>
        <w:rPr>
          <w:rFonts w:ascii="Arial" w:cs="Arial" w:eastAsia="Arial" w:hAnsi="Arial"/>
          <w:sz w:val="22"/>
          <w:szCs w:val="22"/>
        </w:rPr>
        <w:t xml:space="preserve">Stata: eventstudyinteract (Sun).</w:t>
      </w:r>
    </w:p>
    <w:p>
      <w:pPr>
        <w:pStyle w:val="ListParagraph"/>
        <w:numPr>
          <w:ilvl w:val="0"/>
          <w:numId w:val="2"/>
        </w:numPr>
        <w:spacing w:after="60" w:line="280"/>
      </w:pPr>
      <w:r>
        <w:rPr>
          <w:rFonts w:ascii="Arial" w:cs="Arial" w:eastAsia="Arial" w:hAnsi="Arial"/>
          <w:sz w:val="22"/>
          <w:szCs w:val="22"/>
        </w:rPr>
        <w:t xml:space="preserve">R: fixest::sunab() or fixest::feols() with i(time_to_treat, cohort, ref=...).</w:t>
      </w:r>
    </w:p>
    <w:p>
      <w:pPr>
        <w:pStyle w:val="Heading2"/>
        <w:spacing w:after="160" w:before="280"/>
      </w:pPr>
      <w:r>
        <w:rPr>
          <w:rFonts w:ascii="Arial" w:cs="Arial" w:eastAsia="Arial" w:hAnsi="Arial"/>
          <w:b/>
          <w:bCs/>
          <w:color w:val="2E75B6"/>
          <w:sz w:val="26"/>
          <w:szCs w:val="26"/>
        </w:rPr>
        <w:t xml:space="preserve">4.3 de Chaisemartin and D'Haultfoeuille (2020)</w:t>
      </w:r>
    </w:p>
    <w:p>
      <w:pPr>
        <w:pStyle w:val="Heading3"/>
        <w:spacing w:after="120" w:before="200"/>
      </w:pPr>
      <w:r>
        <w:rPr>
          <w:rFonts w:ascii="Arial" w:cs="Arial" w:eastAsia="Arial" w:hAnsi="Arial"/>
          <w:b/>
          <w:bCs/>
          <w:color w:val="2E75B6"/>
          <w:sz w:val="23"/>
          <w:szCs w:val="23"/>
        </w:rPr>
        <w:t xml:space="preserve">Core idea</w:t>
      </w:r>
    </w:p>
    <w:p>
      <w:pPr>
        <w:spacing w:after="120" w:line="300"/>
      </w:pPr>
      <w:r>
        <w:rPr>
          <w:rFonts w:ascii="Arial" w:cs="Arial" w:eastAsia="Arial" w:hAnsi="Arial"/>
          <w:sz w:val="22"/>
          <w:szCs w:val="22"/>
        </w:rPr>
        <w:t xml:space="preserve">DCDH propose an estimator that is robust to heterogeneous and dynamic treatment effects, and unlike CS or SA, is well-defined for non-absorbing treatment and treatment intensity. They build estimates from 'switchers' — units that change treatment status between t−1 and t — and average across them.</w:t>
      </w:r>
    </w:p>
    <w:p>
      <w:pPr>
        <w:pStyle w:val="Heading3"/>
        <w:spacing w:after="120" w:before="200"/>
      </w:pPr>
      <w:r>
        <w:rPr>
          <w:rFonts w:ascii="Arial" w:cs="Arial" w:eastAsia="Arial" w:hAnsi="Arial"/>
          <w:b/>
          <w:bCs/>
          <w:color w:val="2E75B6"/>
          <w:sz w:val="23"/>
          <w:szCs w:val="23"/>
        </w:rPr>
        <w:t xml:space="preserve">When to use</w:t>
      </w:r>
    </w:p>
    <w:p>
      <w:pPr>
        <w:pStyle w:val="ListParagraph"/>
        <w:numPr>
          <w:ilvl w:val="0"/>
          <w:numId w:val="2"/>
        </w:numPr>
        <w:spacing w:after="60" w:line="280"/>
      </w:pPr>
      <w:r>
        <w:rPr>
          <w:rFonts w:ascii="Arial" w:cs="Arial" w:eastAsia="Arial" w:hAnsi="Arial"/>
          <w:sz w:val="22"/>
          <w:szCs w:val="22"/>
        </w:rPr>
        <w:t xml:space="preserve">Treatment turns on and off (e.g., temporary regulatory regimes).</w:t>
      </w:r>
    </w:p>
    <w:p>
      <w:pPr>
        <w:pStyle w:val="ListParagraph"/>
        <w:numPr>
          <w:ilvl w:val="0"/>
          <w:numId w:val="2"/>
        </w:numPr>
        <w:spacing w:after="60" w:line="280"/>
      </w:pPr>
      <w:r>
        <w:rPr>
          <w:rFonts w:ascii="Arial" w:cs="Arial" w:eastAsia="Arial" w:hAnsi="Arial"/>
          <w:sz w:val="22"/>
          <w:szCs w:val="22"/>
        </w:rPr>
        <w:t xml:space="preserve">Continuous treatment intensity (e.g., a dose of policy exposure that varies in magnitude).</w:t>
      </w:r>
    </w:p>
    <w:p>
      <w:pPr>
        <w:pStyle w:val="Heading3"/>
        <w:spacing w:after="120" w:before="200"/>
      </w:pPr>
      <w:r>
        <w:rPr>
          <w:rFonts w:ascii="Arial" w:cs="Arial" w:eastAsia="Arial" w:hAnsi="Arial"/>
          <w:b/>
          <w:bCs/>
          <w:color w:val="2E75B6"/>
          <w:sz w:val="23"/>
          <w:szCs w:val="23"/>
        </w:rPr>
        <w:t xml:space="preserve">Software</w:t>
      </w:r>
    </w:p>
    <w:p>
      <w:pPr>
        <w:pStyle w:val="ListParagraph"/>
        <w:numPr>
          <w:ilvl w:val="0"/>
          <w:numId w:val="2"/>
        </w:numPr>
        <w:spacing w:after="60" w:line="280"/>
      </w:pPr>
      <w:r>
        <w:rPr>
          <w:rFonts w:ascii="Arial" w:cs="Arial" w:eastAsia="Arial" w:hAnsi="Arial"/>
          <w:sz w:val="22"/>
          <w:szCs w:val="22"/>
        </w:rPr>
        <w:t xml:space="preserve">Stata: did_multiplegt.</w:t>
      </w:r>
    </w:p>
    <w:p>
      <w:pPr>
        <w:pStyle w:val="ListParagraph"/>
        <w:numPr>
          <w:ilvl w:val="0"/>
          <w:numId w:val="2"/>
        </w:numPr>
        <w:spacing w:after="60" w:line="280"/>
      </w:pPr>
      <w:r>
        <w:rPr>
          <w:rFonts w:ascii="Arial" w:cs="Arial" w:eastAsia="Arial" w:hAnsi="Arial"/>
          <w:sz w:val="22"/>
          <w:szCs w:val="22"/>
        </w:rPr>
        <w:t xml:space="preserve">R: DIDmultiplegt.</w:t>
      </w:r>
    </w:p>
    <w:p>
      <w:pPr>
        <w:pStyle w:val="Heading2"/>
        <w:spacing w:after="160" w:before="280"/>
      </w:pPr>
      <w:r>
        <w:rPr>
          <w:rFonts w:ascii="Arial" w:cs="Arial" w:eastAsia="Arial" w:hAnsi="Arial"/>
          <w:b/>
          <w:bCs/>
          <w:color w:val="2E75B6"/>
          <w:sz w:val="26"/>
          <w:szCs w:val="26"/>
        </w:rPr>
        <w:t xml:space="preserve">4.4 Borusyak, Jaravel, and Spiess (2024)</w:t>
      </w:r>
    </w:p>
    <w:p>
      <w:pPr>
        <w:pStyle w:val="Heading3"/>
        <w:spacing w:after="120" w:before="200"/>
      </w:pPr>
      <w:r>
        <w:rPr>
          <w:rFonts w:ascii="Arial" w:cs="Arial" w:eastAsia="Arial" w:hAnsi="Arial"/>
          <w:b/>
          <w:bCs/>
          <w:color w:val="2E75B6"/>
          <w:sz w:val="23"/>
          <w:szCs w:val="23"/>
        </w:rPr>
        <w:t xml:space="preserve">Core idea</w:t>
      </w:r>
    </w:p>
    <w:p>
      <w:pPr>
        <w:spacing w:after="120" w:line="300"/>
      </w:pPr>
      <w:r>
        <w:rPr>
          <w:rFonts w:ascii="Arial" w:cs="Arial" w:eastAsia="Arial" w:hAnsi="Arial"/>
          <w:sz w:val="22"/>
          <w:szCs w:val="22"/>
        </w:rPr>
        <w:t xml:space="preserve">Imputation estimator. Estimate Y_it(0) for every treated unit-period by imputing it from the unit and time fixed effects fit on the untreated observations only. Then ATT_it = Y_it − Ŷ_it(0). Aggregate as you wish.</w:t>
      </w:r>
    </w:p>
    <w:p>
      <w:pPr>
        <w:pStyle w:val="Heading3"/>
        <w:spacing w:after="120" w:before="200"/>
      </w:pPr>
      <w:r>
        <w:rPr>
          <w:rFonts w:ascii="Arial" w:cs="Arial" w:eastAsia="Arial" w:hAnsi="Arial"/>
          <w:b/>
          <w:bCs/>
          <w:color w:val="2E75B6"/>
          <w:sz w:val="23"/>
          <w:szCs w:val="23"/>
        </w:rPr>
        <w:t xml:space="preserve">Strengths</w:t>
      </w:r>
    </w:p>
    <w:p>
      <w:pPr>
        <w:pStyle w:val="ListParagraph"/>
        <w:numPr>
          <w:ilvl w:val="0"/>
          <w:numId w:val="2"/>
        </w:numPr>
        <w:spacing w:after="60" w:line="280"/>
      </w:pPr>
      <w:r>
        <w:rPr>
          <w:rFonts w:ascii="Arial" w:cs="Arial" w:eastAsia="Arial" w:hAnsi="Arial"/>
          <w:sz w:val="22"/>
          <w:szCs w:val="22"/>
        </w:rPr>
        <w:t xml:space="preserve">Most efficient under correct specification.</w:t>
      </w:r>
    </w:p>
    <w:p>
      <w:pPr>
        <w:pStyle w:val="ListParagraph"/>
        <w:numPr>
          <w:ilvl w:val="0"/>
          <w:numId w:val="2"/>
        </w:numPr>
        <w:spacing w:after="60" w:line="280"/>
      </w:pPr>
      <w:r>
        <w:rPr>
          <w:rFonts w:ascii="Arial" w:cs="Arial" w:eastAsia="Arial" w:hAnsi="Arial"/>
          <w:sz w:val="22"/>
          <w:szCs w:val="22"/>
        </w:rPr>
        <w:t xml:space="preserve">Naturally handles unbalanced panels.</w:t>
      </w:r>
    </w:p>
    <w:p>
      <w:pPr>
        <w:pStyle w:val="ListParagraph"/>
        <w:numPr>
          <w:ilvl w:val="0"/>
          <w:numId w:val="2"/>
        </w:numPr>
        <w:spacing w:after="60" w:line="280"/>
      </w:pPr>
      <w:r>
        <w:rPr>
          <w:rFonts w:ascii="Arial" w:cs="Arial" w:eastAsia="Arial" w:hAnsi="Arial"/>
          <w:sz w:val="22"/>
          <w:szCs w:val="22"/>
        </w:rPr>
        <w:t xml:space="preserve">Provides clean pre-trend tests.</w:t>
      </w:r>
    </w:p>
    <w:p>
      <w:pPr>
        <w:pStyle w:val="Heading3"/>
        <w:spacing w:after="120" w:before="200"/>
      </w:pPr>
      <w:r>
        <w:rPr>
          <w:rFonts w:ascii="Arial" w:cs="Arial" w:eastAsia="Arial" w:hAnsi="Arial"/>
          <w:b/>
          <w:bCs/>
          <w:color w:val="2E75B6"/>
          <w:sz w:val="23"/>
          <w:szCs w:val="23"/>
        </w:rPr>
        <w:t xml:space="preserve">Software</w:t>
      </w:r>
    </w:p>
    <w:p>
      <w:pPr>
        <w:pStyle w:val="ListParagraph"/>
        <w:numPr>
          <w:ilvl w:val="0"/>
          <w:numId w:val="2"/>
        </w:numPr>
        <w:spacing w:after="60" w:line="280"/>
      </w:pPr>
      <w:r>
        <w:rPr>
          <w:rFonts w:ascii="Arial" w:cs="Arial" w:eastAsia="Arial" w:hAnsi="Arial"/>
          <w:sz w:val="22"/>
          <w:szCs w:val="22"/>
        </w:rPr>
        <w:t xml:space="preserve">Stata: did_imputation (Borusyak).</w:t>
      </w:r>
    </w:p>
    <w:p>
      <w:pPr>
        <w:pStyle w:val="ListParagraph"/>
        <w:numPr>
          <w:ilvl w:val="0"/>
          <w:numId w:val="2"/>
        </w:numPr>
        <w:spacing w:after="60" w:line="280"/>
      </w:pPr>
      <w:r>
        <w:rPr>
          <w:rFonts w:ascii="Arial" w:cs="Arial" w:eastAsia="Arial" w:hAnsi="Arial"/>
          <w:sz w:val="22"/>
          <w:szCs w:val="22"/>
        </w:rPr>
        <w:t xml:space="preserve">R: didimputation.</w:t>
      </w:r>
    </w:p>
    <w:p>
      <w:pPr>
        <w:pStyle w:val="Heading2"/>
        <w:spacing w:after="160" w:before="280"/>
      </w:pPr>
      <w:r>
        <w:rPr>
          <w:rFonts w:ascii="Arial" w:cs="Arial" w:eastAsia="Arial" w:hAnsi="Arial"/>
          <w:b/>
          <w:bCs/>
          <w:color w:val="2E75B6"/>
          <w:sz w:val="26"/>
          <w:szCs w:val="26"/>
        </w:rPr>
        <w:t xml:space="preserve">4.5 Comparison and how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660"/>
      </w:tblGrid>
      <w:tr>
        <w:trPr>
          <w:tblHeader/>
        </w:trPr>
        <w:tc>
          <w:tcPr>
            <w:tcW w:type="dxa" w:w="270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Estimator</w:t>
            </w:r>
          </w:p>
        </w:tc>
        <w:tc>
          <w:tcPr>
            <w:tcW w:type="dxa" w:w="400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Best when</w:t>
            </w:r>
          </w:p>
        </w:tc>
        <w:tc>
          <w:tcPr>
            <w:tcW w:type="dxa" w:w="266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Key reference</w:t>
            </w:r>
          </w:p>
        </w:tc>
      </w:tr>
      <w:tr>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Callaway-Sant'Anna</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Absorbing treatment, want group-time ATTs and event study</w:t>
            </w:r>
          </w:p>
        </w:tc>
        <w:tc>
          <w:tcPr>
            <w:tcW w:type="dxa" w:w="26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Callaway &amp; Sant'Anna (2021)</w:t>
            </w:r>
          </w:p>
        </w:tc>
      </w:tr>
      <w:tr>
        <w:tc>
          <w:tcPr>
            <w:tcW w:type="dxa" w:w="2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Sun-Abraham</w:t>
            </w:r>
          </w:p>
        </w:tc>
        <w:tc>
          <w:tcPr>
            <w:tcW w:type="dxa" w:w="4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You want a familiar event-study regression output</w:t>
            </w:r>
          </w:p>
        </w:tc>
        <w:tc>
          <w:tcPr>
            <w:tcW w:type="dxa" w:w="26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Sun &amp; Abraham (2021)</w:t>
            </w:r>
          </w:p>
        </w:tc>
      </w:tr>
      <w:tr>
        <w:tc>
          <w:tcPr>
            <w:tcW w:type="dxa" w:w="27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de Chaisemartin-D'Haultfoeuille</w:t>
            </w:r>
          </w:p>
        </w:tc>
        <w:tc>
          <w:tcPr>
            <w:tcW w:type="dxa" w:w="400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Treatment turns on/off or has intensity</w:t>
            </w:r>
          </w:p>
        </w:tc>
        <w:tc>
          <w:tcPr>
            <w:tcW w:type="dxa" w:w="266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dCDH (2020)</w:t>
            </w:r>
          </w:p>
        </w:tc>
      </w:tr>
      <w:tr>
        <w:tc>
          <w:tcPr>
            <w:tcW w:type="dxa" w:w="27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Borusyak-Jaravel-Spiess</w:t>
            </w:r>
          </w:p>
        </w:tc>
        <w:tc>
          <w:tcPr>
            <w:tcW w:type="dxa" w:w="400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Want maximum efficiency and clean pre-trends</w:t>
            </w:r>
          </w:p>
        </w:tc>
        <w:tc>
          <w:tcPr>
            <w:tcW w:type="dxa" w:w="266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BJS (2024)</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DEEAF6" w:val="clear"/>
            <w:tcMar>
              <w:top w:type="dxa" w:w="160"/>
              <w:left w:type="dxa" w:w="200"/>
              <w:bottom w:type="dxa" w:w="160"/>
              <w:right w:type="dxa" w:w="200"/>
            </w:tcMar>
          </w:tcPr>
          <w:p>
            <w:pPr>
              <w:spacing w:after="80"/>
            </w:pPr>
            <w:r>
              <w:rPr>
                <w:rFonts w:ascii="Arial" w:cs="Arial" w:eastAsia="Arial" w:hAnsi="Arial"/>
                <w:b/>
                <w:bCs/>
                <w:color w:val="7F6000"/>
                <w:sz w:val="22"/>
                <w:szCs w:val="22"/>
              </w:rPr>
              <w:t xml:space="preserve">Pragmatic recommendation</w:t>
            </w:r>
          </w:p>
          <w:p>
            <w:pPr>
              <w:spacing w:after="120" w:line="300"/>
            </w:pPr>
            <w:r>
              <w:rPr>
                <w:rFonts w:ascii="Arial" w:cs="Arial" w:eastAsia="Arial" w:hAnsi="Arial"/>
                <w:sz w:val="22"/>
                <w:szCs w:val="22"/>
              </w:rPr>
              <w:t xml:space="preserve">Modern best practice is to report at least two of these. Pick a primary estimator that matches your design (CS or SA for an absorbing policy; DCDH if exposure varies), and show robustness to a second. If they agree qualitatively, your story is robust. If they disagree, that disagreement is itself informative — the heterogeneity structure of your data matters.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V — Event studies</w:t>
      </w:r>
    </w:p>
    <w:p>
      <w:pPr>
        <w:pStyle w:val="Heading2"/>
        <w:spacing w:after="160" w:before="280"/>
      </w:pPr>
      <w:r>
        <w:rPr>
          <w:rFonts w:ascii="Arial" w:cs="Arial" w:eastAsia="Arial" w:hAnsi="Arial"/>
          <w:b/>
          <w:bCs/>
          <w:color w:val="2E75B6"/>
          <w:sz w:val="26"/>
          <w:szCs w:val="26"/>
        </w:rPr>
        <w:t xml:space="preserve">5.1 The dynamic specification</w:t>
      </w:r>
    </w:p>
    <w:p>
      <w:pPr>
        <w:spacing w:after="120" w:line="300"/>
      </w:pPr>
      <w:r>
        <w:rPr>
          <w:rFonts w:ascii="Arial" w:cs="Arial" w:eastAsia="Arial" w:hAnsi="Arial"/>
          <w:sz w:val="22"/>
          <w:szCs w:val="22"/>
        </w:rPr>
        <w:t xml:space="preserve">An event study lets you trace out the time path of the treatment effect. The standard (now-known-to-be-biased-under-heterogeneity) specification is:</w:t>
      </w:r>
    </w:p>
    <w:p>
      <w:pPr>
        <w:spacing w:after="120" w:before="120"/>
        <w:jc w:val="center"/>
      </w:pPr>
      <w:r>
        <w:rPr>
          <w:rFonts w:ascii="Cambria Math" w:cs="Cambria Math" w:eastAsia="Cambria Math" w:hAnsi="Cambria Math"/>
          <w:i/>
          <w:iCs/>
          <w:sz w:val="24"/>
          <w:szCs w:val="24"/>
        </w:rPr>
        <w:t xml:space="preserve">Y_it = α_i + λ_t + Σ_{e=−K, e≠−1}^{L} β_e · 1{t − G_i = e} + ε_it</w:t>
      </w:r>
    </w:p>
    <w:p>
      <w:pPr>
        <w:spacing w:after="120" w:line="300"/>
      </w:pPr>
      <w:r>
        <w:rPr>
          <w:rFonts w:ascii="Arial" w:cs="Arial" w:eastAsia="Arial" w:hAnsi="Arial"/>
          <w:sz w:val="22"/>
          <w:szCs w:val="22"/>
        </w:rPr>
        <w:t xml:space="preserve">where G_i is the period in which unit i is first treated, and 1{t − G_i = e} is an indicator for being e periods away from treatment. The omitted category is e = −1 (the period just before treatment), and you read β_e as the average outcome at event time e relative to that omitted period. Coefficients at e &lt; 0 are pre-trends; at e ≥ 0, dynamic treatment effects.</w:t>
      </w:r>
    </w:p>
    <w:p>
      <w:pPr>
        <w:spacing w:after="120" w:line="300"/>
      </w:pPr>
      <w:r>
        <w:rPr>
          <w:rFonts w:ascii="Arial" w:cs="Arial" w:eastAsia="Arial" w:hAnsi="Arial"/>
          <w:sz w:val="22"/>
          <w:szCs w:val="22"/>
        </w:rPr>
        <w:t xml:space="preserve">Use Sun-Abraham, Callaway-Sant'Anna, or BJS estimation rather than the naive specification when timing is staggered.</w:t>
      </w:r>
    </w:p>
    <w:p>
      <w:pPr>
        <w:pStyle w:val="Heading2"/>
        <w:spacing w:after="160" w:before="280"/>
      </w:pPr>
      <w:r>
        <w:rPr>
          <w:rFonts w:ascii="Arial" w:cs="Arial" w:eastAsia="Arial" w:hAnsi="Arial"/>
          <w:b/>
          <w:bCs/>
          <w:color w:val="2E75B6"/>
          <w:sz w:val="26"/>
          <w:szCs w:val="26"/>
        </w:rPr>
        <w:t xml:space="preserve">5.2 Pre-trend tests and their limits</w:t>
      </w:r>
    </w:p>
    <w:p>
      <w:pPr>
        <w:spacing w:after="120" w:line="300"/>
      </w:pPr>
      <w:r>
        <w:rPr>
          <w:rFonts w:ascii="Arial" w:cs="Arial" w:eastAsia="Arial" w:hAnsi="Arial"/>
          <w:sz w:val="22"/>
          <w:szCs w:val="22"/>
        </w:rPr>
        <w:t xml:space="preserve">Plotting β_e for negative event times is the standard 'check' for parallel trends. If pre-trend coefficients are statistically zero and visually flat, parallel trends is more credible. But:</w:t>
      </w:r>
    </w:p>
    <w:p>
      <w:pPr>
        <w:pStyle w:val="ListParagraph"/>
        <w:numPr>
          <w:ilvl w:val="0"/>
          <w:numId w:val="2"/>
        </w:numPr>
        <w:spacing w:after="60" w:line="280"/>
      </w:pPr>
      <w:r>
        <w:rPr>
          <w:rFonts w:ascii="Arial" w:cs="Arial" w:eastAsia="Arial" w:hAnsi="Arial"/>
          <w:sz w:val="22"/>
          <w:szCs w:val="22"/>
        </w:rPr>
        <w:t xml:space="preserve">Pre-trend tests are underpowered. With a small treated group, you may fail to reject parallel trends even when violations exist.</w:t>
      </w:r>
    </w:p>
    <w:p>
      <w:pPr>
        <w:pStyle w:val="ListParagraph"/>
        <w:numPr>
          <w:ilvl w:val="0"/>
          <w:numId w:val="2"/>
        </w:numPr>
        <w:spacing w:after="60" w:line="280"/>
      </w:pPr>
      <w:r>
        <w:rPr>
          <w:rFonts w:ascii="Arial" w:cs="Arial" w:eastAsia="Arial" w:hAnsi="Arial"/>
          <w:sz w:val="22"/>
          <w:szCs w:val="22"/>
        </w:rPr>
        <w:t xml:space="preserve">Failing to reject is not the same as accepting. Especially with finance data, which is volatile.</w:t>
      </w:r>
    </w:p>
    <w:p>
      <w:pPr>
        <w:pStyle w:val="ListParagraph"/>
        <w:numPr>
          <w:ilvl w:val="0"/>
          <w:numId w:val="2"/>
        </w:numPr>
        <w:spacing w:after="60" w:line="280"/>
      </w:pPr>
      <w:r>
        <w:rPr>
          <w:rFonts w:ascii="Arial" w:cs="Arial" w:eastAsia="Arial" w:hAnsi="Arial"/>
          <w:sz w:val="22"/>
          <w:szCs w:val="22"/>
        </w:rPr>
        <w:t xml:space="preserve">Treatment effects can have a non-zero mean before treatment if there is anticipation (see 6.3).</w:t>
      </w:r>
    </w:p>
    <w:p>
      <w:pPr>
        <w:spacing w:after="120" w:line="300"/>
      </w:pPr>
      <w:r>
        <w:rPr>
          <w:rFonts w:ascii="Arial" w:cs="Arial" w:eastAsia="Arial" w:hAnsi="Arial"/>
          <w:sz w:val="22"/>
          <w:szCs w:val="22"/>
        </w:rPr>
        <w:t xml:space="preserve">This is why Honest DiD (Section 6.1) was developed.</w:t>
      </w:r>
    </w:p>
    <w:p>
      <w:pPr>
        <w:pStyle w:val="Heading2"/>
        <w:spacing w:after="160" w:before="280"/>
      </w:pPr>
      <w:r>
        <w:rPr>
          <w:rFonts w:ascii="Arial" w:cs="Arial" w:eastAsia="Arial" w:hAnsi="Arial"/>
          <w:b/>
          <w:bCs/>
          <w:color w:val="2E75B6"/>
          <w:sz w:val="26"/>
          <w:szCs w:val="26"/>
        </w:rPr>
        <w:t xml:space="preserve">5.3 Binning, normalization, and reporting</w:t>
      </w:r>
    </w:p>
    <w:p>
      <w:pPr>
        <w:pStyle w:val="ListParagraph"/>
        <w:numPr>
          <w:ilvl w:val="0"/>
          <w:numId w:val="2"/>
        </w:numPr>
        <w:spacing w:after="60" w:line="280"/>
      </w:pPr>
      <w:r>
        <w:rPr>
          <w:rFonts w:ascii="Arial" w:cs="Arial" w:eastAsia="Arial" w:hAnsi="Arial"/>
          <w:sz w:val="22"/>
          <w:szCs w:val="22"/>
        </w:rPr>
        <w:t xml:space="preserve">Bin distant lags and leads. Many papers bin event times beyond e = −5 and e = +5 to avoid noisy endpoint estimates. Note this in the specification.</w:t>
      </w:r>
    </w:p>
    <w:p>
      <w:pPr>
        <w:pStyle w:val="ListParagraph"/>
        <w:numPr>
          <w:ilvl w:val="0"/>
          <w:numId w:val="2"/>
        </w:numPr>
        <w:spacing w:after="60" w:line="280"/>
      </w:pPr>
      <w:r>
        <w:rPr>
          <w:rFonts w:ascii="Arial" w:cs="Arial" w:eastAsia="Arial" w:hAnsi="Arial"/>
          <w:sz w:val="22"/>
          <w:szCs w:val="22"/>
        </w:rPr>
        <w:t xml:space="preserve">Normalize to e = −1, not e = 0. The pre-treatment period is the cleanest reference.</w:t>
      </w:r>
    </w:p>
    <w:p>
      <w:pPr>
        <w:pStyle w:val="ListParagraph"/>
        <w:numPr>
          <w:ilvl w:val="0"/>
          <w:numId w:val="2"/>
        </w:numPr>
        <w:spacing w:after="60" w:line="280"/>
      </w:pPr>
      <w:r>
        <w:rPr>
          <w:rFonts w:ascii="Arial" w:cs="Arial" w:eastAsia="Arial" w:hAnsi="Arial"/>
          <w:sz w:val="22"/>
          <w:szCs w:val="22"/>
        </w:rPr>
        <w:t xml:space="preserve">Report the full event-study plot as your main result, alongside the overall aggregated ATT.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VI — Robustness and sensitivity</w:t>
      </w:r>
    </w:p>
    <w:p>
      <w:pPr>
        <w:pStyle w:val="Heading2"/>
        <w:spacing w:after="160" w:before="280"/>
      </w:pPr>
      <w:r>
        <w:rPr>
          <w:rFonts w:ascii="Arial" w:cs="Arial" w:eastAsia="Arial" w:hAnsi="Arial"/>
          <w:b/>
          <w:bCs/>
          <w:color w:val="2E75B6"/>
          <w:sz w:val="26"/>
          <w:szCs w:val="26"/>
        </w:rPr>
        <w:t xml:space="preserve">6.1 Honest DiD (Rambachan and Roth, 2023)</w:t>
      </w:r>
    </w:p>
    <w:p>
      <w:pPr>
        <w:spacing w:after="120" w:line="300"/>
      </w:pPr>
      <w:r>
        <w:rPr>
          <w:rFonts w:ascii="Arial" w:cs="Arial" w:eastAsia="Arial" w:hAnsi="Arial"/>
          <w:sz w:val="22"/>
          <w:szCs w:val="22"/>
        </w:rPr>
        <w:t xml:space="preserve">Rambachan and Roth ask: instead of treating parallel trends as a binary assumption (true or false), what if we allow for a small violation and ask how big it would have to be to overturn our conclusion? Their framework lets you report bounds on the ATT under different assumptions about how large the parallel trends violation could be, calibrated to the magnitude of pre-trends you actually observe.</w:t>
      </w:r>
    </w:p>
    <w:p>
      <w:pPr>
        <w:spacing w:after="120" w:line="300"/>
      </w:pPr>
      <w:r>
        <w:rPr>
          <w:rFonts w:ascii="Arial" w:cs="Arial" w:eastAsia="Arial" w:hAnsi="Arial"/>
          <w:sz w:val="22"/>
          <w:szCs w:val="22"/>
        </w:rPr>
        <w:t xml:space="preserve">This converts a binary, often unbelievable assumption into a sensitivity analysis. It is becoming standard in top journals.</w:t>
      </w:r>
    </w:p>
    <w:p>
      <w:pPr>
        <w:pStyle w:val="Heading3"/>
        <w:spacing w:after="120" w:before="200"/>
      </w:pPr>
      <w:r>
        <w:rPr>
          <w:rFonts w:ascii="Arial" w:cs="Arial" w:eastAsia="Arial" w:hAnsi="Arial"/>
          <w:b/>
          <w:bCs/>
          <w:color w:val="2E75B6"/>
          <w:sz w:val="23"/>
          <w:szCs w:val="23"/>
        </w:rPr>
        <w:t xml:space="preserve">Software</w:t>
      </w:r>
    </w:p>
    <w:p>
      <w:pPr>
        <w:pStyle w:val="ListParagraph"/>
        <w:numPr>
          <w:ilvl w:val="0"/>
          <w:numId w:val="2"/>
        </w:numPr>
        <w:spacing w:after="60" w:line="280"/>
      </w:pPr>
      <w:r>
        <w:rPr>
          <w:rFonts w:ascii="Arial" w:cs="Arial" w:eastAsia="Arial" w:hAnsi="Arial"/>
          <w:sz w:val="22"/>
          <w:szCs w:val="22"/>
        </w:rPr>
        <w:t xml:space="preserve">R: HonestDiD package (Rambachan and Roth).</w:t>
      </w:r>
    </w:p>
    <w:p>
      <w:pPr>
        <w:pStyle w:val="ListParagraph"/>
        <w:numPr>
          <w:ilvl w:val="0"/>
          <w:numId w:val="2"/>
        </w:numPr>
        <w:spacing w:after="60" w:line="280"/>
      </w:pPr>
      <w:r>
        <w:rPr>
          <w:rFonts w:ascii="Arial" w:cs="Arial" w:eastAsia="Arial" w:hAnsi="Arial"/>
          <w:sz w:val="22"/>
          <w:szCs w:val="22"/>
        </w:rPr>
        <w:t xml:space="preserve">Stata: honestdid wrapper.</w:t>
      </w:r>
    </w:p>
    <w:p>
      <w:pPr>
        <w:pStyle w:val="Heading2"/>
        <w:spacing w:after="160" w:before="280"/>
      </w:pPr>
      <w:r>
        <w:rPr>
          <w:rFonts w:ascii="Arial" w:cs="Arial" w:eastAsia="Arial" w:hAnsi="Arial"/>
          <w:b/>
          <w:bCs/>
          <w:color w:val="2E75B6"/>
          <w:sz w:val="26"/>
          <w:szCs w:val="26"/>
        </w:rPr>
        <w:t xml:space="preserve">6.2 Placebo and falsification tests</w:t>
      </w:r>
    </w:p>
    <w:p>
      <w:pPr>
        <w:pStyle w:val="ListParagraph"/>
        <w:numPr>
          <w:ilvl w:val="0"/>
          <w:numId w:val="2"/>
        </w:numPr>
        <w:spacing w:after="60" w:line="280"/>
      </w:pPr>
      <w:r>
        <w:rPr>
          <w:rFonts w:ascii="Arial" w:cs="Arial" w:eastAsia="Arial" w:hAnsi="Arial"/>
          <w:sz w:val="22"/>
          <w:szCs w:val="22"/>
        </w:rPr>
        <w:t xml:space="preserve">Placebo treatments. Pretend the policy happened in a year before it actually did. Run the same DiD. You should find no effect.</w:t>
      </w:r>
    </w:p>
    <w:p>
      <w:pPr>
        <w:pStyle w:val="ListParagraph"/>
        <w:numPr>
          <w:ilvl w:val="0"/>
          <w:numId w:val="2"/>
        </w:numPr>
        <w:spacing w:after="60" w:line="280"/>
      </w:pPr>
      <w:r>
        <w:rPr>
          <w:rFonts w:ascii="Arial" w:cs="Arial" w:eastAsia="Arial" w:hAnsi="Arial"/>
          <w:sz w:val="22"/>
          <w:szCs w:val="22"/>
        </w:rPr>
        <w:t xml:space="preserve">Placebo outcomes. Use a Y that should be unaffected by the policy. You should find no effect there either.</w:t>
      </w:r>
    </w:p>
    <w:p>
      <w:pPr>
        <w:pStyle w:val="ListParagraph"/>
        <w:numPr>
          <w:ilvl w:val="0"/>
          <w:numId w:val="2"/>
        </w:numPr>
        <w:spacing w:after="60" w:line="280"/>
      </w:pPr>
      <w:r>
        <w:rPr>
          <w:rFonts w:ascii="Arial" w:cs="Arial" w:eastAsia="Arial" w:hAnsi="Arial"/>
          <w:sz w:val="22"/>
          <w:szCs w:val="22"/>
        </w:rPr>
        <w:t xml:space="preserve">Permutation tests. Randomly assign 'treatment' to control funds. Re-estimate. Repeat thousands of times to build a placebo distribution. Compare your true estimate to that distribution.</w:t>
      </w:r>
    </w:p>
    <w:p>
      <w:pPr>
        <w:pStyle w:val="Heading2"/>
        <w:spacing w:after="160" w:before="280"/>
      </w:pPr>
      <w:r>
        <w:rPr>
          <w:rFonts w:ascii="Arial" w:cs="Arial" w:eastAsia="Arial" w:hAnsi="Arial"/>
          <w:b/>
          <w:bCs/>
          <w:color w:val="2E75B6"/>
          <w:sz w:val="26"/>
          <w:szCs w:val="26"/>
        </w:rPr>
        <w:t xml:space="preserve">6.3 Anticipation, spillovers, and SUTVA</w:t>
      </w:r>
    </w:p>
    <w:p>
      <w:pPr>
        <w:spacing w:after="120" w:line="300"/>
      </w:pPr>
      <w:r>
        <w:rPr>
          <w:rFonts w:ascii="Arial" w:cs="Arial" w:eastAsia="Arial" w:hAnsi="Arial"/>
          <w:sz w:val="22"/>
          <w:szCs w:val="22"/>
        </w:rPr>
        <w:t xml:space="preserve">DiD relies on the Stable Unit Treatment Value Assumption (SUTVA): one unit's potential outcomes do not depend on another unit's treatment status.</w:t>
      </w:r>
    </w:p>
    <w:p>
      <w:pPr>
        <w:pStyle w:val="ListParagraph"/>
        <w:numPr>
          <w:ilvl w:val="0"/>
          <w:numId w:val="2"/>
        </w:numPr>
        <w:spacing w:after="60" w:line="280"/>
      </w:pPr>
      <w:r>
        <w:rPr>
          <w:rFonts w:ascii="Arial" w:cs="Arial" w:eastAsia="Arial" w:hAnsi="Arial"/>
          <w:sz w:val="22"/>
          <w:szCs w:val="22"/>
        </w:rPr>
        <w:t xml:space="preserve">Anticipation. If funds learn the policy is coming and act before its effective date, your e = −1 reference period is contaminated. Defense: drop a few periods before treatment from the analysis.</w:t>
      </w:r>
    </w:p>
    <w:p>
      <w:pPr>
        <w:pStyle w:val="ListParagraph"/>
        <w:numPr>
          <w:ilvl w:val="0"/>
          <w:numId w:val="2"/>
        </w:numPr>
        <w:spacing w:after="60" w:line="280"/>
      </w:pPr>
      <w:r>
        <w:rPr>
          <w:rFonts w:ascii="Arial" w:cs="Arial" w:eastAsia="Arial" w:hAnsi="Arial"/>
          <w:sz w:val="22"/>
          <w:szCs w:val="22"/>
        </w:rPr>
        <w:t xml:space="preserve">Spillovers across funds. If treated funds rebalance into securities that affect prices for control funds, SUTVA fails. Especially relevant in mutual fund research where fund actions move asset prices.</w:t>
      </w:r>
    </w:p>
    <w:p>
      <w:pPr>
        <w:pStyle w:val="ListParagraph"/>
        <w:numPr>
          <w:ilvl w:val="0"/>
          <w:numId w:val="2"/>
        </w:numPr>
        <w:spacing w:after="60" w:line="280"/>
      </w:pPr>
      <w:r>
        <w:rPr>
          <w:rFonts w:ascii="Arial" w:cs="Arial" w:eastAsia="Arial" w:hAnsi="Arial"/>
          <w:sz w:val="22"/>
          <w:szCs w:val="22"/>
        </w:rPr>
        <w:t xml:space="preserve">General equilibrium effects. A policy that affects 30% of the asset management industry will move equilibrium quantities (fees, flows). DiD will struggle. Be transparent about this in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VII — Application: your mutual fund staggered DiD</w:t>
      </w:r>
    </w:p>
    <w:p>
      <w:pPr>
        <w:pStyle w:val="Heading2"/>
        <w:spacing w:after="160" w:before="280"/>
      </w:pPr>
      <w:r>
        <w:rPr>
          <w:rFonts w:ascii="Arial" w:cs="Arial" w:eastAsia="Arial" w:hAnsi="Arial"/>
          <w:b/>
          <w:bCs/>
          <w:color w:val="2E75B6"/>
          <w:sz w:val="26"/>
          <w:szCs w:val="26"/>
        </w:rPr>
        <w:t xml:space="preserve">7.1 Diagnostic questions</w:t>
      </w:r>
    </w:p>
    <w:p>
      <w:pPr>
        <w:spacing w:after="120" w:line="300"/>
      </w:pPr>
      <w:r>
        <w:rPr>
          <w:rFonts w:ascii="Arial" w:cs="Arial" w:eastAsia="Arial" w:hAnsi="Arial"/>
          <w:sz w:val="22"/>
          <w:szCs w:val="22"/>
        </w:rPr>
        <w:t xml:space="preserve">Answer these for your paper before you write any code:</w:t>
      </w:r>
    </w:p>
    <w:p>
      <w:pPr>
        <w:pStyle w:val="ListParagraph"/>
        <w:numPr>
          <w:ilvl w:val="0"/>
          <w:numId w:val="3"/>
        </w:numPr>
        <w:spacing w:after="60" w:line="280"/>
      </w:pPr>
      <w:r>
        <w:rPr>
          <w:rFonts w:ascii="Arial" w:cs="Arial" w:eastAsia="Arial" w:hAnsi="Arial"/>
          <w:b/>
          <w:bCs/>
          <w:sz w:val="22"/>
          <w:szCs w:val="22"/>
        </w:rPr>
        <w:t xml:space="preserve">What is the policy and what is the unit of treatment? </w:t>
      </w:r>
      <w:r>
        <w:rPr>
          <w:rFonts w:ascii="Arial" w:cs="Arial" w:eastAsia="Arial" w:hAnsi="Arial"/>
          <w:sz w:val="22"/>
          <w:szCs w:val="22"/>
        </w:rPr>
        <w:t xml:space="preserve">A fund? A fund-share class? A fund family? Securities held by the fund?</w:t>
      </w:r>
    </w:p>
    <w:p>
      <w:pPr>
        <w:pStyle w:val="ListParagraph"/>
        <w:numPr>
          <w:ilvl w:val="0"/>
          <w:numId w:val="3"/>
        </w:numPr>
        <w:spacing w:after="60" w:line="280"/>
      </w:pPr>
      <w:r>
        <w:rPr>
          <w:rFonts w:ascii="Arial" w:cs="Arial" w:eastAsia="Arial" w:hAnsi="Arial"/>
          <w:b/>
          <w:bCs/>
          <w:sz w:val="22"/>
          <w:szCs w:val="22"/>
        </w:rPr>
        <w:t xml:space="preserve">Is treatment absorbing? </w:t>
      </w:r>
      <w:r>
        <w:rPr>
          <w:rFonts w:ascii="Arial" w:cs="Arial" w:eastAsia="Arial" w:hAnsi="Arial"/>
          <w:sz w:val="22"/>
          <w:szCs w:val="22"/>
        </w:rPr>
        <w:t xml:space="preserve">Once a fund is exposed, does it stay exposed? Or can it drop out?</w:t>
      </w:r>
    </w:p>
    <w:p>
      <w:pPr>
        <w:pStyle w:val="ListParagraph"/>
        <w:numPr>
          <w:ilvl w:val="0"/>
          <w:numId w:val="3"/>
        </w:numPr>
        <w:spacing w:after="60" w:line="280"/>
      </w:pPr>
      <w:r>
        <w:rPr>
          <w:rFonts w:ascii="Arial" w:cs="Arial" w:eastAsia="Arial" w:hAnsi="Arial"/>
          <w:b/>
          <w:bCs/>
          <w:sz w:val="22"/>
          <w:szCs w:val="22"/>
        </w:rPr>
        <w:t xml:space="preserve">Is treatment binary or continuous? </w:t>
      </w:r>
      <w:r>
        <w:rPr>
          <w:rFonts w:ascii="Arial" w:cs="Arial" w:eastAsia="Arial" w:hAnsi="Arial"/>
          <w:sz w:val="22"/>
          <w:szCs w:val="22"/>
        </w:rPr>
        <w:t xml:space="preserve">If funds vary in how much policy exposure they have (fraction of portfolio affected), this is intensity, not binary.</w:t>
      </w:r>
    </w:p>
    <w:p>
      <w:pPr>
        <w:pStyle w:val="ListParagraph"/>
        <w:numPr>
          <w:ilvl w:val="0"/>
          <w:numId w:val="3"/>
        </w:numPr>
        <w:spacing w:after="60" w:line="280"/>
      </w:pPr>
      <w:r>
        <w:rPr>
          <w:rFonts w:ascii="Arial" w:cs="Arial" w:eastAsia="Arial" w:hAnsi="Arial"/>
          <w:b/>
          <w:bCs/>
          <w:sz w:val="22"/>
          <w:szCs w:val="22"/>
        </w:rPr>
        <w:t xml:space="preserve">What drives the staggered timing? </w:t>
      </w:r>
      <w:r>
        <w:rPr>
          <w:rFonts w:ascii="Arial" w:cs="Arial" w:eastAsia="Arial" w:hAnsi="Arial"/>
          <w:sz w:val="22"/>
          <w:szCs w:val="22"/>
        </w:rPr>
        <w:t xml:space="preserve">Is the timing exogenous (e.g., effective dates rolled out by jurisdiction) or endogenous (funds choose when to comply)? Endogenous timing is a serious threat.</w:t>
      </w:r>
    </w:p>
    <w:p>
      <w:pPr>
        <w:pStyle w:val="ListParagraph"/>
        <w:numPr>
          <w:ilvl w:val="0"/>
          <w:numId w:val="3"/>
        </w:numPr>
        <w:spacing w:after="60" w:line="280"/>
      </w:pPr>
      <w:r>
        <w:rPr>
          <w:rFonts w:ascii="Arial" w:cs="Arial" w:eastAsia="Arial" w:hAnsi="Arial"/>
          <w:b/>
          <w:bCs/>
          <w:sz w:val="22"/>
          <w:szCs w:val="22"/>
        </w:rPr>
        <w:t xml:space="preserve">Who are the never-treated funds? </w:t>
      </w:r>
      <w:r>
        <w:rPr>
          <w:rFonts w:ascii="Arial" w:cs="Arial" w:eastAsia="Arial" w:hAnsi="Arial"/>
          <w:sz w:val="22"/>
          <w:szCs w:val="22"/>
        </w:rPr>
        <w:t xml:space="preserve">Are there funds that are never affected? They are valuable as clean controls. If everyone is eventually treated, you must use not-yet-treated as controls (CS handles this).</w:t>
      </w:r>
    </w:p>
    <w:p>
      <w:pPr>
        <w:pStyle w:val="ListParagraph"/>
        <w:numPr>
          <w:ilvl w:val="0"/>
          <w:numId w:val="3"/>
        </w:numPr>
        <w:spacing w:after="60" w:line="280"/>
      </w:pPr>
      <w:r>
        <w:rPr>
          <w:rFonts w:ascii="Arial" w:cs="Arial" w:eastAsia="Arial" w:hAnsi="Arial"/>
          <w:b/>
          <w:bCs/>
          <w:sz w:val="22"/>
          <w:szCs w:val="22"/>
        </w:rPr>
        <w:t xml:space="preserve">Could anticipation matter? </w:t>
      </w:r>
      <w:r>
        <w:rPr>
          <w:rFonts w:ascii="Arial" w:cs="Arial" w:eastAsia="Arial" w:hAnsi="Arial"/>
          <w:sz w:val="22"/>
          <w:szCs w:val="22"/>
        </w:rPr>
        <w:t xml:space="preserve">Was the policy debated or pre-announced? If yes, drop the announcement window from pre-period.</w:t>
      </w:r>
    </w:p>
    <w:p>
      <w:pPr>
        <w:pStyle w:val="ListParagraph"/>
        <w:numPr>
          <w:ilvl w:val="0"/>
          <w:numId w:val="3"/>
        </w:numPr>
        <w:spacing w:after="60" w:line="280"/>
      </w:pPr>
      <w:r>
        <w:rPr>
          <w:rFonts w:ascii="Arial" w:cs="Arial" w:eastAsia="Arial" w:hAnsi="Arial"/>
          <w:b/>
          <w:bCs/>
          <w:sz w:val="22"/>
          <w:szCs w:val="22"/>
        </w:rPr>
        <w:t xml:space="preserve">Are there spillovers? </w:t>
      </w:r>
      <w:r>
        <w:rPr>
          <w:rFonts w:ascii="Arial" w:cs="Arial" w:eastAsia="Arial" w:hAnsi="Arial"/>
          <w:sz w:val="22"/>
          <w:szCs w:val="22"/>
        </w:rPr>
        <w:t xml:space="preserve">Do treated funds' rebalancing affect prices that control funds also see?</w:t>
      </w:r>
    </w:p>
    <w:p>
      <w:pPr>
        <w:pStyle w:val="Heading2"/>
        <w:spacing w:after="160" w:before="280"/>
      </w:pPr>
      <w:r>
        <w:rPr>
          <w:rFonts w:ascii="Arial" w:cs="Arial" w:eastAsia="Arial" w:hAnsi="Arial"/>
          <w:b/>
          <w:bCs/>
          <w:color w:val="2E75B6"/>
          <w:sz w:val="26"/>
          <w:szCs w:val="26"/>
        </w:rPr>
        <w:t xml:space="preserve">7.2 Decision tree for estimator choice</w:t>
      </w:r>
    </w:p>
    <w:p>
      <w:pPr>
        <w:spacing w:after="120" w:line="300"/>
      </w:pPr>
      <w:r>
        <w:rPr>
          <w:rFonts w:ascii="Arial" w:cs="Arial" w:eastAsia="Arial" w:hAnsi="Arial"/>
          <w:sz w:val="22"/>
          <w:szCs w:val="22"/>
        </w:rPr>
        <w:t xml:space="preserve">A simple flow:</w:t>
      </w:r>
    </w:p>
    <w:p>
      <w:pPr>
        <w:pStyle w:val="ListParagraph"/>
        <w:numPr>
          <w:ilvl w:val="0"/>
          <w:numId w:val="3"/>
        </w:numPr>
        <w:spacing w:after="60" w:line="280"/>
      </w:pPr>
      <w:r>
        <w:rPr>
          <w:rFonts w:ascii="Arial" w:cs="Arial" w:eastAsia="Arial" w:hAnsi="Arial"/>
          <w:b/>
          <w:bCs/>
          <w:sz w:val="22"/>
          <w:szCs w:val="22"/>
        </w:rPr>
        <w:t xml:space="preserve">Step 1. </w:t>
      </w:r>
      <w:r>
        <w:rPr>
          <w:rFonts w:ascii="Arial" w:cs="Arial" w:eastAsia="Arial" w:hAnsi="Arial"/>
          <w:sz w:val="22"/>
          <w:szCs w:val="22"/>
        </w:rPr>
        <w:t xml:space="preserve">Run TWFE as a benchmark, but never as your main result.</w:t>
      </w:r>
    </w:p>
    <w:p>
      <w:pPr>
        <w:pStyle w:val="ListParagraph"/>
        <w:numPr>
          <w:ilvl w:val="0"/>
          <w:numId w:val="3"/>
        </w:numPr>
        <w:spacing w:after="60" w:line="280"/>
      </w:pPr>
      <w:r>
        <w:rPr>
          <w:rFonts w:ascii="Arial" w:cs="Arial" w:eastAsia="Arial" w:hAnsi="Arial"/>
          <w:b/>
          <w:bCs/>
          <w:sz w:val="22"/>
          <w:szCs w:val="22"/>
        </w:rPr>
        <w:t xml:space="preserve">Step 2. </w:t>
      </w:r>
      <w:r>
        <w:rPr>
          <w:rFonts w:ascii="Arial" w:cs="Arial" w:eastAsia="Arial" w:hAnsi="Arial"/>
          <w:sz w:val="22"/>
          <w:szCs w:val="22"/>
        </w:rPr>
        <w:t xml:space="preserve">Run bacondecomp. If forbidden comparisons carry meaningful weight, you must use a modern estimator.</w:t>
      </w:r>
    </w:p>
    <w:p>
      <w:pPr>
        <w:pStyle w:val="ListParagraph"/>
        <w:numPr>
          <w:ilvl w:val="0"/>
          <w:numId w:val="3"/>
        </w:numPr>
        <w:spacing w:after="60" w:line="280"/>
      </w:pPr>
      <w:r>
        <w:rPr>
          <w:rFonts w:ascii="Arial" w:cs="Arial" w:eastAsia="Arial" w:hAnsi="Arial"/>
          <w:b/>
          <w:bCs/>
          <w:sz w:val="22"/>
          <w:szCs w:val="22"/>
        </w:rPr>
        <w:t xml:space="preserve">Step 3. </w:t>
      </w:r>
      <w:r>
        <w:rPr>
          <w:rFonts w:ascii="Arial" w:cs="Arial" w:eastAsia="Arial" w:hAnsi="Arial"/>
          <w:sz w:val="22"/>
          <w:szCs w:val="22"/>
        </w:rPr>
        <w:t xml:space="preserve">If treatment is absorbing and binary: Callaway-Sant'Anna as primary, Sun-Abraham or BJS as robustness.</w:t>
      </w:r>
    </w:p>
    <w:p>
      <w:pPr>
        <w:pStyle w:val="ListParagraph"/>
        <w:numPr>
          <w:ilvl w:val="0"/>
          <w:numId w:val="3"/>
        </w:numPr>
        <w:spacing w:after="60" w:line="280"/>
      </w:pPr>
      <w:r>
        <w:rPr>
          <w:rFonts w:ascii="Arial" w:cs="Arial" w:eastAsia="Arial" w:hAnsi="Arial"/>
          <w:b/>
          <w:bCs/>
          <w:sz w:val="22"/>
          <w:szCs w:val="22"/>
        </w:rPr>
        <w:t xml:space="preserve">Step 4. </w:t>
      </w:r>
      <w:r>
        <w:rPr>
          <w:rFonts w:ascii="Arial" w:cs="Arial" w:eastAsia="Arial" w:hAnsi="Arial"/>
          <w:sz w:val="22"/>
          <w:szCs w:val="22"/>
        </w:rPr>
        <w:t xml:space="preserve">If treatment is continuous or non-absorbing: de Chaisemartin-D'Haultfoeuille as primary, BJS as robustness if you can dichotomize sensibly.</w:t>
      </w:r>
    </w:p>
    <w:p>
      <w:pPr>
        <w:pStyle w:val="ListParagraph"/>
        <w:numPr>
          <w:ilvl w:val="0"/>
          <w:numId w:val="3"/>
        </w:numPr>
        <w:spacing w:after="60" w:line="280"/>
      </w:pPr>
      <w:r>
        <w:rPr>
          <w:rFonts w:ascii="Arial" w:cs="Arial" w:eastAsia="Arial" w:hAnsi="Arial"/>
          <w:b/>
          <w:bCs/>
          <w:sz w:val="22"/>
          <w:szCs w:val="22"/>
        </w:rPr>
        <w:t xml:space="preserve">Step 5. </w:t>
      </w:r>
      <w:r>
        <w:rPr>
          <w:rFonts w:ascii="Arial" w:cs="Arial" w:eastAsia="Arial" w:hAnsi="Arial"/>
          <w:sz w:val="22"/>
          <w:szCs w:val="22"/>
        </w:rPr>
        <w:t xml:space="preserve">Always run an event-study using Sun-Abraham (or CS aggregation by event time).</w:t>
      </w:r>
    </w:p>
    <w:p>
      <w:pPr>
        <w:pStyle w:val="ListParagraph"/>
        <w:numPr>
          <w:ilvl w:val="0"/>
          <w:numId w:val="3"/>
        </w:numPr>
        <w:spacing w:after="60" w:line="280"/>
      </w:pPr>
      <w:r>
        <w:rPr>
          <w:rFonts w:ascii="Arial" w:cs="Arial" w:eastAsia="Arial" w:hAnsi="Arial"/>
          <w:b/>
          <w:bCs/>
          <w:sz w:val="22"/>
          <w:szCs w:val="22"/>
        </w:rPr>
        <w:t xml:space="preserve">Step 6. </w:t>
      </w:r>
      <w:r>
        <w:rPr>
          <w:rFonts w:ascii="Arial" w:cs="Arial" w:eastAsia="Arial" w:hAnsi="Arial"/>
          <w:sz w:val="22"/>
          <w:szCs w:val="22"/>
        </w:rPr>
        <w:t xml:space="preserve">Run Honest DiD sensitivity analysis on your headline result.</w:t>
      </w:r>
    </w:p>
    <w:p>
      <w:pPr>
        <w:pStyle w:val="ListParagraph"/>
        <w:numPr>
          <w:ilvl w:val="0"/>
          <w:numId w:val="3"/>
        </w:numPr>
        <w:spacing w:after="60" w:line="280"/>
      </w:pPr>
      <w:r>
        <w:rPr>
          <w:rFonts w:ascii="Arial" w:cs="Arial" w:eastAsia="Arial" w:hAnsi="Arial"/>
          <w:b/>
          <w:bCs/>
          <w:sz w:val="22"/>
          <w:szCs w:val="22"/>
        </w:rPr>
        <w:t xml:space="preserve">Step 7. </w:t>
      </w:r>
      <w:r>
        <w:rPr>
          <w:rFonts w:ascii="Arial" w:cs="Arial" w:eastAsia="Arial" w:hAnsi="Arial"/>
          <w:sz w:val="22"/>
          <w:szCs w:val="22"/>
        </w:rPr>
        <w:t xml:space="preserve">Run placebo tests (placebo timing, placebo outcomes).</w:t>
      </w:r>
    </w:p>
    <w:p>
      <w:pPr>
        <w:pStyle w:val="Heading2"/>
        <w:spacing w:after="160" w:before="280"/>
      </w:pPr>
      <w:r>
        <w:rPr>
          <w:rFonts w:ascii="Arial" w:cs="Arial" w:eastAsia="Arial" w:hAnsi="Arial"/>
          <w:b/>
          <w:bCs/>
          <w:color w:val="2E75B6"/>
          <w:sz w:val="26"/>
          <w:szCs w:val="26"/>
        </w:rPr>
        <w:t xml:space="preserve">7.3 Recommended Stata and R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Purpose</w:t>
            </w:r>
          </w:p>
        </w:tc>
        <w:tc>
          <w:tcPr>
            <w:tcW w:type="dxa" w:w="312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Stata</w:t>
            </w:r>
          </w:p>
        </w:tc>
        <w:tc>
          <w:tcPr>
            <w:tcW w:type="dxa" w:w="3120"/>
            <w:tcBorders>
              <w:top w:val="single" w:color="8FAADC" w:sz="4"/>
              <w:left w:val="single" w:color="8FAADC" w:sz="4"/>
              <w:bottom w:val="single" w:color="8FAADC" w:sz="4"/>
              <w:right w:val="single" w:color="8FAADC" w:sz="4"/>
            </w:tcBorders>
            <w:shd w:fill="1F3864" w:val="clear"/>
            <w:tcMar>
              <w:top w:type="dxa" w:w="80"/>
              <w:left w:type="dxa" w:w="120"/>
              <w:bottom w:type="dxa" w:w="80"/>
              <w:right w:type="dxa" w:w="120"/>
            </w:tcMar>
          </w:tcPr>
          <w:p>
            <w:pPr>
              <w:jc w:val="left"/>
            </w:pPr>
            <w:r>
              <w:rPr>
                <w:rFonts w:ascii="Arial" w:cs="Arial" w:eastAsia="Arial" w:hAnsi="Arial"/>
                <w:b/>
                <w:bCs/>
                <w:color w:val="FFFFFF"/>
                <w:sz w:val="21"/>
                <w:szCs w:val="21"/>
              </w:rPr>
              <w:t xml:space="preserve">R</w:t>
            </w:r>
          </w:p>
        </w:tc>
      </w:tr>
      <w:tr>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Bacon decomposition</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bacondecomp</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bacondecomp</w:t>
            </w:r>
          </w:p>
        </w:tc>
      </w:tr>
      <w:tr>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Callaway-Sant'Anna</w:t>
            </w:r>
          </w:p>
        </w:tc>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csdid</w:t>
            </w:r>
          </w:p>
        </w:tc>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did</w:t>
            </w:r>
          </w:p>
        </w:tc>
      </w:tr>
      <w:tr>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Sun-Abraham event study</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eventstudyinteract</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fixest::sunab</w:t>
            </w:r>
          </w:p>
        </w:tc>
      </w:tr>
      <w:tr>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dCDH switching estimator</w:t>
            </w:r>
          </w:p>
        </w:tc>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did_multiplegt</w:t>
            </w:r>
          </w:p>
        </w:tc>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DIDmultiplegt</w:t>
            </w:r>
          </w:p>
        </w:tc>
      </w:tr>
      <w:tr>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BJS imputation</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did_imputation</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didimputation</w:t>
            </w:r>
          </w:p>
        </w:tc>
      </w:tr>
      <w:tr>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Honest DiD sensitivity</w:t>
            </w:r>
          </w:p>
        </w:tc>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honestdid</w:t>
            </w:r>
          </w:p>
        </w:tc>
        <w:tc>
          <w:tcPr>
            <w:tcW w:type="dxa" w:w="3120"/>
            <w:tcBorders>
              <w:top w:val="single" w:color="8FAADC" w:sz="4"/>
              <w:left w:val="single" w:color="8FAADC" w:sz="4"/>
              <w:bottom w:val="single" w:color="8FAADC" w:sz="4"/>
              <w:right w:val="single" w:color="8FAADC" w:sz="4"/>
            </w:tcBorders>
            <w:shd w:fill="FFFFFF" w:val="clear"/>
            <w:tcMar>
              <w:top w:type="dxa" w:w="80"/>
              <w:left w:type="dxa" w:w="120"/>
              <w:bottom w:type="dxa" w:w="80"/>
              <w:right w:type="dxa" w:w="120"/>
            </w:tcMar>
          </w:tcPr>
          <w:p>
            <w:r>
              <w:rPr>
                <w:rFonts w:ascii="Arial" w:cs="Arial" w:eastAsia="Arial" w:hAnsi="Arial"/>
                <w:sz w:val="20"/>
                <w:szCs w:val="20"/>
              </w:rPr>
              <w:t xml:space="preserve">HonestDiD</w:t>
            </w:r>
          </w:p>
        </w:tc>
      </w:tr>
      <w:tr>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Wild cluster bootstrap SEs</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boottest</w:t>
            </w:r>
          </w:p>
        </w:tc>
        <w:tc>
          <w:tcPr>
            <w:tcW w:type="dxa" w:w="3120"/>
            <w:tcBorders>
              <w:top w:val="single" w:color="8FAADC" w:sz="4"/>
              <w:left w:val="single" w:color="8FAADC" w:sz="4"/>
              <w:bottom w:val="single" w:color="8FAADC" w:sz="4"/>
              <w:right w:val="single" w:color="8FAADC" w:sz="4"/>
            </w:tcBorders>
            <w:shd w:fill="F2F2F2" w:val="clear"/>
            <w:tcMar>
              <w:top w:type="dxa" w:w="80"/>
              <w:left w:type="dxa" w:w="120"/>
              <w:bottom w:type="dxa" w:w="80"/>
              <w:right w:type="dxa" w:w="120"/>
            </w:tcMar>
          </w:tcPr>
          <w:p>
            <w:r>
              <w:rPr>
                <w:rFonts w:ascii="Arial" w:cs="Arial" w:eastAsia="Arial" w:hAnsi="Arial"/>
                <w:sz w:val="20"/>
                <w:szCs w:val="20"/>
              </w:rPr>
              <w:t xml:space="preserve">fwildclusterboot</w:t>
            </w:r>
          </w:p>
        </w:tc>
      </w:tr>
    </w:tbl>
    <w:p>
      <w:pPr>
        <w:spacing w:after="120"/>
      </w:pPr>
      <w:r>
        <w:t xml:space="preserve"/>
      </w:r>
    </w:p>
    <w:p>
      <w:pPr>
        <w:pStyle w:val="Heading2"/>
        <w:spacing w:after="160" w:before="280"/>
      </w:pPr>
      <w:r>
        <w:rPr>
          <w:rFonts w:ascii="Arial" w:cs="Arial" w:eastAsia="Arial" w:hAnsi="Arial"/>
          <w:b/>
          <w:bCs/>
          <w:color w:val="2E75B6"/>
          <w:sz w:val="26"/>
          <w:szCs w:val="26"/>
        </w:rPr>
        <w:t xml:space="preserve">7.4 Reporting checklist for your paper</w:t>
      </w:r>
    </w:p>
    <w:p>
      <w:pPr>
        <w:pStyle w:val="ListParagraph"/>
        <w:numPr>
          <w:ilvl w:val="0"/>
          <w:numId w:val="2"/>
        </w:numPr>
        <w:spacing w:after="60" w:line="280"/>
      </w:pPr>
      <w:r>
        <w:rPr>
          <w:rFonts w:ascii="Arial" w:cs="Arial" w:eastAsia="Arial" w:hAnsi="Arial"/>
          <w:sz w:val="22"/>
          <w:szCs w:val="22"/>
        </w:rPr>
        <w:t xml:space="preserve">Describe treatment timing for every cohort. A figure showing the distribution of treatment dates is now standard.</w:t>
      </w:r>
    </w:p>
    <w:p>
      <w:pPr>
        <w:pStyle w:val="ListParagraph"/>
        <w:numPr>
          <w:ilvl w:val="0"/>
          <w:numId w:val="2"/>
        </w:numPr>
        <w:spacing w:after="60" w:line="280"/>
      </w:pPr>
      <w:r>
        <w:rPr>
          <w:rFonts w:ascii="Arial" w:cs="Arial" w:eastAsia="Arial" w:hAnsi="Arial"/>
          <w:sz w:val="22"/>
          <w:szCs w:val="22"/>
        </w:rPr>
        <w:t xml:space="preserve">Show the bacondecomp output in an appendix table.</w:t>
      </w:r>
    </w:p>
    <w:p>
      <w:pPr>
        <w:pStyle w:val="ListParagraph"/>
        <w:numPr>
          <w:ilvl w:val="0"/>
          <w:numId w:val="2"/>
        </w:numPr>
        <w:spacing w:after="60" w:line="280"/>
      </w:pPr>
      <w:r>
        <w:rPr>
          <w:rFonts w:ascii="Arial" w:cs="Arial" w:eastAsia="Arial" w:hAnsi="Arial"/>
          <w:sz w:val="22"/>
          <w:szCs w:val="22"/>
        </w:rPr>
        <w:t xml:space="preserve">Report the modern estimator as your main result; TWFE only as benchmark.</w:t>
      </w:r>
    </w:p>
    <w:p>
      <w:pPr>
        <w:pStyle w:val="ListParagraph"/>
        <w:numPr>
          <w:ilvl w:val="0"/>
          <w:numId w:val="2"/>
        </w:numPr>
        <w:spacing w:after="60" w:line="280"/>
      </w:pPr>
      <w:r>
        <w:rPr>
          <w:rFonts w:ascii="Arial" w:cs="Arial" w:eastAsia="Arial" w:hAnsi="Arial"/>
          <w:sz w:val="22"/>
          <w:szCs w:val="22"/>
        </w:rPr>
        <w:t xml:space="preserve">Show the event-study plot with confidence intervals.</w:t>
      </w:r>
    </w:p>
    <w:p>
      <w:pPr>
        <w:pStyle w:val="ListParagraph"/>
        <w:numPr>
          <w:ilvl w:val="0"/>
          <w:numId w:val="2"/>
        </w:numPr>
        <w:spacing w:after="60" w:line="280"/>
      </w:pPr>
      <w:r>
        <w:rPr>
          <w:rFonts w:ascii="Arial" w:cs="Arial" w:eastAsia="Arial" w:hAnsi="Arial"/>
          <w:sz w:val="22"/>
          <w:szCs w:val="22"/>
        </w:rPr>
        <w:t xml:space="preserve">Show pre-trend coefficients and their joint test.</w:t>
      </w:r>
    </w:p>
    <w:p>
      <w:pPr>
        <w:pStyle w:val="ListParagraph"/>
        <w:numPr>
          <w:ilvl w:val="0"/>
          <w:numId w:val="2"/>
        </w:numPr>
        <w:spacing w:after="60" w:line="280"/>
      </w:pPr>
      <w:r>
        <w:rPr>
          <w:rFonts w:ascii="Arial" w:cs="Arial" w:eastAsia="Arial" w:hAnsi="Arial"/>
          <w:sz w:val="22"/>
          <w:szCs w:val="22"/>
        </w:rPr>
        <w:t xml:space="preserve">Show Honest DiD sensitivity bounds.</w:t>
      </w:r>
    </w:p>
    <w:p>
      <w:pPr>
        <w:pStyle w:val="ListParagraph"/>
        <w:numPr>
          <w:ilvl w:val="0"/>
          <w:numId w:val="2"/>
        </w:numPr>
        <w:spacing w:after="60" w:line="280"/>
      </w:pPr>
      <w:r>
        <w:rPr>
          <w:rFonts w:ascii="Arial" w:cs="Arial" w:eastAsia="Arial" w:hAnsi="Arial"/>
          <w:sz w:val="22"/>
          <w:szCs w:val="22"/>
        </w:rPr>
        <w:t xml:space="preserve">Show at least one placebo and discuss spillover and anticipation threats.</w:t>
      </w:r>
    </w:p>
    <w:p>
      <w:pPr>
        <w:pStyle w:val="ListParagraph"/>
        <w:numPr>
          <w:ilvl w:val="0"/>
          <w:numId w:val="2"/>
        </w:numPr>
        <w:spacing w:after="60" w:line="280"/>
      </w:pPr>
      <w:r>
        <w:rPr>
          <w:rFonts w:ascii="Arial" w:cs="Arial" w:eastAsia="Arial" w:hAnsi="Arial"/>
          <w:sz w:val="22"/>
          <w:szCs w:val="22"/>
        </w:rPr>
        <w:t xml:space="preserve">Cluster standard errors at the fund level (or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Part VIII — Reading roadmap and key papers</w:t>
      </w:r>
    </w:p>
    <w:p>
      <w:pPr>
        <w:pStyle w:val="Heading2"/>
        <w:spacing w:after="160" w:before="280"/>
      </w:pPr>
      <w:r>
        <w:rPr>
          <w:rFonts w:ascii="Arial" w:cs="Arial" w:eastAsia="Arial" w:hAnsi="Arial"/>
          <w:b/>
          <w:bCs/>
          <w:color w:val="2E75B6"/>
          <w:sz w:val="26"/>
          <w:szCs w:val="26"/>
        </w:rPr>
        <w:t xml:space="preserve">Foundational textbook treatments</w:t>
      </w:r>
    </w:p>
    <w:p>
      <w:pPr>
        <w:pStyle w:val="ListParagraph"/>
        <w:numPr>
          <w:ilvl w:val="0"/>
          <w:numId w:val="2"/>
        </w:numPr>
        <w:spacing w:after="60" w:line="280"/>
      </w:pPr>
      <w:r>
        <w:rPr>
          <w:rFonts w:ascii="Arial" w:cs="Arial" w:eastAsia="Arial" w:hAnsi="Arial"/>
          <w:sz w:val="22"/>
          <w:szCs w:val="22"/>
        </w:rPr>
        <w:t xml:space="preserve">Cunningham, Causal Inference: The Mixtape — Chapter on DiD. Your primary text.</w:t>
      </w:r>
    </w:p>
    <w:p>
      <w:pPr>
        <w:pStyle w:val="ListParagraph"/>
        <w:numPr>
          <w:ilvl w:val="0"/>
          <w:numId w:val="2"/>
        </w:numPr>
        <w:spacing w:after="60" w:line="280"/>
      </w:pPr>
      <w:r>
        <w:rPr>
          <w:rFonts w:ascii="Arial" w:cs="Arial" w:eastAsia="Arial" w:hAnsi="Arial"/>
          <w:sz w:val="22"/>
          <w:szCs w:val="22"/>
        </w:rPr>
        <w:t xml:space="preserve">Angrist and Pischke, Mostly Harmless Econometrics — Chapter 5. Classical applied perspective.</w:t>
      </w:r>
    </w:p>
    <w:p>
      <w:pPr>
        <w:pStyle w:val="ListParagraph"/>
        <w:numPr>
          <w:ilvl w:val="0"/>
          <w:numId w:val="2"/>
        </w:numPr>
        <w:spacing w:after="60" w:line="280"/>
      </w:pPr>
      <w:r>
        <w:rPr>
          <w:rFonts w:ascii="Arial" w:cs="Arial" w:eastAsia="Arial" w:hAnsi="Arial"/>
          <w:sz w:val="22"/>
          <w:szCs w:val="22"/>
        </w:rPr>
        <w:t xml:space="preserve">Huntington-Klein, The Effect — DiD chapter. Free online, very accessible.</w:t>
      </w:r>
    </w:p>
    <w:p>
      <w:pPr>
        <w:pStyle w:val="Heading2"/>
        <w:spacing w:after="160" w:before="280"/>
      </w:pPr>
      <w:r>
        <w:rPr>
          <w:rFonts w:ascii="Arial" w:cs="Arial" w:eastAsia="Arial" w:hAnsi="Arial"/>
          <w:b/>
          <w:bCs/>
          <w:color w:val="2E75B6"/>
          <w:sz w:val="26"/>
          <w:szCs w:val="26"/>
        </w:rPr>
        <w:t xml:space="preserve">Modern DiD survey</w:t>
      </w:r>
    </w:p>
    <w:p>
      <w:pPr>
        <w:pStyle w:val="ListParagraph"/>
        <w:numPr>
          <w:ilvl w:val="0"/>
          <w:numId w:val="2"/>
        </w:numPr>
        <w:spacing w:after="60" w:line="280"/>
      </w:pPr>
      <w:r>
        <w:rPr>
          <w:rFonts w:ascii="Arial" w:cs="Arial" w:eastAsia="Arial" w:hAnsi="Arial"/>
          <w:sz w:val="22"/>
          <w:szCs w:val="22"/>
        </w:rPr>
        <w:t xml:space="preserve">Roth, Sant'Anna, Bilinski, and Poe (2023), 'What's Trending in Difference-in-Differences? A Synthesis of the Recent Econometrics Literature.' Journal of Econometrics. The single most useful paper to read after Cunningham.</w:t>
      </w:r>
    </w:p>
    <w:p>
      <w:pPr>
        <w:pStyle w:val="ListParagraph"/>
        <w:numPr>
          <w:ilvl w:val="0"/>
          <w:numId w:val="2"/>
        </w:numPr>
        <w:spacing w:after="60" w:line="280"/>
      </w:pPr>
      <w:r>
        <w:rPr>
          <w:rFonts w:ascii="Arial" w:cs="Arial" w:eastAsia="Arial" w:hAnsi="Arial"/>
          <w:sz w:val="22"/>
          <w:szCs w:val="22"/>
        </w:rPr>
        <w:t xml:space="preserve">de Chaisemartin and D'Haultfoeuille (2023), 'Two-way fixed effects and differences-in-differences with heterogeneous treatment effects: A survey.' Econometrics Journal.</w:t>
      </w:r>
    </w:p>
    <w:p>
      <w:pPr>
        <w:pStyle w:val="Heading2"/>
        <w:spacing w:after="160" w:before="280"/>
      </w:pPr>
      <w:r>
        <w:rPr>
          <w:rFonts w:ascii="Arial" w:cs="Arial" w:eastAsia="Arial" w:hAnsi="Arial"/>
          <w:b/>
          <w:bCs/>
          <w:color w:val="2E75B6"/>
          <w:sz w:val="26"/>
          <w:szCs w:val="26"/>
        </w:rPr>
        <w:t xml:space="preserve">Methods papers (read in this order)</w:t>
      </w:r>
    </w:p>
    <w:p>
      <w:pPr>
        <w:pStyle w:val="ListParagraph"/>
        <w:numPr>
          <w:ilvl w:val="0"/>
          <w:numId w:val="3"/>
        </w:numPr>
        <w:spacing w:after="60" w:line="280"/>
      </w:pPr>
      <w:r>
        <w:rPr>
          <w:rFonts w:ascii="Arial" w:cs="Arial" w:eastAsia="Arial" w:hAnsi="Arial"/>
          <w:b/>
          <w:bCs/>
          <w:sz w:val="22"/>
          <w:szCs w:val="22"/>
        </w:rPr>
        <w:t xml:space="preserve">Goodman-Bacon (2021), </w:t>
      </w:r>
      <w:r>
        <w:rPr>
          <w:rFonts w:ascii="Arial" w:cs="Arial" w:eastAsia="Arial" w:hAnsi="Arial"/>
          <w:i/>
          <w:iCs/>
          <w:sz w:val="22"/>
          <w:szCs w:val="22"/>
        </w:rPr>
        <w:t xml:space="preserve">Difference-in-differences with variation in treatment timing,</w:t>
      </w:r>
      <w:r>
        <w:rPr>
          <w:rFonts w:ascii="Arial" w:cs="Arial" w:eastAsia="Arial" w:hAnsi="Arial"/>
          <w:sz w:val="22"/>
          <w:szCs w:val="22"/>
        </w:rPr>
        <w:t xml:space="preserve"> Journal of Econometrics. The decomposition that started the conversation.</w:t>
      </w:r>
    </w:p>
    <w:p>
      <w:pPr>
        <w:pStyle w:val="ListParagraph"/>
        <w:numPr>
          <w:ilvl w:val="0"/>
          <w:numId w:val="3"/>
        </w:numPr>
        <w:spacing w:after="60" w:line="280"/>
      </w:pPr>
      <w:r>
        <w:rPr>
          <w:rFonts w:ascii="Arial" w:cs="Arial" w:eastAsia="Arial" w:hAnsi="Arial"/>
          <w:b/>
          <w:bCs/>
          <w:sz w:val="22"/>
          <w:szCs w:val="22"/>
        </w:rPr>
        <w:t xml:space="preserve">de Chaisemartin and D'Haultfoeuille (2020), </w:t>
      </w:r>
      <w:r>
        <w:rPr>
          <w:rFonts w:ascii="Arial" w:cs="Arial" w:eastAsia="Arial" w:hAnsi="Arial"/>
          <w:i/>
          <w:iCs/>
          <w:sz w:val="22"/>
          <w:szCs w:val="22"/>
        </w:rPr>
        <w:t xml:space="preserve">Two-way fixed effects estimators with heterogeneous treatment effects,</w:t>
      </w:r>
      <w:r>
        <w:rPr>
          <w:rFonts w:ascii="Arial" w:cs="Arial" w:eastAsia="Arial" w:hAnsi="Arial"/>
          <w:sz w:val="22"/>
          <w:szCs w:val="22"/>
        </w:rPr>
        <w:t xml:space="preserve"> American Economic Review.</w:t>
      </w:r>
    </w:p>
    <w:p>
      <w:pPr>
        <w:pStyle w:val="ListParagraph"/>
        <w:numPr>
          <w:ilvl w:val="0"/>
          <w:numId w:val="3"/>
        </w:numPr>
        <w:spacing w:after="60" w:line="280"/>
      </w:pPr>
      <w:r>
        <w:rPr>
          <w:rFonts w:ascii="Arial" w:cs="Arial" w:eastAsia="Arial" w:hAnsi="Arial"/>
          <w:b/>
          <w:bCs/>
          <w:sz w:val="22"/>
          <w:szCs w:val="22"/>
        </w:rPr>
        <w:t xml:space="preserve">Callaway and Sant'Anna (2021), </w:t>
      </w:r>
      <w:r>
        <w:rPr>
          <w:rFonts w:ascii="Arial" w:cs="Arial" w:eastAsia="Arial" w:hAnsi="Arial"/>
          <w:i/>
          <w:iCs/>
          <w:sz w:val="22"/>
          <w:szCs w:val="22"/>
        </w:rPr>
        <w:t xml:space="preserve">Difference-in-differences with multiple time periods,</w:t>
      </w:r>
      <w:r>
        <w:rPr>
          <w:rFonts w:ascii="Arial" w:cs="Arial" w:eastAsia="Arial" w:hAnsi="Arial"/>
          <w:sz w:val="22"/>
          <w:szCs w:val="22"/>
        </w:rPr>
        <w:t xml:space="preserve"> Journal of Econometrics.</w:t>
      </w:r>
    </w:p>
    <w:p>
      <w:pPr>
        <w:pStyle w:val="ListParagraph"/>
        <w:numPr>
          <w:ilvl w:val="0"/>
          <w:numId w:val="3"/>
        </w:numPr>
        <w:spacing w:after="60" w:line="280"/>
      </w:pPr>
      <w:r>
        <w:rPr>
          <w:rFonts w:ascii="Arial" w:cs="Arial" w:eastAsia="Arial" w:hAnsi="Arial"/>
          <w:b/>
          <w:bCs/>
          <w:sz w:val="22"/>
          <w:szCs w:val="22"/>
        </w:rPr>
        <w:t xml:space="preserve">Sun and Abraham (2021), </w:t>
      </w:r>
      <w:r>
        <w:rPr>
          <w:rFonts w:ascii="Arial" w:cs="Arial" w:eastAsia="Arial" w:hAnsi="Arial"/>
          <w:i/>
          <w:iCs/>
          <w:sz w:val="22"/>
          <w:szCs w:val="22"/>
        </w:rPr>
        <w:t xml:space="preserve">Estimating dynamic treatment effects in event studies with heterogeneous treatment effects,</w:t>
      </w:r>
      <w:r>
        <w:rPr>
          <w:rFonts w:ascii="Arial" w:cs="Arial" w:eastAsia="Arial" w:hAnsi="Arial"/>
          <w:sz w:val="22"/>
          <w:szCs w:val="22"/>
        </w:rPr>
        <w:t xml:space="preserve"> Journal of Econometrics.</w:t>
      </w:r>
    </w:p>
    <w:p>
      <w:pPr>
        <w:pStyle w:val="ListParagraph"/>
        <w:numPr>
          <w:ilvl w:val="0"/>
          <w:numId w:val="3"/>
        </w:numPr>
        <w:spacing w:after="60" w:line="280"/>
      </w:pPr>
      <w:r>
        <w:rPr>
          <w:rFonts w:ascii="Arial" w:cs="Arial" w:eastAsia="Arial" w:hAnsi="Arial"/>
          <w:b/>
          <w:bCs/>
          <w:sz w:val="22"/>
          <w:szCs w:val="22"/>
        </w:rPr>
        <w:t xml:space="preserve">Borusyak, Jaravel, and Spiess (2024), </w:t>
      </w:r>
      <w:r>
        <w:rPr>
          <w:rFonts w:ascii="Arial" w:cs="Arial" w:eastAsia="Arial" w:hAnsi="Arial"/>
          <w:i/>
          <w:iCs/>
          <w:sz w:val="22"/>
          <w:szCs w:val="22"/>
        </w:rPr>
        <w:t xml:space="preserve">Revisiting event-study designs: Robust and efficient estimation,</w:t>
      </w:r>
      <w:r>
        <w:rPr>
          <w:rFonts w:ascii="Arial" w:cs="Arial" w:eastAsia="Arial" w:hAnsi="Arial"/>
          <w:sz w:val="22"/>
          <w:szCs w:val="22"/>
        </w:rPr>
        <w:t xml:space="preserve"> Review of Economic Studies.</w:t>
      </w:r>
    </w:p>
    <w:p>
      <w:pPr>
        <w:pStyle w:val="ListParagraph"/>
        <w:numPr>
          <w:ilvl w:val="0"/>
          <w:numId w:val="3"/>
        </w:numPr>
        <w:spacing w:after="60" w:line="280"/>
      </w:pPr>
      <w:r>
        <w:rPr>
          <w:rFonts w:ascii="Arial" w:cs="Arial" w:eastAsia="Arial" w:hAnsi="Arial"/>
          <w:b/>
          <w:bCs/>
          <w:sz w:val="22"/>
          <w:szCs w:val="22"/>
        </w:rPr>
        <w:t xml:space="preserve">Rambachan and Roth (2023), </w:t>
      </w:r>
      <w:r>
        <w:rPr>
          <w:rFonts w:ascii="Arial" w:cs="Arial" w:eastAsia="Arial" w:hAnsi="Arial"/>
          <w:i/>
          <w:iCs/>
          <w:sz w:val="22"/>
          <w:szCs w:val="22"/>
        </w:rPr>
        <w:t xml:space="preserve">A more credible approach to parallel trends,</w:t>
      </w:r>
      <w:r>
        <w:rPr>
          <w:rFonts w:ascii="Arial" w:cs="Arial" w:eastAsia="Arial" w:hAnsi="Arial"/>
          <w:sz w:val="22"/>
          <w:szCs w:val="22"/>
        </w:rPr>
        <w:t xml:space="preserve"> Review of Economic Studies.</w:t>
      </w:r>
    </w:p>
    <w:p>
      <w:pPr>
        <w:pStyle w:val="Heading2"/>
        <w:spacing w:after="160" w:before="280"/>
      </w:pPr>
      <w:r>
        <w:rPr>
          <w:rFonts w:ascii="Arial" w:cs="Arial" w:eastAsia="Arial" w:hAnsi="Arial"/>
          <w:b/>
          <w:bCs/>
          <w:color w:val="2E75B6"/>
          <w:sz w:val="26"/>
          <w:szCs w:val="26"/>
        </w:rPr>
        <w:t xml:space="preserve">Mutual fund DiD examples to study</w:t>
      </w:r>
    </w:p>
    <w:p>
      <w:pPr>
        <w:spacing w:after="120" w:line="300"/>
      </w:pPr>
      <w:r>
        <w:rPr>
          <w:rFonts w:ascii="Arial" w:cs="Arial" w:eastAsia="Arial" w:hAnsi="Arial"/>
          <w:sz w:val="22"/>
          <w:szCs w:val="22"/>
        </w:rPr>
        <w:t xml:space="preserve">Reading well-executed DiD papers in your own field is one of the best ways to learn. Look for recent papers in the Journal of Finance, Review of Financial Studies, and Journal of Financial Economics that use staggered DiD on fund-level data and pay attention to: (1) how they justify their identification, (2) which estimator they use, (3) what robustness tests they show, (4) how they handle the modern DiD critique. Edmans, Levit, and Schneider; Christoffersen and Sarkissian; and Cohen, Frazzini, and Malloy are good authors to search.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08080" w:sz="6"/>
              <w:left w:val="single" w:color="808080" w:sz="6"/>
              <w:bottom w:val="single" w:color="808080" w:sz="6"/>
              <w:right w:val="single" w:color="808080" w:sz="6"/>
            </w:tcBorders>
            <w:shd w:fill="E7E6E6" w:val="clear"/>
            <w:tcMar>
              <w:top w:type="dxa" w:w="80"/>
              <w:left w:type="dxa" w:w="120"/>
              <w:bottom w:type="dxa" w:w="80"/>
              <w:right w:type="dxa" w:w="120"/>
            </w:tcMar>
          </w:tcPr>
          <w:p>
            <w:r>
              <w:rPr>
                <w:rFonts w:ascii="Arial" w:cs="Arial" w:eastAsia="Arial" w:hAnsi="Arial"/>
                <w:i/>
                <w:iCs/>
                <w:color w:val="595959"/>
                <w:sz w:val="20"/>
                <w:szCs w:val="20"/>
              </w:rPr>
              <w:t xml:space="preserve">Your notes / questions / connections to your paper</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r>
        <w:tc>
          <w:tcPr>
            <w:tcW w:type="dxa" w:w="9360"/>
            <w:tcBorders>
              <w:top w:val="none" w:color="FFFFFF" w:sz="0"/>
              <w:left w:val="single" w:color="808080" w:sz="6"/>
              <w:bottom w:val="single" w:color="BFBFBF" w:sz="4"/>
              <w:right w:val="single" w:color="808080" w:sz="6"/>
            </w:tcBorders>
            <w:tcMar>
              <w:top w:type="dxa" w:w="60"/>
              <w:left w:type="dxa" w:w="120"/>
              <w:bottom w:type="dxa" w:w="60"/>
              <w:right w:type="dxa" w:w="120"/>
            </w:tcMar>
          </w:tcPr>
          <w:p>
            <w:r>
              <w:rPr>
                <w:rFonts w:ascii="Arial" w:cs="Arial" w:eastAsia="Arial" w:hAnsi="Arial"/>
                <w:sz w:val="22"/>
                <w:szCs w:val="22"/>
              </w:rPr>
              <w:t xml:space="preserve"> </w:t>
            </w:r>
          </w:p>
        </w:tc>
      </w:tr>
    </w:tbl>
    <w:p>
      <w:r>
        <w:br w:type="page"/>
      </w:r>
    </w:p>
    <w:p>
      <w:pPr>
        <w:pStyle w:val="Heading1"/>
        <w:spacing w:after="200" w:before="360"/>
      </w:pPr>
      <w:r>
        <w:rPr>
          <w:rFonts w:ascii="Arial" w:cs="Arial" w:eastAsia="Arial" w:hAnsi="Arial"/>
          <w:b/>
          <w:bCs/>
          <w:color w:val="1F3864"/>
          <w:sz w:val="32"/>
          <w:szCs w:val="32"/>
        </w:rPr>
        <w:t xml:space="preserve">Glossary and key formulas</w:t>
      </w:r>
    </w:p>
    <w:p>
      <w:pPr>
        <w:pStyle w:val="Heading2"/>
        <w:spacing w:after="160" w:before="280"/>
      </w:pPr>
      <w:r>
        <w:rPr>
          <w:rFonts w:ascii="Arial" w:cs="Arial" w:eastAsia="Arial" w:hAnsi="Arial"/>
          <w:b/>
          <w:bCs/>
          <w:color w:val="2E75B6"/>
          <w:sz w:val="26"/>
          <w:szCs w:val="26"/>
        </w:rPr>
        <w:t xml:space="preserve">Glossary</w:t>
      </w:r>
    </w:p>
    <w:p>
      <w:pPr>
        <w:spacing w:after="100"/>
      </w:pPr>
      <w:r>
        <w:rPr>
          <w:rFonts w:ascii="Arial" w:cs="Arial" w:eastAsia="Arial" w:hAnsi="Arial"/>
          <w:b/>
          <w:bCs/>
          <w:sz w:val="22"/>
          <w:szCs w:val="22"/>
        </w:rPr>
        <w:t xml:space="preserve">ATT. </w:t>
      </w:r>
      <w:r>
        <w:rPr>
          <w:rFonts w:ascii="Arial" w:cs="Arial" w:eastAsia="Arial" w:hAnsi="Arial"/>
          <w:sz w:val="22"/>
          <w:szCs w:val="22"/>
        </w:rPr>
        <w:t xml:space="preserve">Average Treatment Effect on the Treated. The average causal effect of treatment among units that actually received treatment.</w:t>
      </w:r>
    </w:p>
    <w:p>
      <w:pPr>
        <w:spacing w:after="100"/>
      </w:pPr>
      <w:r>
        <w:rPr>
          <w:rFonts w:ascii="Arial" w:cs="Arial" w:eastAsia="Arial" w:hAnsi="Arial"/>
          <w:b/>
          <w:bCs/>
          <w:sz w:val="22"/>
          <w:szCs w:val="22"/>
        </w:rPr>
        <w:t xml:space="preserve">ATE. </w:t>
      </w:r>
      <w:r>
        <w:rPr>
          <w:rFonts w:ascii="Arial" w:cs="Arial" w:eastAsia="Arial" w:hAnsi="Arial"/>
          <w:sz w:val="22"/>
          <w:szCs w:val="22"/>
        </w:rPr>
        <w:t xml:space="preserve">Average Treatment Effect. The average causal effect across the entire population. DiD identifies ATT, not ATE, in general.</w:t>
      </w:r>
    </w:p>
    <w:p>
      <w:pPr>
        <w:spacing w:after="100"/>
      </w:pPr>
      <w:r>
        <w:rPr>
          <w:rFonts w:ascii="Arial" w:cs="Arial" w:eastAsia="Arial" w:hAnsi="Arial"/>
          <w:b/>
          <w:bCs/>
          <w:sz w:val="22"/>
          <w:szCs w:val="22"/>
        </w:rPr>
        <w:t xml:space="preserve">TWFE. </w:t>
      </w:r>
      <w:r>
        <w:rPr>
          <w:rFonts w:ascii="Arial" w:cs="Arial" w:eastAsia="Arial" w:hAnsi="Arial"/>
          <w:sz w:val="22"/>
          <w:szCs w:val="22"/>
        </w:rPr>
        <w:t xml:space="preserve">Two-way fixed effects. A regression with both unit and time fixed effects.</w:t>
      </w:r>
    </w:p>
    <w:p>
      <w:pPr>
        <w:spacing w:after="100"/>
      </w:pPr>
      <w:r>
        <w:rPr>
          <w:rFonts w:ascii="Arial" w:cs="Arial" w:eastAsia="Arial" w:hAnsi="Arial"/>
          <w:b/>
          <w:bCs/>
          <w:sz w:val="22"/>
          <w:szCs w:val="22"/>
        </w:rPr>
        <w:t xml:space="preserve">Parallel trends. </w:t>
      </w:r>
      <w:r>
        <w:rPr>
          <w:rFonts w:ascii="Arial" w:cs="Arial" w:eastAsia="Arial" w:hAnsi="Arial"/>
          <w:sz w:val="22"/>
          <w:szCs w:val="22"/>
        </w:rPr>
        <w:t xml:space="preserve">The identifying assumption of DiD: treated units' Y(0) would have evolved like control units' Y(0) in the absence of treatment.</w:t>
      </w:r>
    </w:p>
    <w:p>
      <w:pPr>
        <w:spacing w:after="100"/>
      </w:pPr>
      <w:r>
        <w:rPr>
          <w:rFonts w:ascii="Arial" w:cs="Arial" w:eastAsia="Arial" w:hAnsi="Arial"/>
          <w:b/>
          <w:bCs/>
          <w:sz w:val="22"/>
          <w:szCs w:val="22"/>
        </w:rPr>
        <w:t xml:space="preserve">Cohort / Group. </w:t>
      </w:r>
      <w:r>
        <w:rPr>
          <w:rFonts w:ascii="Arial" w:cs="Arial" w:eastAsia="Arial" w:hAnsi="Arial"/>
          <w:sz w:val="22"/>
          <w:szCs w:val="22"/>
        </w:rPr>
        <w:t xml:space="preserve">In staggered DiD, units that share the same first-treatment date.</w:t>
      </w:r>
    </w:p>
    <w:p>
      <w:pPr>
        <w:spacing w:after="100"/>
      </w:pPr>
      <w:r>
        <w:rPr>
          <w:rFonts w:ascii="Arial" w:cs="Arial" w:eastAsia="Arial" w:hAnsi="Arial"/>
          <w:b/>
          <w:bCs/>
          <w:sz w:val="22"/>
          <w:szCs w:val="22"/>
        </w:rPr>
        <w:t xml:space="preserve">Event time. </w:t>
      </w:r>
      <w:r>
        <w:rPr>
          <w:rFonts w:ascii="Arial" w:cs="Arial" w:eastAsia="Arial" w:hAnsi="Arial"/>
          <w:sz w:val="22"/>
          <w:szCs w:val="22"/>
        </w:rPr>
        <w:t xml:space="preserve">Calendar time minus treatment time. e = 0 is the period of treatment, e = -1 is one period before, etc.</w:t>
      </w:r>
    </w:p>
    <w:p>
      <w:pPr>
        <w:spacing w:after="100"/>
      </w:pPr>
      <w:r>
        <w:rPr>
          <w:rFonts w:ascii="Arial" w:cs="Arial" w:eastAsia="Arial" w:hAnsi="Arial"/>
          <w:b/>
          <w:bCs/>
          <w:sz w:val="22"/>
          <w:szCs w:val="22"/>
        </w:rPr>
        <w:t xml:space="preserve">Forbidden comparison. </w:t>
      </w:r>
      <w:r>
        <w:rPr>
          <w:rFonts w:ascii="Arial" w:cs="Arial" w:eastAsia="Arial" w:hAnsi="Arial"/>
          <w:sz w:val="22"/>
          <w:szCs w:val="22"/>
        </w:rPr>
        <w:t xml:space="preserve">A 2x2 comparison in which already-treated units serve as controls. The source of TWFE bias under heterogeneous effects.</w:t>
      </w:r>
    </w:p>
    <w:p>
      <w:pPr>
        <w:spacing w:after="100"/>
      </w:pPr>
      <w:r>
        <w:rPr>
          <w:rFonts w:ascii="Arial" w:cs="Arial" w:eastAsia="Arial" w:hAnsi="Arial"/>
          <w:b/>
          <w:bCs/>
          <w:sz w:val="22"/>
          <w:szCs w:val="22"/>
        </w:rPr>
        <w:t xml:space="preserve">Negative weights. </w:t>
      </w:r>
      <w:r>
        <w:rPr>
          <w:rFonts w:ascii="Arial" w:cs="Arial" w:eastAsia="Arial" w:hAnsi="Arial"/>
          <w:sz w:val="22"/>
          <w:szCs w:val="22"/>
        </w:rPr>
        <w:t xml:space="preserve">When the TWFE coefficient places weight less than zero on some unit-time treatment effects, which can flip the sign of the estimate.</w:t>
      </w:r>
    </w:p>
    <w:p>
      <w:pPr>
        <w:spacing w:after="100"/>
      </w:pPr>
      <w:r>
        <w:rPr>
          <w:rFonts w:ascii="Arial" w:cs="Arial" w:eastAsia="Arial" w:hAnsi="Arial"/>
          <w:b/>
          <w:bCs/>
          <w:sz w:val="22"/>
          <w:szCs w:val="22"/>
        </w:rPr>
        <w:t xml:space="preserve">SUTVA. </w:t>
      </w:r>
      <w:r>
        <w:rPr>
          <w:rFonts w:ascii="Arial" w:cs="Arial" w:eastAsia="Arial" w:hAnsi="Arial"/>
          <w:sz w:val="22"/>
          <w:szCs w:val="22"/>
        </w:rPr>
        <w:t xml:space="preserve">Stable Unit Treatment Value Assumption. One unit's outcomes do not depend on another unit's treatment status.</w:t>
      </w:r>
    </w:p>
    <w:p>
      <w:pPr>
        <w:spacing w:after="100"/>
      </w:pPr>
      <w:r>
        <w:rPr>
          <w:rFonts w:ascii="Arial" w:cs="Arial" w:eastAsia="Arial" w:hAnsi="Arial"/>
          <w:b/>
          <w:bCs/>
          <w:sz w:val="22"/>
          <w:szCs w:val="22"/>
        </w:rPr>
        <w:t xml:space="preserve">Honest DiD. </w:t>
      </w:r>
      <w:r>
        <w:rPr>
          <w:rFonts w:ascii="Arial" w:cs="Arial" w:eastAsia="Arial" w:hAnsi="Arial"/>
          <w:sz w:val="22"/>
          <w:szCs w:val="22"/>
        </w:rPr>
        <w:t xml:space="preserve">A sensitivity-analysis framework (Rambachan and Roth) that bounds the ATT under partial violations of parallel trends.</w:t>
      </w:r>
    </w:p>
    <w:p>
      <w:pPr>
        <w:pStyle w:val="Heading2"/>
        <w:spacing w:after="160" w:before="280"/>
      </w:pPr>
      <w:r>
        <w:rPr>
          <w:rFonts w:ascii="Arial" w:cs="Arial" w:eastAsia="Arial" w:hAnsi="Arial"/>
          <w:b/>
          <w:bCs/>
          <w:color w:val="2E75B6"/>
          <w:sz w:val="26"/>
          <w:szCs w:val="26"/>
        </w:rPr>
        <w:t xml:space="preserve">Key formulas at a glance</w:t>
      </w:r>
    </w:p>
    <w:p>
      <w:pPr>
        <w:spacing w:after="120" w:line="300"/>
      </w:pPr>
      <w:r>
        <w:rPr>
          <w:rFonts w:ascii="Arial" w:cs="Arial" w:eastAsia="Arial" w:hAnsi="Arial"/>
          <w:sz w:val="22"/>
          <w:szCs w:val="22"/>
        </w:rPr>
        <w:t xml:space="preserve">2x2 DiD estimator:</w:t>
      </w:r>
    </w:p>
    <w:p>
      <w:pPr>
        <w:spacing w:after="120" w:before="120"/>
        <w:jc w:val="center"/>
      </w:pPr>
      <w:r>
        <w:rPr>
          <w:rFonts w:ascii="Cambria Math" w:cs="Cambria Math" w:eastAsia="Cambria Math" w:hAnsi="Cambria Math"/>
          <w:i/>
          <w:iCs/>
          <w:sz w:val="24"/>
          <w:szCs w:val="24"/>
        </w:rPr>
        <w:t xml:space="preserve">τ̂_DiD = (Ȳ_T,post − Ȳ_T,pre) − (Ȳ_C,post − Ȳ_C,pre)</w:t>
      </w:r>
    </w:p>
    <w:p>
      <w:pPr>
        <w:spacing w:after="120" w:line="300"/>
      </w:pPr>
      <w:r>
        <w:rPr>
          <w:rFonts w:ascii="Arial" w:cs="Arial" w:eastAsia="Arial" w:hAnsi="Arial"/>
          <w:sz w:val="22"/>
          <w:szCs w:val="22"/>
        </w:rPr>
        <w:t xml:space="preserve">Regression form:</w:t>
      </w:r>
    </w:p>
    <w:p>
      <w:pPr>
        <w:spacing w:after="120" w:before="120"/>
        <w:jc w:val="center"/>
      </w:pPr>
      <w:r>
        <w:rPr>
          <w:rFonts w:ascii="Cambria Math" w:cs="Cambria Math" w:eastAsia="Cambria Math" w:hAnsi="Cambria Math"/>
          <w:i/>
          <w:iCs/>
          <w:sz w:val="24"/>
          <w:szCs w:val="24"/>
        </w:rPr>
        <w:t xml:space="preserve">Y_it = α + β · Treat_i + γ · Post_t + δ · (Treat_i × Post_t) + ε_it</w:t>
      </w:r>
    </w:p>
    <w:p>
      <w:pPr>
        <w:spacing w:after="120" w:line="300"/>
      </w:pPr>
      <w:r>
        <w:rPr>
          <w:rFonts w:ascii="Arial" w:cs="Arial" w:eastAsia="Arial" w:hAnsi="Arial"/>
          <w:sz w:val="22"/>
          <w:szCs w:val="22"/>
        </w:rPr>
        <w:t xml:space="preserve">TWFE form:</w:t>
      </w:r>
    </w:p>
    <w:p>
      <w:pPr>
        <w:spacing w:after="120" w:before="120"/>
        <w:jc w:val="center"/>
      </w:pPr>
      <w:r>
        <w:rPr>
          <w:rFonts w:ascii="Cambria Math" w:cs="Cambria Math" w:eastAsia="Cambria Math" w:hAnsi="Cambria Math"/>
          <w:i/>
          <w:iCs/>
          <w:sz w:val="24"/>
          <w:szCs w:val="24"/>
        </w:rPr>
        <w:t xml:space="preserve">Y_it = α_i + λ_t + δ · D_it + ε_it</w:t>
      </w:r>
    </w:p>
    <w:p>
      <w:pPr>
        <w:spacing w:after="120" w:line="300"/>
      </w:pPr>
      <w:r>
        <w:rPr>
          <w:rFonts w:ascii="Arial" w:cs="Arial" w:eastAsia="Arial" w:hAnsi="Arial"/>
          <w:sz w:val="22"/>
          <w:szCs w:val="22"/>
        </w:rPr>
        <w:t xml:space="preserve">Group-time ATT (Callaway-Sant'Anna):</w:t>
      </w:r>
    </w:p>
    <w:p>
      <w:pPr>
        <w:spacing w:after="120" w:before="120"/>
        <w:jc w:val="center"/>
      </w:pPr>
      <w:r>
        <w:rPr>
          <w:rFonts w:ascii="Cambria Math" w:cs="Cambria Math" w:eastAsia="Cambria Math" w:hAnsi="Cambria Math"/>
          <w:i/>
          <w:iCs/>
          <w:sz w:val="24"/>
          <w:szCs w:val="24"/>
        </w:rPr>
        <w:t xml:space="preserve">ATT(g, t) = E[ Y_it(1) − Y_it(0) | G_i = g, t ≥ g ]</w:t>
      </w:r>
    </w:p>
    <w:p>
      <w:pPr>
        <w:spacing w:after="120" w:line="300"/>
      </w:pPr>
      <w:r>
        <w:rPr>
          <w:rFonts w:ascii="Arial" w:cs="Arial" w:eastAsia="Arial" w:hAnsi="Arial"/>
          <w:sz w:val="22"/>
          <w:szCs w:val="22"/>
        </w:rPr>
        <w:t xml:space="preserve">Sun-Abraham event study with cohort interactions:</w:t>
      </w:r>
    </w:p>
    <w:p>
      <w:pPr>
        <w:spacing w:after="120" w:before="120"/>
        <w:jc w:val="center"/>
      </w:pPr>
      <w:r>
        <w:rPr>
          <w:rFonts w:ascii="Cambria Math" w:cs="Cambria Math" w:eastAsia="Cambria Math" w:hAnsi="Cambria Math"/>
          <w:i/>
          <w:iCs/>
          <w:sz w:val="24"/>
          <w:szCs w:val="24"/>
        </w:rPr>
        <w:t xml:space="preserve">Y_it = α_i + λ_t + Σ_e Σ_g δ_{g,e} · 1{G_i = g} · 1{t − g = e} + ε_it</w:t>
      </w:r>
    </w:p>
    <w:p>
      <w:pPr>
        <w:spacing w:after="120" w:line="300"/>
      </w:pPr>
      <w:r>
        <w:rPr>
          <w:rFonts w:ascii="Arial" w:cs="Arial" w:eastAsia="Arial" w:hAnsi="Arial"/>
          <w:sz w:val="22"/>
          <w:szCs w:val="22"/>
        </w:rPr>
        <w:t xml:space="preserve">Parallel trends assumption (testable form for pre-periods):</w:t>
      </w:r>
    </w:p>
    <w:p>
      <w:pPr>
        <w:spacing w:after="120" w:before="120"/>
        <w:jc w:val="center"/>
      </w:pPr>
      <w:r>
        <w:rPr>
          <w:rFonts w:ascii="Cambria Math" w:cs="Cambria Math" w:eastAsia="Cambria Math" w:hAnsi="Cambria Math"/>
          <w:i/>
          <w:iCs/>
          <w:sz w:val="24"/>
          <w:szCs w:val="24"/>
        </w:rPr>
        <w:t xml:space="preserve">E[Y_it(0) − Y_i,t−1(0) | G_i = g] = E[Y_it(0) − Y_i,t−1(0) | G_i = ∞]    for t &lt; 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4"/>
              <w:left w:val="single" w:color="BF8F00" w:sz="12"/>
              <w:bottom w:val="single" w:color="BF8F00" w:sz="4"/>
              <w:right w:val="single" w:color="BF8F00" w:sz="4"/>
            </w:tcBorders>
            <w:shd w:fill="E2EFDA" w:val="clear"/>
            <w:tcMar>
              <w:top w:type="dxa" w:w="160"/>
              <w:left w:type="dxa" w:w="200"/>
              <w:bottom w:type="dxa" w:w="160"/>
              <w:right w:type="dxa" w:w="200"/>
            </w:tcMar>
          </w:tcPr>
          <w:p>
            <w:pPr>
              <w:spacing w:after="80"/>
            </w:pPr>
            <w:r>
              <w:rPr>
                <w:rFonts w:ascii="Arial" w:cs="Arial" w:eastAsia="Arial" w:hAnsi="Arial"/>
                <w:b/>
                <w:bCs/>
                <w:color w:val="7F6000"/>
                <w:sz w:val="22"/>
                <w:szCs w:val="22"/>
              </w:rPr>
              <w:t xml:space="preserve">Final note</w:t>
            </w:r>
          </w:p>
          <w:p>
            <w:pPr>
              <w:spacing w:after="120" w:line="300"/>
            </w:pPr>
            <w:r>
              <w:rPr>
                <w:rFonts w:ascii="Arial" w:cs="Arial" w:eastAsia="Arial" w:hAnsi="Arial"/>
                <w:sz w:val="22"/>
                <w:szCs w:val="22"/>
              </w:rPr>
              <w:t xml:space="preserve">This document is a scaffold. The actual learning happens when you read each chapter of Cunningham slowly, work through his code in R or Stata, and then come back here to take your own notes in the gray boxes. Map every concept to the specific decision points in your mutual fund paper.</w:t>
            </w:r>
          </w:p>
          <w:p>
            <w:pPr>
              <w:spacing w:after="120" w:line="300"/>
            </w:pPr>
            <w:r>
              <w:rPr>
                <w:rFonts w:ascii="Arial" w:cs="Arial" w:eastAsia="Arial" w:hAnsi="Arial"/>
                <w:sz w:val="22"/>
                <w:szCs w:val="22"/>
              </w:rPr>
              <w:t xml:space="preserve">If you get stuck on any specific section — the matrix algebra in a proof, the Stata code, the interpretation of a coefficient — treat that as the next conversation we have. The hardest concepts are easier to learn through targeted Q&amp;A than by reading more pages.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95959"/>
        <w:sz w:val="18"/>
        <w:szCs w:val="18"/>
      </w:rPr>
      <w:t xml:space="preserve">DiD Study Notes — Cunningham's Mixtape companion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DiD Study Notes - Companion to Cunningham's Mixtape</dc:title>
  <dc:creator>Claude</dc:creator>
  <cp:lastModifiedBy>Un-named</cp:lastModifiedBy>
  <cp:revision>1</cp:revision>
  <dcterms:created xsi:type="dcterms:W3CDTF">2026-05-04T09:45:41.142Z</dcterms:created>
  <dcterms:modified xsi:type="dcterms:W3CDTF">2026-05-04T09:45:41.142Z</dcterms:modified>
</cp:coreProperties>
</file>

<file path=docProps/custom.xml><?xml version="1.0" encoding="utf-8"?>
<Properties xmlns="http://schemas.openxmlformats.org/officeDocument/2006/custom-properties" xmlns:vt="http://schemas.openxmlformats.org/officeDocument/2006/docPropsVTypes"/>
</file>