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0F7E5">
      <w:pPr>
        <w:pStyle w:val="31"/>
        <w:jc w:val="center"/>
        <w:rPr>
          <w:sz w:val="40"/>
          <w:szCs w:val="56"/>
        </w:rPr>
      </w:pPr>
      <w:r>
        <w:rPr>
          <w:rFonts w:ascii="Arial Unicode MS" w:hAnsi="Arial Unicode MS" w:eastAsia="Arial Unicode MS"/>
          <w:b/>
          <w:color w:val="000000"/>
          <w:sz w:val="28"/>
          <w:szCs w:val="56"/>
        </w:rPr>
        <w:t>健康谣言侦探——科学守护银发族小课堂活动策划案</w:t>
      </w:r>
    </w:p>
    <w:p w14:paraId="2766C559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一、活动概况</w:t>
      </w:r>
    </w:p>
    <w:p w14:paraId="44C5FA6E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活动名称：</w:t>
      </w:r>
      <w:r>
        <w:rPr>
          <w:rFonts w:ascii="Arial Unicode MS" w:hAnsi="Arial Unicode MS" w:eastAsia="Arial Unicode MS"/>
          <w:b w:val="0"/>
          <w:color w:val="000000"/>
          <w:sz w:val="24"/>
        </w:rPr>
        <w:t>健康谣言侦探——科学守护银发族小课堂</w:t>
      </w:r>
    </w:p>
    <w:p>
      <w:pPr/>
      <w:r>
        <w:rPr>
          <w:rFonts w:ascii="Arial Unicode MS" w:hAnsi="Arial Unicode MS" w:eastAsia="Arial Unicode MS"/>
        </w:rPr>
        <w:t>活动时间：2026年7月2日与2026年10月7日</w:t>
      </w:r>
    </w:p>
    <w:p w14:paraId="6E47F703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本期主题：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看到预防老年痴呆的信息，我该如何判断</w:t>
      </w:r>
    </w:p>
    <w:p w14:paraId="3DEF56EA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发起/主办：</w:t>
      </w:r>
      <w:r>
        <w:rPr>
          <w:rFonts w:ascii="Arial Unicode MS" w:hAnsi="Arial Unicode MS" w:eastAsia="Arial Unicode MS"/>
          <w:b w:val="0"/>
          <w:color w:val="000000"/>
          <w:sz w:val="24"/>
        </w:rPr>
        <w:t>SUSTech-BIO（南方科技大学iGEM团队ORCA项目）</w:t>
      </w:r>
    </w:p>
    <w:p w14:paraId="2A17BBAC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合作单位：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社区/长者服务中心</w:t>
      </w:r>
    </w:p>
    <w:p w14:paraId="3DB3CEE1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活动对象：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社区长辈</w:t>
      </w:r>
    </w:p>
    <w:p w14:paraId="5EE3C918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参加人数：</w:t>
      </w:r>
      <w:r>
        <w:rPr>
          <w:rFonts w:ascii="Arial Unicode MS" w:hAnsi="Arial Unicode MS" w:eastAsia="Arial Unicode MS"/>
          <w:b w:val="0"/>
          <w:color w:val="000000"/>
          <w:sz w:val="24"/>
        </w:rPr>
        <w:t>15—20位长辈</w:t>
      </w:r>
    </w:p>
    <w:p w14:paraId="244422F0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活动时长：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约40分钟</w:t>
      </w:r>
    </w:p>
    <w:p w14:paraId="7D8B940E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活动场地：</w:t>
      </w:r>
      <w:r>
        <w:rPr>
          <w:rFonts w:ascii="Arial Unicode MS" w:hAnsi="Arial Unicode MS" w:eastAsia="Arial Unicode MS"/>
          <w:b w:val="0"/>
          <w:color w:val="000000"/>
          <w:sz w:val="24"/>
        </w:rPr>
        <w:t>有座椅、通风良好的活动室；最好有投影，无投影团队自带便携投影/音响</w:t>
      </w:r>
    </w:p>
    <w:p w14:paraId="4DECA4DD">
      <w:pPr>
        <w:spacing w:before="0" w:after="4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4"/>
        </w:rPr>
        <w:t>活动性质：</w:t>
      </w:r>
      <w:r>
        <w:rPr>
          <w:rFonts w:ascii="Arial Unicode MS" w:hAnsi="Arial Unicode MS" w:eastAsia="Arial Unicode MS"/>
          <w:b w:val="0"/>
          <w:color w:val="000000"/>
          <w:sz w:val="24"/>
        </w:rPr>
        <w:t>公益科普，全程免费，不收取任何费用；不提供医疗诊断和用药建议；不推销任何药品、保健品或医疗服务</w:t>
      </w:r>
    </w:p>
    <w:p w14:paraId="2DD67087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二、活动目标</w:t>
      </w:r>
    </w:p>
    <w:p w14:paraId="56042204">
      <w:pPr>
        <w:numPr>
          <w:ilvl w:val="0"/>
          <w:numId w:val="7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帮助长辈记住辨别健康信息的“四问”金句：谁说的？有没有根据？是不是想让我花钱？说法从哪来？</w:t>
      </w:r>
    </w:p>
    <w:p w14:paraId="5F042424">
      <w:pPr>
        <w:numPr>
          <w:ilvl w:val="0"/>
          <w:numId w:val="7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围绕“预防老年痴呆”常见信息，识别生活方式、保健品、网络宣传、偏方推荐四类典型说法中的风险点。</w:t>
      </w:r>
    </w:p>
    <w:p w14:paraId="5F206DE1">
      <w:pPr>
        <w:numPr>
          <w:ilvl w:val="0"/>
          <w:numId w:val="7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引导长辈形成行动习惯：话说得太满要打问号；保健品认“蓝帽子”但不是药；标题越夸张越警惕；拿不准就问正规医疗机构或社康医生。</w:t>
      </w:r>
    </w:p>
    <w:p w14:paraId="09C9CA95">
      <w:pPr>
        <w:numPr>
          <w:ilvl w:val="0"/>
          <w:numId w:val="7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发放科普手册和小礼品，收集简单反馈，形成活动照片和情况记录，便于中心留档。</w:t>
      </w:r>
    </w:p>
    <w:p w14:paraId="7C45C72A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三、核心教学内容</w:t>
      </w:r>
    </w:p>
    <w:p w14:paraId="41F36D3F">
      <w:pPr>
        <w:spacing w:before="0" w:after="0" w:line="360" w:lineRule="auto"/>
        <w:ind w:firstLine="480" w:firstLineChars="200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课堂以“信息四问”为主线，每类说法配1—2个通俗例子，允许长辈随时打断提问。</w:t>
      </w:r>
    </w:p>
    <w:tbl>
      <w:tblPr>
        <w:tblStyle w:val="32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515"/>
        <w:gridCol w:w="4082"/>
      </w:tblGrid>
      <w:tr w14:paraId="25519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474" w:type="dxa"/>
            <w:shd w:val="clear" w:color="auto" w:fill="D9D9D9"/>
            <w:vAlign w:val="center"/>
          </w:tcPr>
          <w:p w14:paraId="5511CDF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场景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1FCFC05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常见说法/话术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572855A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判断要点</w:t>
            </w:r>
          </w:p>
        </w:tc>
      </w:tr>
      <w:tr w14:paraId="66AFA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474" w:type="dxa"/>
            <w:vAlign w:val="center"/>
          </w:tcPr>
          <w:p w14:paraId="18B6B6B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生活方式</w:t>
            </w:r>
          </w:p>
        </w:tc>
        <w:tc>
          <w:tcPr>
            <w:tcW w:w="3515" w:type="dxa"/>
            <w:vAlign w:val="center"/>
          </w:tcPr>
          <w:p w14:paraId="642256E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运动、饮食、睡眠、社交“保证不得老年痴呆”“逆转”</w:t>
            </w:r>
          </w:p>
        </w:tc>
        <w:tc>
          <w:tcPr>
            <w:tcW w:w="4082" w:type="dxa"/>
            <w:vAlign w:val="center"/>
          </w:tcPr>
          <w:p w14:paraId="0B7333A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只能降低风险，不能保证不得病；说得太满要警惕</w:t>
            </w:r>
          </w:p>
        </w:tc>
      </w:tr>
      <w:tr w14:paraId="5434C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474" w:type="dxa"/>
            <w:vAlign w:val="center"/>
          </w:tcPr>
          <w:p w14:paraId="393B91B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保健品</w:t>
            </w:r>
          </w:p>
        </w:tc>
        <w:tc>
          <w:tcPr>
            <w:tcW w:w="3515" w:type="dxa"/>
            <w:vAlign w:val="center"/>
          </w:tcPr>
          <w:p w14:paraId="1DF6E73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“专家推荐”“治疗/根治”“几个疗程见效”</w:t>
            </w:r>
          </w:p>
        </w:tc>
        <w:tc>
          <w:tcPr>
            <w:tcW w:w="4082" w:type="dxa"/>
            <w:vAlign w:val="center"/>
          </w:tcPr>
          <w:p w14:paraId="52E4CF4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认“蓝帽子”标志；保健品不是药；包装写“治疗”“根治”涉嫌违规宣传</w:t>
            </w:r>
          </w:p>
        </w:tc>
      </w:tr>
      <w:tr w14:paraId="74E34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474" w:type="dxa"/>
            <w:vAlign w:val="center"/>
          </w:tcPr>
          <w:p w14:paraId="50D60A1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网络宣传</w:t>
            </w:r>
          </w:p>
        </w:tc>
        <w:tc>
          <w:tcPr>
            <w:tcW w:w="3515" w:type="dxa"/>
            <w:vAlign w:val="center"/>
          </w:tcPr>
          <w:p w14:paraId="62714A2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“震惊体”“包治百病”“专家推荐”</w:t>
            </w:r>
          </w:p>
        </w:tc>
        <w:tc>
          <w:tcPr>
            <w:tcW w:w="4082" w:type="dxa"/>
            <w:vAlign w:val="center"/>
          </w:tcPr>
          <w:p w14:paraId="2392F29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标题越夸张越要警惕；看作者是谁、有没有出处、是科普还是带货</w:t>
            </w:r>
          </w:p>
        </w:tc>
      </w:tr>
      <w:tr w14:paraId="3C565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474" w:type="dxa"/>
            <w:vAlign w:val="center"/>
          </w:tcPr>
          <w:p w14:paraId="6F8B892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偏方和推荐</w:t>
            </w:r>
          </w:p>
        </w:tc>
        <w:tc>
          <w:tcPr>
            <w:tcW w:w="3515" w:type="dxa"/>
            <w:vAlign w:val="center"/>
          </w:tcPr>
          <w:p w14:paraId="7E6E695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来路不明的偏方、熟人推荐“神方”</w:t>
            </w:r>
          </w:p>
        </w:tc>
        <w:tc>
          <w:tcPr>
            <w:tcW w:w="4082" w:type="dxa"/>
            <w:vAlign w:val="center"/>
          </w:tcPr>
          <w:p w14:paraId="1106571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别轻信；拿不准就去医院或社康问医生；多问一句“来源是什么”</w:t>
            </w:r>
          </w:p>
        </w:tc>
      </w:tr>
    </w:tbl>
    <w:p w14:paraId="1DA42D5D">
      <w:pPr>
        <w:spacing w:after="0" w:line="240" w:lineRule="auto"/>
      </w:pPr>
    </w:p>
    <w:p w14:paraId="4DC7F5E1">
      <w:pPr>
        <w:spacing w:before="0" w:after="0" w:line="360" w:lineRule="auto"/>
        <w:ind w:firstLine="480" w:firstLineChars="200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互动典型宣传语示例：“三个疗程逆转老年痴呆”“专家推荐，包治百病”“吃了这个就不用去医院”。请长辈现场找问题，答对给小礼品。</w:t>
      </w:r>
    </w:p>
    <w:p w14:paraId="0902CF67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四、活动流程（约40分钟）</w:t>
      </w:r>
    </w:p>
    <w:tbl>
      <w:tblPr>
        <w:tblStyle w:val="32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2154"/>
        <w:gridCol w:w="5556"/>
      </w:tblGrid>
      <w:tr w14:paraId="6F376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361" w:type="dxa"/>
            <w:shd w:val="clear" w:color="auto" w:fill="D9D9D9"/>
            <w:vAlign w:val="center"/>
          </w:tcPr>
          <w:p w14:paraId="4F969AC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时间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4D446D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环节</w:t>
            </w:r>
          </w:p>
        </w:tc>
        <w:tc>
          <w:tcPr>
            <w:tcW w:w="5556" w:type="dxa"/>
            <w:shd w:val="clear" w:color="auto" w:fill="D9D9D9"/>
            <w:vAlign w:val="center"/>
          </w:tcPr>
          <w:p w14:paraId="69CDD7C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内容</w:t>
            </w:r>
          </w:p>
        </w:tc>
      </w:tr>
      <w:tr w14:paraId="2F698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361" w:type="dxa"/>
            <w:vAlign w:val="center"/>
          </w:tcPr>
          <w:p w14:paraId="2AE1E08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0—5分钟</w:t>
            </w:r>
          </w:p>
        </w:tc>
        <w:tc>
          <w:tcPr>
            <w:tcW w:w="2154" w:type="dxa"/>
            <w:vAlign w:val="center"/>
          </w:tcPr>
          <w:p w14:paraId="452ABDC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开场破冰</w:t>
            </w:r>
          </w:p>
        </w:tc>
        <w:tc>
          <w:tcPr>
            <w:tcW w:w="5556" w:type="dxa"/>
            <w:vAlign w:val="center"/>
          </w:tcPr>
          <w:p w14:paraId="4999464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团队介绍；询问长辈“平时在电视、手机上看到过哪些‘预防老年痴呆’的宣传”，收集例子用于后续讲课</w:t>
            </w:r>
          </w:p>
        </w:tc>
      </w:tr>
      <w:tr w14:paraId="2D35C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361" w:type="dxa"/>
            <w:vAlign w:val="center"/>
          </w:tcPr>
          <w:p w14:paraId="6E1C075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5—11分钟</w:t>
            </w:r>
          </w:p>
        </w:tc>
        <w:tc>
          <w:tcPr>
            <w:tcW w:w="2154" w:type="dxa"/>
            <w:vAlign w:val="center"/>
          </w:tcPr>
          <w:p w14:paraId="716BFD9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场景一·生活方式</w:t>
            </w:r>
          </w:p>
        </w:tc>
        <w:tc>
          <w:tcPr>
            <w:tcW w:w="5556" w:type="dxa"/>
            <w:vAlign w:val="center"/>
          </w:tcPr>
          <w:p w14:paraId="5BA499D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运动、社交、饮食、睡眠只能“降低风险”，不能“保证不得”；警惕“逆转”“根治”</w:t>
            </w:r>
          </w:p>
        </w:tc>
      </w:tr>
      <w:tr w14:paraId="6AC99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361" w:type="dxa"/>
            <w:vAlign w:val="center"/>
          </w:tcPr>
          <w:p w14:paraId="7B7FE72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11—18分钟</w:t>
            </w:r>
          </w:p>
        </w:tc>
        <w:tc>
          <w:tcPr>
            <w:tcW w:w="2154" w:type="dxa"/>
            <w:vAlign w:val="center"/>
          </w:tcPr>
          <w:p w14:paraId="48D19F5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场景二·保健品</w:t>
            </w:r>
          </w:p>
        </w:tc>
        <w:tc>
          <w:tcPr>
            <w:tcW w:w="5556" w:type="dxa"/>
            <w:vAlign w:val="center"/>
          </w:tcPr>
          <w:p w14:paraId="51FD650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认“蓝帽子”标志；保健品不是药；包装写“治疗/根治”涉嫌违法宣传</w:t>
            </w:r>
          </w:p>
        </w:tc>
      </w:tr>
      <w:tr w14:paraId="3B46A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361" w:type="dxa"/>
            <w:vAlign w:val="center"/>
          </w:tcPr>
          <w:p w14:paraId="2F41397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18—25分钟</w:t>
            </w:r>
          </w:p>
        </w:tc>
        <w:tc>
          <w:tcPr>
            <w:tcW w:w="2154" w:type="dxa"/>
            <w:vAlign w:val="center"/>
          </w:tcPr>
          <w:p w14:paraId="6F0DF87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场景三·网络宣传</w:t>
            </w:r>
          </w:p>
        </w:tc>
        <w:tc>
          <w:tcPr>
            <w:tcW w:w="5556" w:type="dxa"/>
            <w:vAlign w:val="center"/>
          </w:tcPr>
          <w:p w14:paraId="7009AA0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“震惊体”“包治百病”“专家推荐”是典型话术；看是科普还是带货</w:t>
            </w:r>
          </w:p>
        </w:tc>
      </w:tr>
      <w:tr w14:paraId="3CE8B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361" w:type="dxa"/>
            <w:vAlign w:val="center"/>
          </w:tcPr>
          <w:p w14:paraId="43786B3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25—30分钟</w:t>
            </w:r>
          </w:p>
        </w:tc>
        <w:tc>
          <w:tcPr>
            <w:tcW w:w="2154" w:type="dxa"/>
            <w:vAlign w:val="center"/>
          </w:tcPr>
          <w:p w14:paraId="4EEAF88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场景四·偏方推荐与医疗建议</w:t>
            </w:r>
          </w:p>
        </w:tc>
        <w:tc>
          <w:tcPr>
            <w:tcW w:w="5556" w:type="dxa"/>
            <w:vAlign w:val="center"/>
          </w:tcPr>
          <w:p w14:paraId="7864904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不听信来路不明偏方；只听正规医疗机构和医生的；多问“来源是什么”</w:t>
            </w:r>
          </w:p>
        </w:tc>
      </w:tr>
      <w:tr w14:paraId="49161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361" w:type="dxa"/>
            <w:vAlign w:val="center"/>
          </w:tcPr>
          <w:p w14:paraId="1F4F44C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30—36分钟</w:t>
            </w:r>
          </w:p>
        </w:tc>
        <w:tc>
          <w:tcPr>
            <w:tcW w:w="2154" w:type="dxa"/>
            <w:vAlign w:val="center"/>
          </w:tcPr>
          <w:p w14:paraId="4E82402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谣言侦探互动</w:t>
            </w:r>
          </w:p>
        </w:tc>
        <w:tc>
          <w:tcPr>
            <w:tcW w:w="5556" w:type="dxa"/>
            <w:vAlign w:val="center"/>
          </w:tcPr>
          <w:p w14:paraId="29868C1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出示2—3条典型宣传语，请长辈现场找问题，答对小礼品</w:t>
            </w:r>
          </w:p>
        </w:tc>
      </w:tr>
      <w:tr w14:paraId="0CEE5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361" w:type="dxa"/>
            <w:vAlign w:val="center"/>
          </w:tcPr>
          <w:p w14:paraId="3B6282F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36—40分钟</w:t>
            </w:r>
          </w:p>
        </w:tc>
        <w:tc>
          <w:tcPr>
            <w:tcW w:w="2154" w:type="dxa"/>
            <w:vAlign w:val="center"/>
          </w:tcPr>
          <w:p w14:paraId="1F182F9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总结收尾</w:t>
            </w:r>
          </w:p>
        </w:tc>
        <w:tc>
          <w:tcPr>
            <w:tcW w:w="5556" w:type="dxa"/>
            <w:vAlign w:val="center"/>
          </w:tcPr>
          <w:p w14:paraId="46B80AF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重复“信息四问”金句；发科普手册和小礼品；请长辈填简单反馈表</w:t>
            </w:r>
          </w:p>
        </w:tc>
      </w:tr>
    </w:tbl>
    <w:p w14:paraId="0F1898BC">
      <w:pPr>
        <w:spacing w:after="0" w:line="240" w:lineRule="auto"/>
      </w:pPr>
    </w:p>
    <w:p w14:paraId="5A83B0C3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五、物料与人员准备</w:t>
      </w:r>
    </w:p>
    <w:p w14:paraId="7B60BBDB">
      <w:pPr>
        <w:spacing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团队准备：</w:t>
      </w:r>
      <w:r>
        <w:rPr>
          <w:rFonts w:ascii="Arial Unicode MS" w:hAnsi="Arial Unicode MS" w:eastAsia="Arial Unicode MS"/>
          <w:b w:val="0"/>
          <w:color w:val="000000"/>
          <w:sz w:val="24"/>
        </w:rPr>
        <w:t>讲课PPT、便携投影或音响（中心无投影则自带）、科普手册、小礼品、伴手礼（水果、鸡蛋，如中心允许）、签到表、反馈表、笔、拍照设备。</w:t>
      </w:r>
    </w:p>
    <w:p w14:paraId="38DA366B">
      <w:pPr>
        <w:spacing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人员分工建议：</w:t>
      </w:r>
    </w:p>
    <w:tbl>
      <w:tblPr>
        <w:tblStyle w:val="32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3FF39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984" w:type="dxa"/>
            <w:shd w:val="clear" w:color="auto" w:fill="D9D9D9"/>
            <w:vAlign w:val="center"/>
          </w:tcPr>
          <w:p w14:paraId="7BFDBF0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角色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435222C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职责</w:t>
            </w:r>
          </w:p>
        </w:tc>
      </w:tr>
      <w:tr w14:paraId="69954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984" w:type="dxa"/>
            <w:vAlign w:val="center"/>
          </w:tcPr>
          <w:p w14:paraId="364456E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主讲人</w:t>
            </w:r>
          </w:p>
        </w:tc>
        <w:tc>
          <w:tcPr>
            <w:tcW w:w="7087" w:type="dxa"/>
            <w:vAlign w:val="center"/>
          </w:tcPr>
          <w:p w14:paraId="777074E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按四个场景讲课，控制节奏，回应提问</w:t>
            </w:r>
          </w:p>
        </w:tc>
      </w:tr>
      <w:tr w14:paraId="06574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984" w:type="dxa"/>
            <w:vAlign w:val="center"/>
          </w:tcPr>
          <w:p w14:paraId="73B928C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主持/互动</w:t>
            </w:r>
          </w:p>
        </w:tc>
        <w:tc>
          <w:tcPr>
            <w:tcW w:w="7087" w:type="dxa"/>
            <w:vAlign w:val="center"/>
          </w:tcPr>
          <w:p w14:paraId="2FF1EE3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开场收集例子、组织“谣言侦探”互动、发放礼品</w:t>
            </w:r>
          </w:p>
        </w:tc>
      </w:tr>
      <w:tr w14:paraId="7589F0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984" w:type="dxa"/>
            <w:vAlign w:val="center"/>
          </w:tcPr>
          <w:p w14:paraId="07B4190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签到场务</w:t>
            </w:r>
          </w:p>
        </w:tc>
        <w:tc>
          <w:tcPr>
            <w:tcW w:w="7087" w:type="dxa"/>
            <w:vAlign w:val="center"/>
          </w:tcPr>
          <w:p w14:paraId="3B48C55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签到、引导入座、维持现场、协助反馈表</w:t>
            </w:r>
          </w:p>
        </w:tc>
      </w:tr>
      <w:tr w14:paraId="7FC81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984" w:type="dxa"/>
            <w:vAlign w:val="center"/>
          </w:tcPr>
          <w:p w14:paraId="49582FB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摄影记录</w:t>
            </w:r>
          </w:p>
        </w:tc>
        <w:tc>
          <w:tcPr>
            <w:tcW w:w="7087" w:type="dxa"/>
            <w:vAlign w:val="center"/>
          </w:tcPr>
          <w:p w14:paraId="55279C0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拍现场照片、记录活动情况（需征得同意/中心确认）</w:t>
            </w:r>
          </w:p>
        </w:tc>
      </w:tr>
      <w:tr w14:paraId="43194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984" w:type="dxa"/>
            <w:vAlign w:val="center"/>
          </w:tcPr>
          <w:p w14:paraId="67A614A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物料统筹</w:t>
            </w:r>
          </w:p>
        </w:tc>
        <w:tc>
          <w:tcPr>
            <w:tcW w:w="7087" w:type="dxa"/>
            <w:vAlign w:val="center"/>
          </w:tcPr>
          <w:p w14:paraId="2364D8C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手册、礼品、伴手礼、投影音响等清点与布置</w:t>
            </w:r>
          </w:p>
        </w:tc>
      </w:tr>
    </w:tbl>
    <w:p w14:paraId="67FA9826">
      <w:pPr>
        <w:spacing w:after="0" w:line="240" w:lineRule="auto"/>
      </w:pPr>
    </w:p>
    <w:p w14:paraId="0C71F989">
      <w:pPr>
        <w:spacing w:before="0" w:after="0" w:line="360" w:lineRule="auto"/>
        <w:ind w:firstLine="480" w:firstLineChars="200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中心配合三件事：一是帮忙招募15—20位长辈；二是提供场地（座椅、通风，最好有投影，没有也没关系）；三是活动当天安排一位工作人员现场照应。</w:t>
      </w:r>
    </w:p>
    <w:p w14:paraId="3010BF85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六、招募与宣传口径</w:t>
      </w:r>
    </w:p>
    <w:p w14:paraId="0BDB269A">
      <w:pPr>
        <w:spacing w:before="0" w:after="0" w:line="360" w:lineRule="auto"/>
        <w:ind w:firstLine="480" w:firstLineChars="200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建议招募话术：</w:t>
      </w:r>
    </w:p>
    <w:p w14:paraId="530ABFE9">
      <w:pPr>
        <w:spacing w:after="80" w:line="360" w:lineRule="auto"/>
        <w:ind w:left="482" w:right="482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我们是SUSTech-BIO（南方科技大学iGEM团队ORCA项目），来做一场免费公益科普小课堂。主题是“看到预防老年痴呆的信息，我该如何判断”。约40分钟，教大家用四个问题辨别真假信息，有科普手册和小礼品。全程免费，不卖产品，不看病不开药。欢迎15—20位长辈参加。</w:t>
      </w:r>
    </w:p>
    <w:p w14:paraId="3E32F087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七、时间推进与现场执行</w:t>
      </w:r>
    </w:p>
    <w:p w14:paraId="39425386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活动前7天：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确认场地、人数、投影音响、伴手礼是否允许带。</w:t>
      </w:r>
    </w:p>
    <w:p w14:paraId="3728D2BF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活动前3天：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确认招募人数；准备PPT、手册、礼品、反馈表；与中心确认长辈过敏忌口情况。</w:t>
      </w:r>
    </w:p>
    <w:p w14:paraId="191C9C0E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活动前1天：</w:t>
      </w:r>
      <w:r>
        <w:rPr>
          <w:rFonts w:ascii="Arial Unicode MS" w:hAnsi="Arial Unicode MS" w:eastAsia="Arial Unicode MS"/>
          <w:b w:val="0"/>
          <w:color w:val="000000"/>
          <w:sz w:val="24"/>
        </w:rPr>
        <w:t>提醒时间地点；检查设备物料。</w:t>
      </w:r>
    </w:p>
    <w:p w14:paraId="5D3554EF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当天提前30—40分钟：</w:t>
      </w:r>
      <w:r>
        <w:rPr>
          <w:rFonts w:ascii="Arial Unicode MS" w:hAnsi="Arial Unicode MS" w:eastAsia="Arial Unicode MS"/>
          <w:b w:val="0"/>
          <w:color w:val="000000"/>
          <w:sz w:val="24"/>
        </w:rPr>
        <w:t>布置场地、调试投影音响、签到准备。</w:t>
      </w:r>
    </w:p>
    <w:p w14:paraId="2F262B41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活动结束后：</w:t>
      </w:r>
      <w:r>
        <w:rPr>
          <w:rFonts w:ascii="Arial Unicode MS" w:hAnsi="Arial Unicode MS" w:eastAsia="Arial Unicode MS"/>
          <w:b w:val="0"/>
          <w:color w:val="000000"/>
          <w:sz w:val="24"/>
        </w:rPr>
        <w:t>发放反馈表；整理照片和简单情况反馈给中心留档。</w:t>
      </w:r>
    </w:p>
    <w:p w14:paraId="6C695234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八、风险与合规说明</w:t>
      </w:r>
    </w:p>
    <w:p w14:paraId="0649C2BF">
      <w:pPr>
        <w:numPr>
          <w:ilvl w:val="0"/>
          <w:numId w:val="8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本活动为纯科普，不提供任何医疗诊断和用药建议，身体问题请以医生意见为准。</w:t>
      </w:r>
    </w:p>
    <w:p w14:paraId="0B2DA6CB">
      <w:pPr>
        <w:numPr>
          <w:ilvl w:val="0"/>
          <w:numId w:val="8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不推荐具体药品、保健品品牌，不进行任何产品推广和销售。</w:t>
      </w:r>
    </w:p>
    <w:p w14:paraId="6620EB14">
      <w:pPr>
        <w:numPr>
          <w:ilvl w:val="0"/>
          <w:numId w:val="8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全程免费，不向长辈收取任何费用。</w:t>
      </w:r>
    </w:p>
    <w:p w14:paraId="43218C62">
      <w:pPr>
        <w:numPr>
          <w:ilvl w:val="0"/>
          <w:numId w:val="8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伴手礼如有过敏或忌口，提前和中心确认并留意。</w:t>
      </w:r>
    </w:p>
    <w:p w14:paraId="3D98E27B">
      <w:pPr>
        <w:numPr>
          <w:ilvl w:val="0"/>
          <w:numId w:val="8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拍照记录需征得长辈和中心同意；不收集不必要的个人信息。</w:t>
      </w:r>
    </w:p>
    <w:p w14:paraId="4914F9CD">
      <w:pPr>
        <w:numPr>
          <w:ilvl w:val="0"/>
          <w:numId w:val="8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现场如遇长辈咨询个体病情，统一引导：“这个需要问医生或社康，我们今天只讲怎么辨别信息。”</w:t>
      </w:r>
    </w:p>
    <w:p w14:paraId="44314A49">
      <w:pPr>
        <w:numPr>
          <w:ilvl w:val="0"/>
          <w:numId w:val="8"/>
        </w:numPr>
        <w:spacing w:after="4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互动以提醒为主，不制造恐慌，语言通俗、尊重长辈。</w:t>
      </w:r>
    </w:p>
    <w:p w14:paraId="6A3980BA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九、评估与留档</w:t>
      </w:r>
    </w:p>
    <w:p w14:paraId="73398609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过程指标：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签到人数15—20人；互动参与人数；手册和小礼品发放数量。</w:t>
      </w:r>
    </w:p>
    <w:p w14:paraId="3E238E07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反馈内容：</w:t>
      </w:r>
      <w:r>
        <w:rPr>
          <w:rFonts w:ascii="Arial Unicode MS" w:hAnsi="Arial Unicode MS" w:eastAsia="Arial Unicode MS"/>
          <w:b w:val="0"/>
          <w:color w:val="000000"/>
          <w:sz w:val="24"/>
        </w:rPr>
        <w:t>是否听得懂、是否记住“四问”、对活动是否满意、后续想听什么主题。</w:t>
      </w:r>
    </w:p>
    <w:p w14:paraId="4014B7CD">
      <w:pPr>
        <w:pStyle w:val="16"/>
        <w:spacing w:after="40" w:line="360" w:lineRule="auto"/>
      </w:pPr>
      <w:r>
        <w:rPr>
          <w:rFonts w:ascii="Arial Unicode MS" w:hAnsi="Arial Unicode MS" w:eastAsia="Arial Unicode MS"/>
          <w:b/>
          <w:color w:val="000000"/>
          <w:sz w:val="24"/>
        </w:rPr>
        <w:t>留档材料：</w:t>
      </w:r>
      <w:r>
        <w:rPr>
          <w:rFonts w:ascii="Arial Unicode MS" w:hAnsi="Arial Unicode MS" w:eastAsia="Arial Unicode MS"/>
          <w:b w:val="0"/>
          <w:color w:val="000000"/>
          <w:sz w:val="24"/>
        </w:rPr>
        <w:t>签到表、反馈表、现场照片、活动简况，活动后整理给中心。</w:t>
      </w:r>
    </w:p>
    <w:p w14:paraId="0589553A">
      <w:pPr>
        <w:pStyle w:val="3"/>
        <w:keepNext/>
      </w:pPr>
      <w:r>
        <w:rPr>
          <w:rFonts w:ascii="Arial Unicode MS" w:hAnsi="Arial Unicode MS" w:eastAsia="Arial Unicode MS"/>
          <w:b/>
          <w:color w:val="000000"/>
          <w:sz w:val="32"/>
        </w:rPr>
        <w:t>十、预算说明</w:t>
      </w:r>
    </w:p>
    <w:p w14:paraId="487ED371">
      <w:pPr>
        <w:spacing w:before="0" w:after="0" w:line="360" w:lineRule="auto"/>
        <w:ind w:firstLine="480" w:firstLineChars="200"/>
        <w:jc w:val="both"/>
      </w:pPr>
      <w:r>
        <w:rPr>
          <w:rFonts w:ascii="Arial Unicode MS" w:hAnsi="Arial Unicode MS" w:eastAsia="Arial Unicode MS"/>
          <w:b w:val="0"/>
          <w:color w:val="000000"/>
          <w:sz w:val="24"/>
        </w:rPr>
        <w:t>科普手册、小礼品、伴手礼、打印物料、便携投影/音响等由SUSTech-BIO团队承担；不向参与长辈收取任何费用，不涉及医疗产品推广。具</w:t>
      </w:r>
      <w:bookmarkStart w:id="0" w:name="_GoBack"/>
      <w:bookmarkEnd w:id="0"/>
      <w:r>
        <w:rPr>
          <w:rFonts w:ascii="Arial Unicode MS" w:hAnsi="Arial Unicode MS" w:eastAsia="Arial Unicode MS"/>
          <w:b w:val="0"/>
          <w:color w:val="000000"/>
          <w:sz w:val="24"/>
        </w:rPr>
        <w:t>体金额由团队内部核定。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04207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 PAGE 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C46C18"/>
    <w:rsid w:val="6B13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Arial Unicode MS" w:hAnsi="Arial Unicode MS" w:eastAsia="Arial Unicode MS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Arial Unicode MS" w:hAnsi="Arial Unicode MS" w:eastAsia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Arial Unicode MS" w:hAnsi="Arial Unicode MS" w:eastAsia="Arial Unicode MS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Arial Unicode MS" w:hAnsi="Arial Unicode MS" w:eastAsia="Arial Unicode MS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Arial Unicode MS" w:hAnsi="Arial Unicode MS" w:eastAsia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Arial Unicode MS" w:hAnsi="Arial Unicode MS" w:eastAsia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Arial Unicode MS" w:hAnsi="Arial Unicode MS" w:eastAsia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Theme="minorEastAsia" w:cstheme="minorBidi" w:eastAsia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Arial Unicode MS" w:hAnsi="Arial Unicode MS" w:eastAsia="Arial Unicode MS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Arial Unicode MS" w:hAnsi="Arial Unicode MS" w:eastAsia="Arial Unicode MS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Arial Unicode MS" w:hAnsi="Arial Unicode MS" w:eastAsia="Arial Unicode MS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Arial Unicode MS" w:hAnsi="Arial Unicode MS" w:eastAsia="Arial Unicode MS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 Unicode MS" w:hAnsi="Arial Unicode MS" w:eastAsia="Arial Unicode MS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 Unicode MS" w:hAnsi="Arial Unicode MS" w:eastAsia="Arial Unicode MS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Arial Unicode MS" w:hAnsi="Arial Unicode MS" w:eastAsia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Arial Unicode MS" w:hAnsi="Arial Unicode MS" w:eastAsia="Arial Unicode MS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31">
    <w:name w:val="Title"/>
    <w:basedOn w:val="1"/>
    <w:next w:val="1"/>
    <w:link w:val="141"/>
    <w:qFormat/>
    <w:uiPriority w:val="10"/>
    <w:pPr>
      <w:spacing w:before="0" w:after="360" w:line="240" w:lineRule="auto"/>
      <w:contextualSpacing/>
    </w:pPr>
    <w:rPr>
      <w:rFonts w:asciiTheme="majorHAnsi" w:hAnsiTheme="majorHAnsi" w:eastAsiaTheme="majorEastAsia" w:cstheme="majorBidi" w:ascii="Arial Unicode MS" w:hAnsi="Arial Unicode MS" w:eastAsia="Arial Unicode MS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Arial Unicode MS" w:hAnsi="Arial Unicode MS" w:eastAsia="Arial Unicode MS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 Unicode MS" w:hAnsi="Arial Unicode MS" w:eastAsia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Arial Unicode MS" w:hAnsi="Arial Unicode MS" w:eastAsia="Arial Unicode M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2047</Words>
  <Characters>2159</Characters>
  <Lines>0</Lines>
  <Paragraphs>0</Paragraphs>
  <TotalTime>1</TotalTime>
  <ScaleCrop>false</ScaleCrop>
  <LinksUpToDate>false</LinksUpToDate>
  <CharactersWithSpaces>2159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SUSTech-BIO</dc:creator>
  <dc:description>generated by python-docx</dc:description>
  <cp:lastModifiedBy>SUSTech-BIO</cp:lastModifiedBy>
  <dcterms:modified xsi:type="dcterms:W3CDTF">2026-10-20T09:25:16Z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eyJoZGlkIjoiNDUzOWFmNTBlMzUxNTU3NGM4Nzg0YWQ3M2Y1NWQ2ZDMiLCJ1c2VySWQiOiIxNjIxODgxMTE4In0=</vt:lpwstr>
  </property>
  <property fmtid="{D5CDD505-2E9C-101B-9397-08002B2CF9AE}" pid="3" name="KSOProductBuildVer">
    <vt:lpwstr>2052-12.1.0.22175</vt:lpwstr>
  </property>
  <property fmtid="{D5CDD505-2E9C-101B-9397-08002B2CF9AE}" pid="4" name="ICV">
    <vt:lpwstr>D06A3B61D2EB4E1292DD65CF2B93A313_13</vt:lpwstr>
  </property>
</Properties>
</file>