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 Anchor Video Scripts</w:t>
      </w:r>
    </w:p>
    <w:p>
      <w:pPr>
        <w:pStyle w:val="Subtitle"/>
      </w:pPr>
      <w:r>
        <w:t>Recording script with slide cues</w:t>
      </w:r>
    </w:p>
    <w:p>
      <w:pPr>
        <w:pStyle w:val="Recordingnote"/>
      </w:pPr>
      <w:r>
        <w:t>Reviewer update | 18 October 2026 UTC</w:t>
      </w:r>
    </w:p>
    <w:p>
      <w:pPr>
        <w:pStyle w:val="Recordingnote"/>
      </w:pPr>
      <w:r>
        <w:t>Presented by Thomas Prislac. Prepared with AI assistance from Echo. Read the narration in your natural voice; bracketed cues are instructions for the edit.</w:t>
      </w:r>
    </w:p>
    <w:p>
      <w:pPr>
        <w:pStyle w:val="Heading1"/>
      </w:pPr>
      <w:r>
        <w:t>Use this with the updated slides</w:t>
      </w:r>
    </w:p>
    <w:p>
      <w:pPr/>
      <w:r>
        <w:t>This script follows all 10 slides in Control_Anchor_Video_Slides_Reviewer_Update.pptx in their existing order. Export matching slide images from this updated deck; do not use the older status-slide PNG. Slide 01 uses slide-01.png, and so on.</w:t>
      </w:r>
    </w:p>
    <w:p>
      <w:pPr/>
      <w:r>
        <w:t>Start a slide at the first word of the paragraph following its SHOW cue. Leave it visible through KEEP cues. RETURN TO CAMERA ends the slide insert. The cues are tied to speech, so you can edit naturally without chasing estimated timestamps.</w:t>
      </w:r>
    </w:p>
    <w:p>
      <w:pPr/>
      <w:r>
        <w:t>Record clean camera and audio for the whole narration if convenient, then lay the slides over it. Do not read the cue labels or section headings aloud. Keep the full image in frame so its qualifications remain visible.</w:t>
      </w:r>
    </w:p>
    <w:p>
      <w:pPr>
        <w:pStyle w:val="Heading2"/>
      </w:pPr>
      <w:r>
        <w:t>Pacing and recording</w:t>
      </w:r>
    </w:p>
    <w:p>
      <w:pPr/>
      <w:r>
        <w:t>974 spoken words. Allow about 8 to 9 minutes at 125 to 140 words per minute, including pauses and transitions. These are planning estimates, not measured chapter times. Each numbered slide section can be a separate take.</w:t>
      </w:r>
    </w:p>
    <w:p>
      <w:pPr>
        <w:pStyle w:val="Recordingnote"/>
      </w:pPr>
      <w:r>
        <w:t>Slide 09 and its narration reflect the 18 October 2026 UTC offline component demonstration. Update them together if the evidence changes before recording. The private reviewer repository remains access-pending; this is not a public or live-model demonstration.</w:t>
      </w:r>
    </w:p>
    <w:p>
      <w:pPr>
        <w:pStyle w:val="Recordingnote"/>
      </w:pPr>
      <w:r>
        <w:t>These slide cues supersede the earlier scene references in the PowerPoint speaker notes and the original PNG guide. The updated deck replaces only the dated status slide and its associated evidence notes. Use the reference material after the spoken script when preparing descriptions and links.</w:t>
      </w:r>
    </w:p>
    <w:p>
      <w:pPr>
        <w:pStyle w:val="Recordingnote"/>
      </w:pPr>
      <w:r>
        <w:t>The future early-alpha walkthrough is retained after this introduction. It still requires a demonstrated edition and actual screen capture; these concept slides are not an operational tutorial.</w:t>
      </w:r>
    </w:p>
    <w:p>
      <w:r>
        <w:br w:type="page"/>
      </w:r>
    </w:p>
    <w:p>
      <w:pPr>
        <w:pStyle w:val="Heading2"/>
      </w:pPr>
      <w:r>
        <w:t>Slide 01 Control Anchor</w:t>
      </w:r>
    </w:p>
    <w:p>
      <w:pPr>
        <w:pStyle w:val="Editcue"/>
      </w:pPr>
      <w:r>
        <w:t>[CAMERA]</w:t>
      </w:r>
    </w:p>
    <w:p>
      <w:pPr>
        <w:pStyle w:val="Spokennarration"/>
      </w:pPr>
      <w:r>
        <w:t>I'm the project lead. My background includes auditing, internal controls, music and creative work. I'm interested in what people can create with AI, and how we understand what we're relying on.</w:t>
      </w:r>
    </w:p>
    <w:p>
      <w:pPr>
        <w:pStyle w:val="Editcue"/>
      </w:pPr>
      <w:r>
        <w:t>[SHOW SLIDE 01]</w:t>
      </w:r>
    </w:p>
    <w:p>
      <w:pPr>
        <w:pStyle w:val="Spokennarration"/>
      </w:pPr>
      <w:r>
        <w:t>I'm building Control Anchor, powered by Triadic Cognitive Systems. The aim is understandable rules, useful evidence and a clear way to correct mistakes. I want it to serve small businesses, community organizations and families, as well as larger institutions. You shouldn't need to become a software engineer to use it.</w:t>
      </w:r>
    </w:p>
    <w:p>
      <w:pPr>
        <w:pStyle w:val="Heading2"/>
      </w:pPr>
      <w:r>
        <w:t>Slide 02 A citation can preserve the wrong meaning</w:t>
      </w:r>
    </w:p>
    <w:p>
      <w:pPr>
        <w:pStyle w:val="Editcue"/>
      </w:pPr>
      <w:r>
        <w:t>[SHOW SLIDE 02]</w:t>
      </w:r>
    </w:p>
    <w:p>
      <w:pPr>
        <w:pStyle w:val="Spokennarration"/>
      </w:pPr>
      <w:r>
        <w:t>An AI can give you a convincing answer and cite a real document while getting the important part wrong. Here, the source says, 'Proposal received. Approval pending.' The summary says, 'Your proposal was approved.' The citation can lead to the right document, yet the consequential meaning has changed.</w:t>
      </w:r>
    </w:p>
    <w:p>
      <w:pPr>
        <w:pStyle w:val="Editcue"/>
      </w:pPr>
      <w:r>
        <w:t>[RETURN TO CAMERA]</w:t>
      </w:r>
    </w:p>
    <w:p>
      <w:pPr>
        <w:pStyle w:val="Spokennarration"/>
      </w:pPr>
      <w:r>
        <w:t>What I want is a tool that helps us notice that difference, examine it and do something useful about it. Keeping a record matters, but the person reading the answer also needs to understand what the record supports.</w:t>
      </w:r>
    </w:p>
    <w:p>
      <w:r>
        <w:br w:type="page"/>
      </w:r>
    </w:p>
    <w:p>
      <w:pPr>
        <w:pStyle w:val="Heading2"/>
      </w:pPr>
      <w:r>
        <w:t>Slide 03 A quotation review</w:t>
      </w:r>
    </w:p>
    <w:p>
      <w:pPr>
        <w:pStyle w:val="Editcue"/>
      </w:pPr>
      <w:r>
        <w:t>[SHOW SLIDE 03]</w:t>
      </w:r>
    </w:p>
    <w:p>
      <w:pPr>
        <w:pStyle w:val="Spokennarration"/>
      </w:pPr>
      <w:r>
        <w:t>Imagine you run a small business and ask an AI to draft a customer quotation. Your terms say a discount above ten percent needs the owner's approval. The draft includes fifteen percent. The arithmetic is straightforward. Whether the required approval exists is a separate question. If the supplied material contains no approval evidence, the system should say that requirement is unresolved. It should not claim that approval never happened, or assume that it must have happened somewhere else.</w:t>
      </w:r>
    </w:p>
    <w:p>
      <w:pPr>
        <w:pStyle w:val="Editcue"/>
      </w:pPr>
      <w:r>
        <w:t>[KEEP SLIDE 03]</w:t>
      </w:r>
    </w:p>
    <w:p>
      <w:pPr>
        <w:pStyle w:val="Spokennarration"/>
      </w:pPr>
      <w:r>
        <w:t>You can supply the missing information or request a correction. And reviewing the quotation remains separate from having permission to send it.</w:t>
      </w:r>
    </w:p>
    <w:p>
      <w:pPr>
        <w:pStyle w:val="Heading2"/>
      </w:pPr>
      <w:r>
        <w:t>Slide 04 Controls people can understand</w:t>
      </w:r>
    </w:p>
    <w:p>
      <w:pPr>
        <w:pStyle w:val="Editcue"/>
      </w:pPr>
      <w:r>
        <w:t>[SHOW SLIDE 04]</w:t>
      </w:r>
    </w:p>
    <w:p>
      <w:pPr>
        <w:pStyle w:val="Spokennarration"/>
      </w:pPr>
      <w:r>
        <w:t>People should be able to start with an intention they can express in ordinary language. An organization might bring its own requirements. A parent might say, 'Ask before sharing outside the household.' The system should show a readable preview of what it understood: the scope, the action and the limits. An AI can help interpret that intention, but its interpretation needs scrutiny. Mechanical checks and AI judgment must stay distinguishable. Unsupported meaning should remain visible, with a way to correct it. The selected rule becomes effective through the applicable authority; generated text cannot simply activate its own interpretation.</w:t>
      </w:r>
    </w:p>
    <w:p>
      <w:r>
        <w:br w:type="page"/>
      </w:r>
    </w:p>
    <w:p>
      <w:pPr>
        <w:pStyle w:val="Heading2"/>
      </w:pPr>
      <w:r>
        <w:t>Slide 05 One product with two interfaces</w:t>
      </w:r>
    </w:p>
    <w:p>
      <w:pPr>
        <w:pStyle w:val="Editcue"/>
      </w:pPr>
      <w:r>
        <w:t>[SHOW SLIDE 05]</w:t>
      </w:r>
    </w:p>
    <w:p>
      <w:pPr>
        <w:pStyle w:val="Spokennarration"/>
      </w:pPr>
      <w:r>
        <w:t>These are intended to be two ways into one product. Through the native application, Control Anchor can call an eligible model. Through a supported AI chat application, an authenticated integration can connect to the same local or organizational core. Both routes should use the same effective controls and attributable history. A chat login or a working network connection alone does not grant access to your local records or another organization's work.</w:t>
      </w:r>
    </w:p>
    <w:p>
      <w:pPr>
        <w:pStyle w:val="Editcue"/>
      </w:pPr>
      <w:r>
        <w:t>[RETURN TO CAMERA]</w:t>
      </w:r>
    </w:p>
    <w:p>
      <w:pPr>
        <w:pStyle w:val="Spokennarration"/>
      </w:pPr>
      <w:r>
        <w:t>The local application should remain useful on its own. Using a cloud model and joining a sharing network are separate choices.</w:t>
      </w:r>
    </w:p>
    <w:p>
      <w:pPr>
        <w:pStyle w:val="Heading2"/>
      </w:pPr>
      <w:r>
        <w:t>Slide 06 Responsibilities behind the answer</w:t>
      </w:r>
    </w:p>
    <w:p>
      <w:pPr>
        <w:pStyle w:val="Editcue"/>
      </w:pPr>
      <w:r>
        <w:t>[SHOW SLIDE 06]</w:t>
      </w:r>
    </w:p>
    <w:p>
      <w:pPr>
        <w:pStyle w:val="Spokennarration"/>
      </w:pPr>
      <w:r>
        <w:t>Behind that experience, the architecture divides the work into responsibilities. Sonya connects the request and model response. AEGIS checks technical admission and permission boundaries. CoherenceLattice relates claims, evidence and unresolved questions. Sophia and Challenge apply identified checks and retain disagreement, with mechanical results kept separate from AI criticism. Atlas helps explain the result and the next useful question.</w:t>
      </w:r>
    </w:p>
    <w:p>
      <w:pPr>
        <w:pStyle w:val="Editcue"/>
      </w:pPr>
      <w:r>
        <w:t>[KEEP SLIDE 06]</w:t>
      </w:r>
    </w:p>
    <w:p>
      <w:pPr>
        <w:pStyle w:val="Spokennarration"/>
      </w:pPr>
      <w:r>
        <w:t>These names don't require a separate model running all the time. One suitable model can perform eligible roles in sequence, while exact checks use ordinary software. The control definitions and evidence records give those roles something concrete to work with.</w:t>
      </w:r>
    </w:p>
    <w:p>
      <w:r>
        <w:br w:type="page"/>
      </w:r>
    </w:p>
    <w:p>
      <w:pPr>
        <w:pStyle w:val="Heading2"/>
      </w:pPr>
      <w:r>
        <w:t>Slide 07 A correction preserves the earlier work</w:t>
      </w:r>
    </w:p>
    <w:p>
      <w:pPr>
        <w:pStyle w:val="Editcue"/>
      </w:pPr>
      <w:r>
        <w:t>[SHOW SLIDE 07]</w:t>
      </w:r>
    </w:p>
    <w:p>
      <w:pPr>
        <w:pStyle w:val="Spokennarration"/>
      </w:pPr>
      <w:r>
        <w:t>Return to our quotation. If you ask for a correction, the original request and reply should remain attributable. The correction has changed inputs, and any fresh assessment must belong to that version. An assessment of the original is not automatically an assessment of the correction. Exporting and reopening should let you inspect that retained history. Completed work should not run again just because you reopened it. If an operation's outcome is uncertain, the system should preserve that uncertainty rather than resend it automatically.</w:t>
      </w:r>
    </w:p>
    <w:p>
      <w:pPr>
        <w:pStyle w:val="Editcue"/>
      </w:pPr>
      <w:r>
        <w:t>[RETURN TO CAMERA]</w:t>
      </w:r>
    </w:p>
    <w:p>
      <w:pPr>
        <w:pStyle w:val="Spokennarration"/>
      </w:pPr>
      <w:r>
        <w:t>The useful outcome is less reconstruction for you, with fewer hidden assumptions about what happened.</w:t>
      </w:r>
    </w:p>
    <w:p>
      <w:pPr>
        <w:pStyle w:val="Heading2"/>
      </w:pPr>
      <w:r>
        <w:t>Slide 08 A household learning workspace</w:t>
      </w:r>
    </w:p>
    <w:p>
      <w:pPr>
        <w:pStyle w:val="Editcue"/>
      </w:pPr>
      <w:r>
        <w:t>[SHOW SLIDE 08]</w:t>
      </w:r>
    </w:p>
    <w:p>
      <w:pPr>
        <w:pStyle w:val="Spokennarration"/>
      </w:pPr>
      <w:r>
        <w:t>For a family, imagine a learning workspace that offers hints suited to the activity, makes sharing choices understandable and lets people question a mistaken interpretation. A parent could shape supported controls without writing code. That is a design goal, and it needs careful evaluation. It would govern supported connections, not every app on a child's device. Privacy, learning and the ability to seek a correction matter alongside protection.</w:t>
      </w:r>
    </w:p>
    <w:p>
      <w:pPr>
        <w:pStyle w:val="Editcue"/>
      </w:pPr>
      <w:r>
        <w:t>[RETURN TO CAMERA]</w:t>
      </w:r>
    </w:p>
    <w:p>
      <w:pPr>
        <w:pStyle w:val="Spokennarration"/>
      </w:pPr>
      <w:r>
        <w:t>There is also a longer-term community idea: sharing permitted work so the next person doesn't always start from scratch. The receiving system would still check whether it fits the new task. I explore that proposal, and how we could test it, in the companion video on triadic cognition and peer-to-peer reuse.</w:t>
      </w:r>
    </w:p>
    <w:p>
      <w:r>
        <w:br w:type="page"/>
      </w:r>
    </w:p>
    <w:p>
      <w:pPr>
        <w:pStyle w:val="Heading2"/>
      </w:pPr>
      <w:r>
        <w:t>Slide 09 Development evidence</w:t>
      </w:r>
    </w:p>
    <w:p>
      <w:pPr>
        <w:pStyle w:val="Editcue"/>
      </w:pPr>
      <w:r>
        <w:t>[SHOW SLIDE 09]</w:t>
      </w:r>
    </w:p>
    <w:p>
      <w:pPr>
        <w:pStyle w:val="Spokennarration"/>
      </w:pPr>
      <w:r>
        <w:t>As of 18 October 2026, there is a private offline component demonstration. It uses captured output to show custody, repair, scripted review and export verification. Eight focused tests and four directory and ZIP checks passed. No model was called. Installed startup, live AI and ChatGPT operation, human usefulness and P2P operation are still to demonstrate. Reviewer repository access is pending.</w:t>
      </w:r>
    </w:p>
    <w:p>
      <w:pPr>
        <w:pStyle w:val="Editcue"/>
      </w:pPr>
      <w:r>
        <w:t>[RETURN TO CAMERA]</w:t>
      </w:r>
    </w:p>
    <w:p>
      <w:pPr>
        <w:pStyle w:val="Spokennarration"/>
      </w:pPr>
      <w:r>
        <w:t>The description identifies the dated evidence and its access limits. The white paper brings together the intended product, research, possible business models and the questions still open.</w:t>
      </w:r>
    </w:p>
    <w:p>
      <w:pPr>
        <w:pStyle w:val="Heading2"/>
      </w:pPr>
      <w:r>
        <w:t>Slide 10 One recurring task to make easier</w:t>
      </w:r>
    </w:p>
    <w:p>
      <w:pPr>
        <w:pStyle w:val="Editcue"/>
      </w:pPr>
      <w:r>
        <w:t>[CAMERA]</w:t>
      </w:r>
    </w:p>
    <w:p>
      <w:pPr>
        <w:pStyle w:val="Spokennarration"/>
      </w:pPr>
      <w:r>
        <w:t>I'm looking for engineers, researchers and people who know a recurring task well. A small-business owner could help test whether a report saves review effort. Families can help us understand needs through adult conversations before any child-facing pilot. My proposed model is a useful, openly inspectable core, with paid implementation and support where those services add value. We need to earn claims about usefulness and reduced waste through what people experience.</w:t>
      </w:r>
    </w:p>
    <w:p>
      <w:pPr>
        <w:pStyle w:val="Editcue"/>
      </w:pPr>
      <w:r>
        <w:t>[SHOW SLIDE 10]</w:t>
      </w:r>
    </w:p>
    <w:p>
      <w:pPr>
        <w:pStyle w:val="Spokennarration"/>
      </w:pPr>
      <w:r>
        <w:t>Start with the white paper or repository linked below. Tell me about one task you would like to make easier, what you use today and what would count as a better result.</w:t>
      </w:r>
    </w:p>
    <w:p>
      <w:pPr>
        <w:pStyle w:val="Editcue"/>
      </w:pPr>
      <w:r>
        <w:t>[RETURN TO CAMERA]</w:t>
      </w:r>
    </w:p>
    <w:p>
      <w:pPr>
        <w:pStyle w:val="Spokennarration"/>
      </w:pPr>
      <w:r>
        <w:t>I'm the project lead. Thanks for taking a look at the work.</w:t>
      </w:r>
    </w:p>
    <w:p>
      <w:pPr>
        <w:pStyle w:val="Editcue"/>
      </w:pPr>
      <w:r>
        <w:t>[HOLD SLIDE 10 FOR ABOUT 3 SECONDS AFTER THE LAST SPOKEN LINE]</w:t>
      </w:r>
    </w:p>
    <w:p>
      <w:r>
        <w:br w:type="page"/>
      </w:r>
    </w:p>
    <w:p>
      <w:pPr>
        <w:pStyle w:val="Heading1"/>
      </w:pPr>
      <w:r>
        <w:rPr>
          <w:b w:val="0"/>
        </w:rPr>
        <w:t>Video 2 Early alpha walkthrough</w:t>
      </w:r>
    </w:p>
    <w:p>
      <w:r>
        <w:rPr>
          <w:b/>
          <w:sz w:val="20"/>
        </w:rPr>
        <w:t xml:space="preserve">Conditional recording draft. </w:t>
      </w:r>
      <w:r>
        <w:rPr>
          <w:sz w:val="20"/>
        </w:rPr>
        <w:t>Replace screen directions with the actual finished-alpha controls. Do not invent button labels or commands to complete this script. The tutorial may use the demonstrated native route without waiting for a public ChatGPT listing.</w:t>
      </w:r>
    </w:p>
    <w:p>
      <w:pPr>
        <w:pStyle w:val="Heading2"/>
      </w:pPr>
      <w:r>
        <w:rPr>
          <w:b w:val="0"/>
        </w:rPr>
        <w:t>1 Identify the edition and the route</w:t>
      </w:r>
    </w:p>
    <w:p>
      <w:r>
        <w:rPr>
          <w:b/>
          <w:sz w:val="20"/>
        </w:rPr>
        <w:t xml:space="preserve">Show. </w:t>
      </w:r>
      <w:r>
        <w:rPr>
          <w:sz w:val="20"/>
        </w:rPr>
        <w:t>Open the repository README and the exact alpha release or candidate instructions Codex has supplied. Show version/date, supported environment, distribution identity and actual limitations. Select the demonstrated native route; add a separate host chapter only when its actual connection is demonstrated.</w:t>
      </w:r>
    </w:p>
    <w:p>
      <w:r>
        <w:rPr>
          <w:b w:val="0"/>
        </w:rPr>
        <w:t>I’m the project lead. This walkthrough covers the alpha version and environment shown on screen. I’ll show you where to find its instructions, complete one synthetic task, inspect the evidence, make a correction and reopen the record. The version matters: an older test result doesn’t automatically cover a newer package.</w:t>
      </w:r>
    </w:p>
    <w:p>
      <w:r>
        <w:rPr>
          <w:b/>
          <w:sz w:val="20"/>
        </w:rPr>
        <w:t xml:space="preserve">Recording check. </w:t>
      </w:r>
      <w:r>
        <w:rPr>
          <w:sz w:val="20"/>
        </w:rPr>
        <w:t>Before filming this as an operational tutorial, obtain the maintained package/instructions and the matching observed install/start evidence. If those are unavailable, record only a clearly titled repository orientation.</w:t>
      </w:r>
    </w:p>
    <w:p>
      <w:pPr>
        <w:pStyle w:val="Heading2"/>
      </w:pPr>
      <w:r>
        <w:rPr>
          <w:b w:val="0"/>
        </w:rPr>
        <w:t>2 Find what a newcomer needs</w:t>
      </w:r>
    </w:p>
    <w:p>
      <w:r>
        <w:rPr>
          <w:b/>
          <w:sz w:val="20"/>
        </w:rPr>
        <w:t xml:space="preserve">Show. </w:t>
      </w:r>
      <w:r>
        <w:rPr>
          <w:sz w:val="20"/>
        </w:rPr>
        <w:t>From README, open the current product/status links and the white paper. Briefly point contributors to CONTRIBUTING.md, AGENTS.md and docs/current/master-design.md. Show LICENSE_SCOPE.md for path-level rights. Do not walk through every directory.</w:t>
      </w:r>
    </w:p>
    <w:p>
      <w:r>
        <w:rPr>
          <w:b w:val="0"/>
        </w:rPr>
        <w:t>The README is the front door. The product and dated status pages explain what this edition supports and what is still unfinished. The white paper explains the larger design. If you want to contribute, the contribution guide and current engineering instructions are the next stop. For ordinary use, follow the supported customer instructions rather than copying commands from an old development discussion.</w:t>
      </w:r>
    </w:p>
    <w:p>
      <w:r>
        <w:rPr>
          <w:b/>
          <w:sz w:val="20"/>
        </w:rPr>
        <w:t xml:space="preserve">Recording check. </w:t>
      </w:r>
      <w:r>
        <w:rPr>
          <w:sz w:val="20"/>
        </w:rPr>
        <w:t>Refresh the displayed default branch and links on recording day. Older pending prose must be reconciled with newer dated evidence; do not turn a CI badge into a whole-product result.</w:t>
      </w:r>
    </w:p>
    <w:p>
      <w:pPr>
        <w:pStyle w:val="Heading2"/>
      </w:pPr>
      <w:r>
        <w:rPr>
          <w:b w:val="0"/>
        </w:rPr>
        <w:t>3 Start the supported application</w:t>
      </w:r>
    </w:p>
    <w:p>
      <w:r>
        <w:rPr>
          <w:b/>
          <w:sz w:val="20"/>
        </w:rPr>
        <w:t xml:space="preserve">Show. </w:t>
      </w:r>
      <w:r>
        <w:rPr>
          <w:sz w:val="20"/>
        </w:rPr>
        <w:t>Follow the actual published alpha installation/start route. Show required Windows consent only as it really occurs. Use the eligible configured provider. Identify a controlled provider plainly if that is the only demonstrated route. Blur secrets before capture, not by exposing them and repairing the recording later.</w:t>
      </w:r>
    </w:p>
    <w:p>
      <w:r>
        <w:rPr>
          <w:b w:val="0"/>
        </w:rPr>
        <w:t>I’m using the supported setup for this edition. Here is the application that actually starts, and here is the provider mode we’re using. If this is a controlled demonstration, its responses are prepared test material. If a real provider is used, we’ll identify it and show the data destination. Those are different demonstrations.</w:t>
      </w:r>
    </w:p>
    <w:p>
      <w:r>
        <w:rPr>
          <w:b/>
          <w:sz w:val="20"/>
        </w:rPr>
        <w:t xml:space="preserve">Recording check. </w:t>
      </w:r>
      <w:r>
        <w:rPr>
          <w:sz w:val="20"/>
        </w:rPr>
        <w:t>Resolve the provider sentence to one truthful recorded choice. No invented install commands, permission bypass, purchased service or model dispatch is authorized by this script.</w:t>
      </w:r>
    </w:p>
    <w:p>
      <w:r>
        <w:br w:type="page"/>
      </w:r>
    </w:p>
    <w:p>
      <w:pPr>
        <w:pStyle w:val="Heading1"/>
      </w:pPr>
      <w:r>
        <w:rPr>
          <w:b w:val="0"/>
        </w:rPr>
        <w:t>Video 2 Early alpha walkthrough continued</w:t>
      </w:r>
    </w:p>
    <w:p>
      <w:pPr>
        <w:pStyle w:val="Heading2"/>
      </w:pPr>
      <w:r>
        <w:rPr>
          <w:b w:val="0"/>
        </w:rPr>
        <w:t>4 Choose a task and a readable control</w:t>
      </w:r>
    </w:p>
    <w:p>
      <w:r>
        <w:rPr>
          <w:b/>
          <w:sz w:val="20"/>
        </w:rPr>
        <w:t xml:space="preserve">Show. </w:t>
      </w:r>
      <w:r>
        <w:rPr>
          <w:sz w:val="20"/>
        </w:rPr>
        <w:t>Use a small synthetic example already supported by the finished alpha. Prefer the quotation example only if its actual controls and task route exist; otherwise use Codex’s maintained example. Show source, rule, interpretation status and applicable activation/admission as implemented.</w:t>
      </w:r>
    </w:p>
    <w:p>
      <w:r>
        <w:rPr>
          <w:b w:val="0"/>
        </w:rPr>
        <w:t>This example uses synthetic information. First, here is the task and the source we’re providing. Here is the rule we want applied, what it means in this edition, and anything that still needs interpretation. A preview is not an activated rule. I’ll use the supported confirmation step before beginning the task.</w:t>
      </w:r>
    </w:p>
    <w:p>
      <w:r>
        <w:rPr>
          <w:b/>
          <w:sz w:val="20"/>
        </w:rPr>
        <w:t xml:space="preserve">Recording check. </w:t>
      </w:r>
      <w:r>
        <w:rPr>
          <w:sz w:val="20"/>
        </w:rPr>
        <w:t>Keep native checks, model-assisted interpretation and unperformed review visibly distinct. Use the actual approved configuration; do not create a new control merely to fit the narration.</w:t>
      </w:r>
    </w:p>
    <w:p>
      <w:pPr>
        <w:pStyle w:val="Heading2"/>
      </w:pPr>
      <w:r>
        <w:rPr>
          <w:b w:val="0"/>
        </w:rPr>
        <w:t>5 Inspect the original reply and the assessment</w:t>
      </w:r>
    </w:p>
    <w:p>
      <w:r>
        <w:rPr>
          <w:b/>
          <w:sz w:val="20"/>
        </w:rPr>
        <w:t xml:space="preserve">Show. </w:t>
      </w:r>
      <w:r>
        <w:rPr>
          <w:sz w:val="20"/>
        </w:rPr>
        <w:t>Complete the eligible request once. Show the retained original reply, source references, actual native result, separately completed Analyst/Challenge records where available, and missing or conflicting evidence. Include a legitimate satisfactory result as well as one supported exception or unresolved example if already available.</w:t>
      </w:r>
    </w:p>
    <w:p>
      <w:r>
        <w:rPr>
          <w:b w:val="0"/>
        </w:rPr>
        <w:t>Here is the reply we actually received. Now we can inspect the evidence and the checks that were completed. A source link tells us where to look; we still need to ask whether it supports the claim. Any disagreement or missing evidence remains visible. These advisory findings are separate from permission to act, and they do not turn into a professional audit opinion.</w:t>
      </w:r>
    </w:p>
    <w:p>
      <w:r>
        <w:rPr>
          <w:b/>
          <w:sz w:val="20"/>
        </w:rPr>
        <w:t xml:space="preserve">Recording check. </w:t>
      </w:r>
      <w:r>
        <w:rPr>
          <w:sz w:val="20"/>
        </w:rPr>
        <w:t>A scripted review must remain labeled SCRIPTED. Do not manufacture an extra concern when the selected task is supported. If an operation fails, retain the result and revise the demonstration honestly.</w:t>
      </w:r>
    </w:p>
    <w:p>
      <w:pPr>
        <w:pStyle w:val="Heading2"/>
      </w:pPr>
      <w:r>
        <w:rPr>
          <w:b w:val="0"/>
        </w:rPr>
        <w:t>6 Correct the work and review the new version</w:t>
      </w:r>
    </w:p>
    <w:p>
      <w:r>
        <w:rPr>
          <w:b/>
          <w:sz w:val="20"/>
        </w:rPr>
        <w:t xml:space="preserve">Show. </w:t>
      </w:r>
      <w:r>
        <w:rPr>
          <w:sz w:val="20"/>
        </w:rPr>
        <w:t>Use the supported correction/follow-up route. Show preserved original and corrected parent. Show fresh analysis linked to the correction only when it actually completes. Record the project lead’s own scoped review if supported; leave earlier simulated reviews attributed correctly.</w:t>
      </w:r>
    </w:p>
    <w:p>
      <w:r>
        <w:rPr>
          <w:b w:val="0"/>
        </w:rPr>
        <w:t>I’m asking for a correction within this task’s permitted scope. Notice that the original has not disappeared. The new version has its own record, and any new analysis must belong to that version. My review here is my decision about this example; it doesn’t change who performed an earlier scripted check.</w:t>
      </w:r>
    </w:p>
    <w:p>
      <w:r>
        <w:rPr>
          <w:b/>
          <w:sz w:val="20"/>
        </w:rPr>
        <w:t xml:space="preserve">Recording check. </w:t>
      </w:r>
      <w:r>
        <w:rPr>
          <w:sz w:val="20"/>
        </w:rPr>
        <w:t>Do not reuse an old analytical result as though it evaluated the correction. Preserve unresolved analysis and the actual consent/dispatch boundaries.</w:t>
      </w:r>
    </w:p>
    <w:p>
      <w:r>
        <w:br w:type="page"/>
      </w:r>
    </w:p>
    <w:p>
      <w:pPr>
        <w:pStyle w:val="Heading1"/>
      </w:pPr>
      <w:r>
        <w:rPr>
          <w:b w:val="0"/>
        </w:rPr>
        <w:t>Video 2 Early alpha walkthrough continued</w:t>
      </w:r>
    </w:p>
    <w:p>
      <w:pPr>
        <w:pStyle w:val="Heading2"/>
      </w:pPr>
      <w:r>
        <w:rPr>
          <w:b w:val="0"/>
        </w:rPr>
        <w:t>7 Export stop and reopen</w:t>
      </w:r>
    </w:p>
    <w:p>
      <w:r>
        <w:rPr>
          <w:b/>
          <w:sz w:val="20"/>
        </w:rPr>
        <w:t xml:space="preserve">Show. </w:t>
      </w:r>
      <w:r>
        <w:rPr>
          <w:sz w:val="20"/>
        </w:rPr>
        <w:t>Use the supported export and verification route. Stop/reopen through the actual maintained interface; show the saved history and evidence that reopening did not dispatch again. Show a rejected altered copy only if there is an existing safe, demonstrated example for this edition.</w:t>
      </w:r>
    </w:p>
    <w:p>
      <w:r>
        <w:rPr>
          <w:b w:val="0"/>
        </w:rPr>
        <w:t>I can now export the supported record and inspect its verification result. Verification covers the declared artifact checks; it does not prove every conclusion true. After stopping and reopening, I can return to the saved work. Reopening should let me inspect history without sending the task again. Any separate reconciliation warning still has its own meaning.</w:t>
      </w:r>
    </w:p>
    <w:p>
      <w:r>
        <w:rPr>
          <w:b/>
          <w:sz w:val="20"/>
        </w:rPr>
        <w:t xml:space="preserve">Recording check. </w:t>
      </w:r>
      <w:r>
        <w:rPr>
          <w:sz w:val="20"/>
        </w:rPr>
        <w:t>Check no-resend through retained dispatch/capture evidence, not merely an unchanged screen. Keep archive verification separate from journal reconciliation. An uncertain operation must not be automatically repeated for a cleaner take.</w:t>
      </w:r>
    </w:p>
    <w:p>
      <w:pPr>
        <w:pStyle w:val="Heading2"/>
      </w:pPr>
      <w:r>
        <w:rPr>
          <w:b w:val="0"/>
        </w:rPr>
        <w:t>8 Invite a useful next contribution</w:t>
      </w:r>
    </w:p>
    <w:p>
      <w:r>
        <w:rPr>
          <w:b/>
          <w:sz w:val="20"/>
        </w:rPr>
        <w:t xml:space="preserve">Show. </w:t>
      </w:r>
      <w:r>
        <w:rPr>
          <w:sz w:val="20"/>
        </w:rPr>
        <w:t>Return to README and the current contribution route. Point to the specific demonstrated version and a transcript. Close on the project lead rather than a wall of commit hashes.</w:t>
      </w:r>
    </w:p>
    <w:p>
      <w:r>
        <w:rPr>
          <w:b w:val="0"/>
        </w:rPr>
        <w:t>That is the workflow demonstrated by this edition. The repository records its limits and the work still to do. If you’d like to help, start with one reproducible problem or one task you know well. Include the version and a small synthetic example, and keep credentials and private records out of public reports. The introduction and white paper explain where we hope to take the product next.</w:t>
      </w:r>
    </w:p>
    <w:p>
      <w:r>
        <w:rPr>
          <w:b/>
          <w:sz w:val="20"/>
        </w:rPr>
        <w:t xml:space="preserve">Recording check. </w:t>
      </w:r>
      <w:r>
        <w:rPr>
          <w:sz w:val="20"/>
        </w:rPr>
        <w:t>The description should state the recorded version, provider mode, evidence links and any cuts. Do not imply family, peer-network or cloud-host qualification from a native synthetic example.</w:t>
      </w:r>
    </w:p>
    <w:p>
      <w:pPr>
        <w:pStyle w:val="Heading2"/>
      </w:pPr>
      <w:r>
        <w:rPr>
          <w:b w:val="0"/>
        </w:rPr>
        <w:t>What Codex should supply when its alpha work is finished</w:t>
      </w:r>
    </w:p>
    <w:p>
      <w:pPr>
        <w:pStyle w:val="ListBullet"/>
      </w:pPr>
      <w:r>
        <w:rPr>
          <w:b w:val="0"/>
        </w:rPr>
        <w:t>The exact candidate/package and maintained start instructions, supported environment, provider mode and observed install/start boundary.</w:t>
      </w:r>
    </w:p>
    <w:p>
      <w:pPr>
        <w:pStyle w:val="ListBullet"/>
      </w:pPr>
      <w:r>
        <w:rPr>
          <w:b w:val="0"/>
        </w:rPr>
        <w:t>One already supported synthetic task with a useful result, correction, review and export/reopen route, plus an existing adverse or unresolved example where relevant.</w:t>
      </w:r>
    </w:p>
    <w:p>
      <w:pPr>
        <w:pStyle w:val="ListBullet"/>
      </w:pPr>
      <w:r>
        <w:rPr>
          <w:b w:val="0"/>
        </w:rPr>
        <w:t>The evidence links, known limitations and actual connection prerequisites needed to describe the recording accurately.</w:t>
      </w:r>
    </w:p>
    <w:p>
      <w:r>
        <w:rPr>
          <w:b w:val="0"/>
        </w:rPr>
        <w:t>Use the existing release/handoff records for this. Recording is not a reason to add a new subsystem, repeat completed qualification or renew an execution allowance. If the demonstration is interrupted after dispatch, reconcile the original operation before deciding whether another take is eligible.</w:t>
      </w:r>
    </w:p>
    <w:p>
      <w:r>
        <w:br w:type="page"/>
      </w:r>
    </w:p>
    <w:p>
      <w:pPr>
        <w:pStyle w:val="Heading1"/>
      </w:pPr>
      <w:r>
        <w:rPr>
          <w:b w:val="0"/>
        </w:rPr>
        <w:t>Video descriptions and calls to action</w:t>
      </w:r>
    </w:p>
    <w:p>
      <w:pPr>
        <w:pStyle w:val="Heading2"/>
      </w:pPr>
      <w:r>
        <w:rPr>
          <w:b w:val="0"/>
        </w:rPr>
        <w:t>Introduction description</w:t>
      </w:r>
    </w:p>
    <w:p>
      <w:r>
        <w:rPr>
          <w:b w:val="0"/>
        </w:rPr>
        <w:t>I’m the project lead. Control Anchor is a project to make AI work easier to question, correct and use under understandable human controls. This introduction explains the intended native Windows and supported AI-host design, possible small-business and family uses, and the longer-term research into permitted reuse and cooperative resources. It is a design and development introduction, not a demonstration of a finished product.</w:t>
      </w:r>
    </w:p>
    <w:p>
      <w:r>
        <w:rPr>
          <w:b w:val="0"/>
        </w:rPr>
        <w:t>Read the unified white paper, check the dated development evidence, and tell us about one recurring task you would like to make easier. The 18 October offline demonstration is private; reviewer access is pending and no model was called. Engineering, research and design partnerships should begin with a clear scope and useful outcome.</w:t>
      </w:r>
    </w:p>
    <w:p>
      <w:hyperlink r:id="rId11">
        <w:r>
          <w:rPr>
            <w:color w:val="234F68"/>
          </w:rPr>
          <w:t>White paper discussion draft 0.4</w:t>
        </w:r>
      </w:hyperlink>
    </w:p>
    <w:p>
      <w:hyperlink r:id="rId12">
        <w:r>
          <w:rPr>
            <w:color w:val="234F68"/>
          </w:rPr>
          <w:t>Repository</w:t>
        </w:r>
      </w:hyperlink>
    </w:p>
    <w:p>
      <w:hyperlink r:id="rId19">
        <w:r>
          <w:rPr>
            <w:color w:val="2F6078"/>
          </w:rPr>
          <w:t>Private reviewer evidence of 18 October (access pending)</w:t>
        </w:r>
      </w:hyperlink>
    </w:p>
    <w:p>
      <w:hyperlink r:id="rId14">
        <w:r>
          <w:rPr>
            <w:color w:val="234F68"/>
          </w:rPr>
          <w:t>Contact the project lead about a task or collaboration</w:t>
        </w:r>
      </w:hyperlink>
    </w:p>
    <w:p>
      <w:r>
        <w:rPr>
          <w:b/>
          <w:sz w:val="20"/>
        </w:rPr>
        <w:t xml:space="preserve">Authorship disclosure. </w:t>
      </w:r>
      <w:r>
        <w:rPr>
          <w:sz w:val="20"/>
        </w:rPr>
        <w:t>Presented by Thomas Prislac. Script prepared with AI assistance from Echo, based on the project’s unified white paper. Confirm this wording matches the final production.</w:t>
      </w:r>
    </w:p>
    <w:p>
      <w:pPr>
        <w:pStyle w:val="Heading2"/>
      </w:pPr>
      <w:r>
        <w:rPr>
          <w:b w:val="0"/>
        </w:rPr>
        <w:t>Tutorial description template</w:t>
      </w:r>
    </w:p>
    <w:p>
      <w:r>
        <w:rPr>
          <w:b w:val="0"/>
        </w:rPr>
        <w:t>This video demonstrates [actual alpha version] on [actual environment], recorded [date], using [actual provider mode]. It covers the repository entry points and the supported task → evidence → correction/review → export/reopen route. The matching instructions and evidence are linked below. Known limits: [specific remaining limits]. Visual cuts or shortened waits: [describe them].</w:t>
      </w:r>
    </w:p>
    <w:p>
      <w:r>
        <w:rPr>
          <w:b/>
          <w:sz w:val="20"/>
        </w:rPr>
        <w:t xml:space="preserve">Template use. </w:t>
      </w:r>
      <w:r>
        <w:rPr>
          <w:sz w:val="20"/>
        </w:rPr>
        <w:t>Replace bracketed fields from the recorded run and maintained handoff before publication. Include the exact source/package reference in the description, while keeping normal use free of developer jargon. Include an actual ChatGPT connection chapter only if it was demonstrated.</w:t>
      </w:r>
    </w:p>
    <w:p>
      <w:pPr>
        <w:pStyle w:val="Heading2"/>
      </w:pPr>
      <w:r>
        <w:rPr>
          <w:b w:val="0"/>
        </w:rPr>
        <w:t>Chapter headings for the finished edit</w:t>
      </w:r>
    </w:p>
    <w:p>
      <w:r>
        <w:t>Introduction: Meet the project lead; source meaning; quotation example; readable controls; unified product; roles; correction; family use and peer research; dated evidence; invitation.</w:t>
        <w:br/>
        <w:t>Tutorial: Version and instructions • Repository navigation • Start • Select task and rule • Inspect • Correct and review • Export and reopen • Contribute.</w:t>
      </w:r>
    </w:p>
    <w:p>
      <w:r>
        <w:rPr>
          <w:b/>
          <w:sz w:val="20"/>
        </w:rPr>
        <w:t xml:space="preserve">Timestamps. </w:t>
      </w:r>
      <w:r>
        <w:rPr>
          <w:sz w:val="20"/>
        </w:rPr>
        <w:t>Create them from the finished video. These are chapter names, not measured running times.</w:t>
      </w:r>
    </w:p>
    <w:p>
      <w:r>
        <w:br w:type="page"/>
      </w:r>
    </w:p>
    <w:p>
      <w:pPr>
        <w:pStyle w:val="Heading1"/>
      </w:pPr>
      <w:r>
        <w:rPr>
          <w:b w:val="0"/>
        </w:rPr>
        <w:t>README placement and publication handoff</w:t>
      </w:r>
    </w:p>
    <w:p>
      <w:pPr>
        <w:pStyle w:val="Heading2"/>
      </w:pPr>
      <w:r>
        <w:rPr>
          <w:b w:val="0"/>
        </w:rPr>
        <w:t>Add one short section near the existing white-paper link</w:t>
      </w:r>
    </w:p>
    <w:p>
      <w:r>
        <w:rPr>
          <w:b w:val="0"/>
        </w:rPr>
        <w:t>Use “Meet the project lead and see the project” as the section title. Publish the introduction row once its real URL exists; add the walkthrough row when that video exists. Keep the white paper and written instructions beside the videos so watching is optional.</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shd w:fill="234F68"/>
            <w:tcMar>
              <w:top w:w="100" w:type="dxa"/>
              <w:bottom w:w="100" w:type="dxa"/>
              <w:left w:w="100" w:type="dxa"/>
              <w:right w:w="100" w:type="dxa"/>
            </w:tcMar>
          </w:tcPr>
          <w:p>
            <w:pPr>
              <w:spacing w:after="0"/>
            </w:pPr>
            <w:r>
              <w:rPr>
                <w:b/>
                <w:color w:val="FFFFFF"/>
                <w:sz w:val="20"/>
              </w:rPr>
              <w:t>Watch</w:t>
            </w:r>
          </w:p>
        </w:tc>
        <w:tc>
          <w:tcPr>
            <w:tcW w:type="dxa" w:w="6480"/>
            <w:vAlign w:val="center"/>
            <w:shd w:fill="234F68"/>
            <w:tcMar>
              <w:top w:w="100" w:type="dxa"/>
              <w:bottom w:w="100" w:type="dxa"/>
              <w:left w:w="100" w:type="dxa"/>
              <w:right w:w="100" w:type="dxa"/>
            </w:tcMar>
          </w:tcPr>
          <w:p>
            <w:pPr>
              <w:spacing w:after="0"/>
            </w:pPr>
            <w:r>
              <w:rPr>
                <w:b/>
                <w:color w:val="FFFFFF"/>
                <w:sz w:val="20"/>
              </w:rPr>
              <w:t>What the README should tell readers</w:t>
            </w:r>
          </w:p>
        </w:tc>
      </w:tr>
      <w:tr>
        <w:trPr>
          <w:cantSplit/>
        </w:trPr>
        <w:tc>
          <w:tcPr>
            <w:tcW w:type="dxa" w:w="3456"/>
            <w:vAlign w:val="center"/>
            <w:shd w:fill="FFFFFF"/>
            <w:tcMar>
              <w:top w:w="100" w:type="dxa"/>
              <w:bottom w:w="100" w:type="dxa"/>
              <w:left w:w="100" w:type="dxa"/>
              <w:right w:w="100" w:type="dxa"/>
            </w:tcMar>
          </w:tcPr>
          <w:p>
            <w:pPr>
              <w:spacing w:after="0"/>
            </w:pPr>
            <w:r>
              <w:rPr>
                <w:sz w:val="20"/>
              </w:rPr>
              <w:t>Meet the project lead and Control Anchor</w:t>
            </w:r>
          </w:p>
        </w:tc>
        <w:tc>
          <w:tcPr>
            <w:tcW w:type="dxa" w:w="6480"/>
            <w:vAlign w:val="center"/>
            <w:shd w:fill="FFFFFF"/>
            <w:tcMar>
              <w:top w:w="100" w:type="dxa"/>
              <w:bottom w:w="100" w:type="dxa"/>
              <w:left w:w="100" w:type="dxa"/>
              <w:right w:w="100" w:type="dxa"/>
            </w:tcMar>
          </w:tcPr>
          <w:p>
            <w:pPr>
              <w:spacing w:after="0"/>
            </w:pPr>
            <w:r>
              <w:rPr>
                <w:sz w:val="20"/>
              </w:rPr>
              <w:t>The founder, the problem, the intended design and the invitation to collaborate. Include duration and caption/transcript links.</w:t>
            </w:r>
          </w:p>
        </w:tc>
      </w:tr>
      <w:tr>
        <w:trPr>
          <w:cantSplit/>
        </w:trPr>
        <w:tc>
          <w:tcPr>
            <w:tcW w:type="dxa" w:w="3456"/>
            <w:vAlign w:val="center"/>
            <w:shd w:fill="F2F6F8"/>
            <w:tcMar>
              <w:top w:w="100" w:type="dxa"/>
              <w:bottom w:w="100" w:type="dxa"/>
              <w:left w:w="100" w:type="dxa"/>
              <w:right w:w="100" w:type="dxa"/>
            </w:tcMar>
          </w:tcPr>
          <w:p>
            <w:pPr>
              <w:spacing w:after="0"/>
            </w:pPr>
            <w:r>
              <w:rPr>
                <w:sz w:val="20"/>
              </w:rPr>
              <w:t>Early alpha walkthrough</w:t>
            </w:r>
          </w:p>
        </w:tc>
        <w:tc>
          <w:tcPr>
            <w:tcW w:type="dxa" w:w="6480"/>
            <w:vAlign w:val="center"/>
            <w:shd w:fill="F2F6F8"/>
            <w:tcMar>
              <w:top w:w="100" w:type="dxa"/>
              <w:bottom w:w="100" w:type="dxa"/>
              <w:left w:w="100" w:type="dxa"/>
              <w:right w:w="100" w:type="dxa"/>
            </w:tcMar>
          </w:tcPr>
          <w:p>
            <w:pPr>
              <w:spacing w:after="0"/>
            </w:pPr>
            <w:r>
              <w:rPr>
                <w:sz w:val="20"/>
              </w:rPr>
              <w:t>The exact demonstrated version and date, supported provider mode, task-to-export flow and limitations. Include duration and caption/transcript links.</w:t>
            </w:r>
          </w:p>
        </w:tc>
      </w:tr>
    </w:tbl>
    <w:p>
      <w:r>
        <w:rPr>
          <w:b w:val="0"/>
        </w:rPr>
      </w:r>
    </w:p>
    <w:p>
      <w:pPr>
        <w:pStyle w:val="Heading2"/>
      </w:pPr>
      <w:r>
        <w:rPr>
          <w:b w:val="0"/>
        </w:rPr>
        <w:t>Suggested README copy</w:t>
      </w:r>
    </w:p>
    <w:p>
      <w:r>
        <w:rPr>
          <w:b w:val="0"/>
        </w:rPr>
        <w:t>Meet the project lead and see the project</w:t>
        <w:br/>
        <w:br/>
        <w:t>Watch the project lead explain why he is building Control Anchor, who it could help and how to take part. The introduction describes the design and development goals. The separately versioned early-alpha walkthrough shows only the behavior demonstrated by that edition. Start with the written guide if you prefer to read.</w:t>
      </w:r>
    </w:p>
    <w:p>
      <w:r>
        <w:rPr>
          <w:b/>
          <w:sz w:val="20"/>
        </w:rPr>
        <w:t xml:space="preserve">Link implementation. </w:t>
      </w:r>
      <w:r>
        <w:rPr>
          <w:sz w:val="20"/>
        </w:rPr>
        <w:t>Turn each video title into a Markdown link to its real hosted URL. Use ordinary text links initially; thumbnails are optional. Add a local transcript link when the transcript is committed. Do not add dead links or a “Watch now” invitation before upload. Keep the root README and existing documentation index consistent.</w:t>
      </w:r>
    </w:p>
    <w:p>
      <w:pPr>
        <w:pStyle w:val="Heading2"/>
      </w:pPr>
      <w:r>
        <w:rPr>
          <w:b w:val="0"/>
        </w:rPr>
        <w:t>Smallest publication sequence</w:t>
      </w:r>
    </w:p>
    <w:p>
      <w:pPr>
        <w:pStyle w:val="ListNumber"/>
      </w:pPr>
      <w:r>
        <w:rPr>
          <w:b w:val="0"/>
        </w:rPr>
        <w:t>Record the introduction first. Review the personal wording and the dated status segment, then upload it to the existing channel with captions, description and source links.</w:t>
      </w:r>
    </w:p>
    <w:p>
      <w:pPr>
        <w:pStyle w:val="ListNumber"/>
      </w:pPr>
      <w:r>
        <w:rPr>
          <w:b w:val="0"/>
        </w:rPr>
        <w:t>Once Codex has demonstrated the relevant alpha route, use its maintained handoff to film the walkthrough. Retain visible limits and identify any controlled responses.</w:t>
      </w:r>
    </w:p>
    <w:p>
      <w:pPr>
        <w:pStyle w:val="ListNumber"/>
      </w:pPr>
      <w:r>
        <w:rPr>
          <w:b w:val="0"/>
        </w:rPr>
        <w:t>Open a documentation-only change with the actual video URLs, recorded version/date and transcripts. Read back the links and verify their intended audience can open them. The project lead retains merge authority.</w:t>
      </w:r>
    </w:p>
    <w:p>
      <w:r>
        <w:rPr>
          <w:b w:val="0"/>
        </w:rPr>
        <w:t>The script pack does not create a public listing, upload a video, promise a release date or change the repository. It prepares the material needed for those later publication steps.</w:t>
      </w:r>
    </w:p>
    <w:p>
      <w:r>
        <w:br w:type="page"/>
      </w:r>
    </w:p>
    <w:p>
      <w:pPr>
        <w:pStyle w:val="Heading1"/>
      </w:pPr>
      <w:r>
        <w:rPr>
          <w:b w:val="0"/>
        </w:rPr>
        <w:t>Sources and claims to keep distinct</w:t>
      </w:r>
    </w:p>
    <w:p>
      <w:r>
        <w:t>This reviewer update preserves the original script’s white-paper, mission, continuity and product-vision basis, while updating slide 09, the matching narration and the related evidence notes to the 18 October 2026 offline component demonstration. It does not constitute a new test run or model call.</w:t>
      </w:r>
    </w:p>
    <w:p>
      <w:pPr/>
      <w:r>
        <w:t>Reviewer evidence at 18 October 2026 UTC. The private pdxvoiceteacher/control-anchor-reviewer-demo repository at commit ed5bce3de817b91898f2d63f4b6a8b7952bf1952 demonstrates offline captured output, custody, repair, scripted review and export verification. Eight focused tests passed on Windows with Python 3.12.14, with four additional directory/ZIP checks. Reviewer access is pending.</w:t>
      </w:r>
    </w:p>
    <w:p>
      <w:pPr/>
      <w:r>
        <w:t>Evidence boundary. Review and advisory findings are scripted or injected; no model was called. Sophia and Atlas are logical records in this demonstration, with no cognitive component execution. STANDARD produces no semantic findings. This does not demonstrate a live AI or ChatGPT connection, human usefulness, P2P operation, or a finished public product.</w:t>
      </w:r>
    </w:p>
    <w:p>
      <w:pPr/>
      <w:r>
        <w:t>Original application boundary. At the 18 October 2026 evidence update, CI184 is install-qualified following an executed app-only install; usable installed startup remains UNKNOWN. Live AI and human acceptance are unproved. Earlier CI34 and MCP27 records remain historical evidence for their own inputs and do not qualify this private component demonstration.</w:t>
      </w:r>
    </w:p>
    <w:p>
      <w:pPr/>
      <w:r>
        <w:t xml:space="preserve">Reviewer source: </w:t>
      </w:r>
      <w:hyperlink r:id="rId19">
        <w:r>
          <w:rPr>
            <w:rStyle w:val="Hyperlink"/>
            <w:color w:val="2F6078"/>
          </w:rPr>
          <w:t>Private offline demo at the dated commit (access pending)</w:t>
        </w:r>
      </w:hyperlink>
    </w:p>
    <w:p>
      <w:pPr/>
      <w:r>
        <w:t xml:space="preserve">Original application source: </w:t>
      </w:r>
      <w:hyperlink r:id="rId20">
        <w:r>
          <w:rPr>
            <w:rStyle w:val="Hyperlink"/>
            <w:color w:val="2F6078"/>
          </w:rPr>
          <w:t>README at commit 37583fd91ff7f0d912256c10fea89ff6896763cf</w:t>
        </w:r>
      </w:hyperlink>
      <w:r>
        <w:t xml:space="preserve">; </w:t>
      </w:r>
      <w:hyperlink r:id="rId21">
        <w:r>
          <w:rPr>
            <w:rStyle w:val="Hyperlink"/>
            <w:color w:val="2F6078"/>
          </w:rPr>
          <w:t>CI184 run 39161062220</w:t>
        </w:r>
      </w:hyperlink>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shd w:fill="234F68"/>
            <w:tcMar>
              <w:top w:w="100" w:type="dxa"/>
              <w:bottom w:w="100" w:type="dxa"/>
              <w:left w:w="100" w:type="dxa"/>
              <w:right w:w="100" w:type="dxa"/>
            </w:tcMar>
          </w:tcPr>
          <w:p>
            <w:pPr>
              <w:spacing w:after="0"/>
            </w:pPr>
            <w:r>
              <w:rPr>
                <w:b/>
                <w:color w:val="FFFFFF"/>
                <w:sz w:val="20"/>
              </w:rPr>
              <w:t>Narrative claim</w:t>
            </w:r>
          </w:p>
        </w:tc>
        <w:tc>
          <w:tcPr>
            <w:tcW w:type="dxa" w:w="6912"/>
            <w:vAlign w:val="center"/>
            <w:shd w:fill="234F68"/>
            <w:tcMar>
              <w:top w:w="100" w:type="dxa"/>
              <w:bottom w:w="100" w:type="dxa"/>
              <w:left w:w="100" w:type="dxa"/>
              <w:right w:w="100" w:type="dxa"/>
            </w:tcMar>
          </w:tcPr>
          <w:p>
            <w:pPr>
              <w:spacing w:after="0"/>
            </w:pPr>
            <w:r>
              <w:rPr>
                <w:b/>
                <w:color w:val="FFFFFF"/>
                <w:sz w:val="20"/>
              </w:rPr>
              <w:t>Basis and boundary</w:t>
            </w:r>
          </w:p>
        </w:tc>
      </w:tr>
      <w:tr>
        <w:trPr>
          <w:cantSplit/>
        </w:trPr>
        <w:tc>
          <w:tcPr>
            <w:tcW w:type="dxa" w:w="3024"/>
            <w:vAlign w:val="center"/>
            <w:shd w:fill="FFFFFF"/>
            <w:tcMar>
              <w:top w:w="100" w:type="dxa"/>
              <w:bottom w:w="100" w:type="dxa"/>
              <w:left w:w="100" w:type="dxa"/>
              <w:right w:w="100" w:type="dxa"/>
            </w:tcMar>
          </w:tcPr>
          <w:p>
            <w:pPr>
              <w:spacing w:after="0"/>
            </w:pPr>
            <w:r>
              <w:rPr>
                <w:sz w:val="20"/>
              </w:rPr>
              <w:t>Human burden and readable controls</w:t>
            </w:r>
          </w:p>
        </w:tc>
        <w:tc>
          <w:tcPr>
            <w:tcW w:type="dxa" w:w="6912"/>
            <w:vAlign w:val="center"/>
            <w:shd w:fill="FFFFFF"/>
            <w:tcMar>
              <w:top w:w="100" w:type="dxa"/>
              <w:bottom w:w="100" w:type="dxa"/>
              <w:left w:w="100" w:type="dxa"/>
              <w:right w:w="100" w:type="dxa"/>
            </w:tcMar>
          </w:tcPr>
          <w:p>
            <w:pPr>
              <w:spacing w:after="0"/>
            </w:pPr>
            <w:r>
              <w:rPr>
                <w:sz w:val="20"/>
              </w:rPr>
              <w:t>White paper §§3–8 and mission document. Intended user experience; general semantic interpretation and child-facing usefulness remain unproved.</w:t>
            </w:r>
          </w:p>
        </w:tc>
      </w:tr>
      <w:tr>
        <w:trPr>
          <w:cantSplit/>
        </w:trPr>
        <w:tc>
          <w:tcPr>
            <w:tcW w:type="dxa" w:w="3024"/>
            <w:vAlign w:val="center"/>
            <w:shd w:fill="F2F6F8"/>
            <w:tcMar>
              <w:top w:w="100" w:type="dxa"/>
              <w:bottom w:w="100" w:type="dxa"/>
              <w:left w:w="100" w:type="dxa"/>
              <w:right w:w="100" w:type="dxa"/>
            </w:tcMar>
          </w:tcPr>
          <w:p>
            <w:pPr>
              <w:spacing w:after="0"/>
            </w:pPr>
            <w:r>
              <w:rPr>
                <w:sz w:val="20"/>
              </w:rPr>
              <w:t>One native and host product with distinct roles</w:t>
            </w:r>
          </w:p>
        </w:tc>
        <w:tc>
          <w:tcPr>
            <w:tcW w:type="dxa" w:w="6912"/>
            <w:vAlign w:val="center"/>
            <w:shd w:fill="F2F6F8"/>
            <w:tcMar>
              <w:top w:w="100" w:type="dxa"/>
              <w:bottom w:w="100" w:type="dxa"/>
              <w:left w:w="100" w:type="dxa"/>
              <w:right w:w="100" w:type="dxa"/>
            </w:tcMar>
          </w:tcPr>
          <w:p>
            <w:pPr>
              <w:spacing w:after="0"/>
            </w:pPr>
            <w:r>
              <w:rPr>
                <w:sz w:val="20"/>
              </w:rPr>
              <w:t>White paper §§3–4 and maintained design. The spoken overview names key roles; UCC, custody, TEL, PMR, TAC, MORALware and optional research remain in the written architecture. No role agreement certifies truth.</w:t>
            </w:r>
          </w:p>
        </w:tc>
      </w:tr>
      <w:tr>
        <w:trPr>
          <w:cantSplit/>
        </w:trPr>
        <w:tc>
          <w:tcPr>
            <w:tcW w:type="dxa" w:w="3024"/>
            <w:vAlign w:val="center"/>
            <w:shd w:fill="FFFFFF"/>
            <w:tcMar>
              <w:top w:w="100" w:type="dxa"/>
              <w:bottom w:w="100" w:type="dxa"/>
              <w:left w:w="100" w:type="dxa"/>
              <w:right w:w="100" w:type="dxa"/>
            </w:tcMar>
          </w:tcPr>
          <w:p>
            <w:pPr>
              <w:spacing w:after="0"/>
            </w:pPr>
            <w:r>
              <w:rPr>
                <w:sz w:val="20"/>
              </w:rPr>
              <w:t>Reusable work and peer resources</w:t>
            </w:r>
          </w:p>
        </w:tc>
        <w:tc>
          <w:tcPr>
            <w:tcW w:type="dxa" w:w="6912"/>
            <w:vAlign w:val="center"/>
            <w:shd w:fill="FFFFFF"/>
            <w:tcMar>
              <w:top w:w="100" w:type="dxa"/>
              <w:bottom w:w="100" w:type="dxa"/>
              <w:left w:w="100" w:type="dxa"/>
              <w:right w:w="100" w:type="dxa"/>
            </w:tcMar>
          </w:tcPr>
          <w:p>
            <w:pPr>
              <w:spacing w:after="0"/>
            </w:pPr>
            <w:r>
              <w:rPr>
                <w:sz w:val="20"/>
              </w:rPr>
              <w:t>White paper §§11–18. Proposed, scoped research. Neither hashes nor prior Sophia/Atlas work establish suitability for a new task or measured energy savings.</w:t>
            </w:r>
          </w:p>
        </w:tc>
      </w:tr>
      <w:tr>
        <w:trPr>
          <w:cantSplit/>
        </w:trPr>
        <w:tc>
          <w:tcPr>
            <w:tcW w:type="dxa" w:w="3024"/>
            <w:vAlign w:val="center"/>
            <w:shd w:fill="F2F6F8"/>
            <w:tcMar>
              <w:top w:w="100" w:type="dxa"/>
              <w:bottom w:w="100" w:type="dxa"/>
              <w:left w:w="100" w:type="dxa"/>
              <w:right w:w="100" w:type="dxa"/>
            </w:tcMar>
          </w:tcPr>
          <w:p>
            <w:pPr>
              <w:spacing w:after="0"/>
            </w:pPr>
            <w:r>
              <w:rPr>
                <w:sz w:val="20"/>
              </w:rPr>
              <w:t>Open core and paid services</w:t>
            </w:r>
          </w:p>
        </w:tc>
        <w:tc>
          <w:tcPr>
            <w:tcW w:type="dxa" w:w="6912"/>
            <w:vAlign w:val="center"/>
            <w:shd w:fill="F2F6F8"/>
            <w:tcMar>
              <w:top w:w="100" w:type="dxa"/>
              <w:bottom w:w="100" w:type="dxa"/>
              <w:left w:w="100" w:type="dxa"/>
              <w:right w:w="100" w:type="dxa"/>
            </w:tcMar>
          </w:tcPr>
          <w:p>
            <w:pPr>
              <w:spacing w:after="0"/>
            </w:pPr>
            <w:r>
              <w:rPr>
                <w:sz w:val="20"/>
              </w:rPr>
              <w:t>White paper §§21–23. Proposed offers; no price, entity change, license change or funding commitment is announced.</w:t>
            </w:r>
          </w:p>
        </w:tc>
      </w:tr>
      <w:tr>
        <w:trPr>
          <w:cantSplit/>
        </w:trPr>
        <w:tc>
          <w:tcPr>
            <w:tcW w:type="dxa" w:w="3024"/>
            <w:vAlign w:val="center"/>
            <w:shd w:fill="FFFFFF"/>
            <w:tcMar>
              <w:top w:w="100" w:type="dxa"/>
              <w:bottom w:w="100" w:type="dxa"/>
              <w:left w:w="100" w:type="dxa"/>
              <w:right w:w="100" w:type="dxa"/>
            </w:tcMar>
          </w:tcPr>
          <w:p>
            <w:pPr>
              <w:spacing w:after="0"/>
            </w:pPr>
            <w:r>
              <w:rPr>
                <w:sz w:val="20"/>
              </w:rPr>
              <w:t>Development status</w:t>
            </w:r>
          </w:p>
        </w:tc>
        <w:tc>
          <w:tcPr>
            <w:tcW w:type="dxa" w:w="6912"/>
            <w:vAlign w:val="center"/>
            <w:shd w:fill="FFFFFF"/>
            <w:tcMar>
              <w:top w:w="100" w:type="dxa"/>
              <w:bottom w:w="100" w:type="dxa"/>
              <w:left w:w="100" w:type="dxa"/>
              <w:right w:w="100" w:type="dxa"/>
            </w:tcMar>
          </w:tcPr>
          <w:p>
            <w:pPr>
              <w:spacing w:after="0"/>
            </w:pPr>
            <w:r>
              <w:t>18 October 2026: private offline component demonstration, with captured output, custody, repair, scripted review and export verification. Eight focused tests and four directory/ZIP checks passed. No model called; reviewer access pending. Original application CI184 is install-qualified, startup UNKNOWN. Live AI, human usefulness and P2P remain unproved.</w:t>
            </w:r>
          </w:p>
        </w:tc>
      </w:tr>
    </w:tbl>
    <w:p>
      <w:r>
        <w:rPr>
          <w:b w:val="0"/>
        </w:rPr>
      </w:r>
    </w:p>
    <w:p>
      <w:hyperlink r:id="rId11">
        <w:r>
          <w:rPr>
            <w:color w:val="234F68"/>
          </w:rPr>
          <w:t>Published white paper at the reviewed documentation commit</w:t>
        </w:r>
      </w:hyperlink>
    </w:p>
    <w:p>
      <w:hyperlink r:id="rId15">
        <w:r>
          <w:rPr>
            <w:color w:val="234F68"/>
          </w:rPr>
          <w:t>White paper publication PR24</w:t>
        </w:r>
      </w:hyperlink>
    </w:p>
    <w:p>
      <w:hyperlink r:id="rId16">
        <w:r>
          <w:rPr>
            <w:color w:val="234F68"/>
          </w:rPr>
          <w:t>Windows CI34 original evidence and limits</w:t>
        </w:r>
      </w:hyperlink>
    </w:p>
    <w:p>
      <w:hyperlink r:id="rId17">
        <w:r>
          <w:rPr>
            <w:color w:val="234F68"/>
          </w:rPr>
          <w:t>Combined-candidate contribution guidance at its inspected edition</w:t>
        </w:r>
      </w:hyperlink>
    </w:p>
    <w:p>
      <w:r>
        <w:rPr>
          <w:b/>
          <w:sz w:val="20"/>
        </w:rPr>
        <w:t xml:space="preserve">Reading note. </w:t>
      </w:r>
      <w:r>
        <w:rPr>
          <w:sz w:val="20"/>
        </w:rPr>
      </w:r>
      <w:r>
        <w:t>Use the current dated evidence and its stated limits. Historical CI34, MCP27 and combined-candidate sources remain tied to their own editions; their earlier pending or passing language is not the current installation or startup status.</w:t>
      </w:r>
    </w:p>
    <w:p>
      <w:r>
        <w:rPr>
          <w:b/>
          <w:sz w:val="20"/>
        </w:rPr>
        <w:t xml:space="preserve">Attached historical sources. </w:t>
      </w:r>
      <w:r>
        <w:rPr>
          <w:sz w:val="20"/>
        </w:rPr>
        <w:t>The mission 7_19_2026_900PM(1).txt was consulted for ordinary-use and burden requirements. The 432 expanded thesis conversation was consulted at Sonya/AEGIS/PMR/federation continuity passages. Their old operating authorizations are not renewed.</w:t>
      </w:r>
    </w:p>
    <w:sectPr w:rsidR="00FC693F" w:rsidRPr="0006063C" w:rsidSect="00034616">
      <w:headerReference w:type="default" r:id="rId9"/>
      <w:footerReference w:type="default" r:id="rId10"/>
      <w:footerReference w:type="first" r:id="rId18"/>
      <w:footerReference w:type="even" r:id="rId22"/>
      <w:pgSz w:w="12240" w:h="15840"/>
      <w:pgMar w:top="1008" w:right="1152" w:bottom="936"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Reviewer update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CONTROL ANCHOR  |  RECORDING 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okennarration">
    <w:name w:val="Spoken narration"/>
    <w:basedOn w:val="Normal"/>
    <w:pPr>
      <w:widowControl/>
      <w:spacing w:after="180" w:line="259" w:lineRule="auto"/>
    </w:pPr>
    <w:rPr>
      <w:rFonts w:ascii="Arial" w:hAnsi="Arial"/>
      <w:color w:val="000000"/>
      <w:sz w:val="25"/>
    </w:rPr>
  </w:style>
  <w:style w:type="paragraph" w:customStyle="1" w:styleId="Editcue">
    <w:name w:val="Edit cue"/>
    <w:basedOn w:val="Normal"/>
    <w:pPr>
      <w:keepNext/>
      <w:widowControl/>
      <w:spacing w:after="100" w:line="259" w:lineRule="auto" w:before="140"/>
    </w:pPr>
    <w:rPr>
      <w:rFonts w:ascii="Arial" w:hAnsi="Arial"/>
      <w:b/>
      <w:color w:val="000000"/>
      <w:sz w:val="20"/>
    </w:rPr>
  </w:style>
  <w:style w:type="paragraph" w:customStyle="1" w:styleId="Recordingnote">
    <w:name w:val="Recording note"/>
    <w:basedOn w:val="Normal"/>
    <w:pPr>
      <w:widowControl/>
      <w:spacing w:after="100" w:line="259" w:lineRule="auto"/>
    </w:pPr>
    <w:rPr>
      <w:rFonts w:ascii="Arial" w:hAnsi="Arial"/>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dxvoiceteacher/triadicbrain-open-alpha/blob/0945dc151508afa4d5e774a2a08b873b9a6a972b/docs/whitepaper/control-anchor-unified-white-paper-v0.4.md" TargetMode="External"/><Relationship Id="rId12" Type="http://schemas.openxmlformats.org/officeDocument/2006/relationships/hyperlink" Target="https://github.com/pdxvoiceteacher/triadicbrain-open-alpha" TargetMode="External"/><Relationship Id="rId13" Type="http://schemas.openxmlformats.org/officeDocument/2006/relationships/hyperlink" Target="https://github.com/pdxvoiceteacher/triadicbrain-open-alpha/pull/15" TargetMode="External"/><Relationship Id="rId14" Type="http://schemas.openxmlformats.org/officeDocument/2006/relationships/hyperlink" Target="mailto:info@ultraverbaluxmentis.org?subject=Control%20Anchor%20video%20and%20collaboration" TargetMode="External"/><Relationship Id="rId15" Type="http://schemas.openxmlformats.org/officeDocument/2006/relationships/hyperlink" Target="https://github.com/pdxvoiceteacher/triadicbrain-open-alpha/pull/24" TargetMode="External"/><Relationship Id="rId16" Type="http://schemas.openxmlformats.org/officeDocument/2006/relationships/hyperlink" Target="https://github.com/pdxvoiceteacher/triadicbrain-open-alpha/blob/6209de81358909cbd253dc51048dd3beae98003d/review/windows-source-ci/attempt34-38009425386/README.md" TargetMode="External"/><Relationship Id="rId17" Type="http://schemas.openxmlformats.org/officeDocument/2006/relationships/hyperlink" Target="https://github.com/pdxvoiceteacher/triadicbrain-open-alpha/blob/5b1cfa6baea1ab3ede2640de82d81f87618e4d50/CONTRIBUTING.md" TargetMode="External"/><Relationship Id="rId18" Type="http://schemas.openxmlformats.org/officeDocument/2006/relationships/footer" Target="footer2.xml"/><Relationship Id="rId19" Type="http://schemas.openxmlformats.org/officeDocument/2006/relationships/hyperlink" Target="https://github.com/pdxvoiceteacher/control-anchor-reviewer-demo/tree/ed5bce3de817b91898f2d63f4b6a8b7952bf1952" TargetMode="External"/><Relationship Id="rId20" Type="http://schemas.openxmlformats.org/officeDocument/2006/relationships/hyperlink" Target="https://github.com/pdxvoiceteacher/triadicbrain-open-alpha/blob/37583fd91ff7f0d912256c10fea89ff6896763cf/README.md" TargetMode="External"/><Relationship Id="rId21" Type="http://schemas.openxmlformats.org/officeDocument/2006/relationships/hyperlink" Target="https://github.com/pdxvoiceteacher/triadicbrain-open-alpha/actions/runs/39161062220"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Anchor Video Scripts</dc:title>
  <dc:subject>Recording script aligned to the existing video slide deck</dc:subject>
  <dc:creator>Echo for Thomas Prislac; AI-assisted recording draft</dc:creator>
  <cp:keywords/>
  <dc:description>generated by python-docx</dc:description>
  <cp:lastModifiedBy/>
  <cp:revision>2</cp:revision>
  <dcterms:created xsi:type="dcterms:W3CDTF">2026-10-10T01:00:30Z</dcterms:created>
  <dcterms:modified xsi:type="dcterms:W3CDTF">2026-10-10T01:38:20Z</dcterms:modified>
  <cp:category/>
  <cp:version>2.0</cp:version>
</cp:coreProperties>
</file>