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Triadic Cognitive Systems and Peer to Peer Collaboration</w:t>
      </w:r>
    </w:p>
    <w:p>
      <w:pPr>
        <w:pStyle w:val="Subtitle"/>
      </w:pPr>
      <w:r>
        <w:t>Recording script with slide cues</w:t>
      </w:r>
    </w:p>
    <w:p>
      <w:pPr>
        <w:pStyle w:val="Recordingnote"/>
      </w:pPr>
      <w:r>
        <w:t>Reviewer update | 18 October 2026 UTC</w:t>
      </w:r>
    </w:p>
    <w:p>
      <w:pPr>
        <w:pStyle w:val="Recordingnote"/>
      </w:pPr>
      <w:r>
        <w:t>Presented by Thomas Prislac. Prepared with AI assistance from Echo. Read the narration in your natural voice; bracketed cues are instructions for the edit.</w:t>
      </w:r>
    </w:p>
    <w:p>
      <w:pPr>
        <w:pStyle w:val="Heading1"/>
      </w:pPr>
      <w:r>
        <w:t>Use this with the updated slides</w:t>
      </w:r>
    </w:p>
    <w:p>
      <w:pPr/>
      <w:r>
        <w:t>This script follows all 14 slides in Triadic_Cognition_P2P_Video_Slides_Reviewer_Update.pptx in their existing order. Export matching slide images from this updated deck; do not use the older status-slide PNG. Slide 01 uses slide-01.png, and so on.</w:t>
      </w:r>
    </w:p>
    <w:p>
      <w:pPr/>
      <w:r>
        <w:t>Start a slide at the first word of the paragraph following its SHOW cue. Leave it visible through KEEP cues. RETURN TO CAMERA ends the slide insert. The cues are tied to speech, so you can edit naturally without chasing estimated timestamps.</w:t>
      </w:r>
    </w:p>
    <w:p>
      <w:pPr/>
      <w:r>
        <w:t>Record clean camera and audio for the whole narration if convenient, then lay the slides over it. Do not read the cue labels or section headings aloud. Keep the full image in frame so its qualifications remain visible.</w:t>
      </w:r>
    </w:p>
    <w:p>
      <w:pPr>
        <w:pStyle w:val="Heading2"/>
      </w:pPr>
      <w:r>
        <w:t>Pacing and recording</w:t>
      </w:r>
    </w:p>
    <w:p>
      <w:pPr/>
      <w:r>
        <w:t>1,504 spoken words. Allow about 12 to 14 minutes at 125 to 140 words per minute, including pauses and transitions. These are planning estimates, not measured chapter times. Each numbered slide section can be a separate take.</w:t>
      </w:r>
    </w:p>
    <w:p>
      <w:pPr>
        <w:pStyle w:val="Recordingnote"/>
      </w:pPr>
      <w:r>
        <w:t>Slide 13 and its narration reflect the 18 October 2026 UTC offline component demonstration. Update them together if the evidence changes before recording. The private reviewer repository remains access-pending; this is not a public or live-model demonstration.</w:t>
      </w:r>
    </w:p>
    <w:p>
      <w:pPr>
        <w:pStyle w:val="Recordingnote"/>
      </w:pPr>
      <w:r>
        <w:t>These slide cues supersede the earlier scene references in the PowerPoint speaker notes and the original PNG guide. The updated deck replaces only the dated status slide and its associated evidence notes. Use the reference material after the spoken script when preparing descriptions and links.</w:t>
      </w:r>
    </w:p>
    <w:p>
      <w:pPr>
        <w:pStyle w:val="Recordingnote"/>
      </w:pPr>
      <w:r>
        <w:t>Audience: faculty, graduate researchers, supervised capstone teams, research software engineers, security and HCI groups, and community partners. The invitation is to one bounded contribution, not responsibility for completing the entire product.</w:t>
      </w:r>
    </w:p>
    <w:p>
      <w:r>
        <w:br w:type="page"/>
      </w:r>
    </w:p>
    <w:p>
      <w:pPr>
        <w:pStyle w:val="Heading2"/>
      </w:pPr>
      <w:r>
        <w:t>Slide 01 Triadic Cognitive Systems</w:t>
      </w:r>
    </w:p>
    <w:p>
      <w:pPr>
        <w:pStyle w:val="Editcue"/>
      </w:pPr>
      <w:r>
        <w:t>[CAMERA]</w:t>
      </w:r>
    </w:p>
    <w:p>
      <w:pPr>
        <w:pStyle w:val="Spokennarration"/>
      </w:pPr>
      <w:r>
        <w:t>What if an AI could benefit from work someone else had already checked, while still recognizing when that work doesn't apply? I'm Thomas Prislac. This is an invitation to computer-science departments, research software engineers, supervised student teams and other collaborators to help build and test that idea.</w:t>
      </w:r>
    </w:p>
    <w:p>
      <w:pPr>
        <w:pStyle w:val="Editcue"/>
      </w:pPr>
      <w:r>
        <w:t>[SHOW SLIDE 01]</w:t>
      </w:r>
    </w:p>
    <w:p>
      <w:pPr>
        <w:pStyle w:val="Spokennarration"/>
      </w:pPr>
      <w:r>
        <w:t>Control Anchor is powered by Triadic Cognitive Systems. We intend one application with connected native and AI-host interfaces, sharing effective controls and attributable history. The plugin is an application connection; it doesn't live inside model weights. Local use should remain useful without joining a peer network. The research question is whether permitted reuse can reduce repeated effort while preserving evidence, uncertainty and local control.</w:t>
      </w:r>
    </w:p>
    <w:p>
      <w:pPr>
        <w:pStyle w:val="Heading2"/>
      </w:pPr>
      <w:r>
        <w:t>Slide 02 The triadic reasoning loop</w:t>
      </w:r>
    </w:p>
    <w:p>
      <w:pPr>
        <w:pStyle w:val="Editcue"/>
      </w:pPr>
      <w:r>
        <w:t>[SHOW SLIDE 02]</w:t>
      </w:r>
    </w:p>
    <w:p>
      <w:pPr>
        <w:pStyle w:val="Spokennarration"/>
      </w:pPr>
      <w:r>
        <w:t>The triadic loop grounds and proposes, checks and challenges, then integrates and explains. An Analyst proposes an interpretation. Sophia checks and separately attributable AI criticism examine support, contradictions and missing information. Atlas explains the resulting position and useful repair questions. A supported answer may end the loop. Another agent should not invent a concern merely to keep it going.</w:t>
      </w:r>
    </w:p>
    <w:p>
      <w:pPr>
        <w:pStyle w:val="Editcue"/>
      </w:pPr>
      <w:r>
        <w:t>[KEEP SLIDE 02]</w:t>
      </w:r>
    </w:p>
    <w:p>
      <w:pPr>
        <w:pStyle w:val="Spokennarration"/>
      </w:pPr>
      <w:r>
        <w:t>These are functional roles. One suitable model may perform eligible roles sequentially. Different models, presets or bounded teams are options to evaluate. More agents are not automatically better. And models can agree because they received the same wrong fact or rule. Role agreement does not establish truth.</w:t>
      </w:r>
    </w:p>
    <w:p>
      <w:r>
        <w:br w:type="page"/>
      </w:r>
    </w:p>
    <w:p>
      <w:pPr>
        <w:pStyle w:val="Heading2"/>
      </w:pPr>
      <w:r>
        <w:t>Slide 03 Ingress and evidence boundaries</w:t>
      </w:r>
    </w:p>
    <w:p>
      <w:pPr>
        <w:pStyle w:val="Editcue"/>
      </w:pPr>
      <w:r>
        <w:t>[SHOW SLIDE 03]</w:t>
      </w:r>
    </w:p>
    <w:p>
      <w:pPr>
        <w:pStyle w:val="Spokennarration"/>
      </w:pPr>
      <w:r>
        <w:t>The loop needs clear boundaries. Sonya binds the request, effective context and provider reply. AEGIS checks identity, permitted scope and technical capability. The Universal Control Codex represents selected rules, their sources and effective versions. CoherenceLattice relates evidence, claims, alternatives and dependencies. A graph score is not automatically a calibrated probability that something is true.</w:t>
      </w:r>
    </w:p>
    <w:p>
      <w:pPr>
        <w:pStyle w:val="Editcue"/>
      </w:pPr>
      <w:r>
        <w:t>[RETURN TO CAMERA]</w:t>
      </w:r>
    </w:p>
    <w:p>
      <w:pPr>
        <w:pStyle w:val="Spokennarration"/>
      </w:pPr>
      <w:r>
        <w:t>A chat login alone must not grant access to someone else's tasks. Generated content cannot authorize itself, activate a new rule or override an organization's controls. Technical admission, advisory assessment and permission to take a consequential action remain different questions.</w:t>
      </w:r>
    </w:p>
    <w:p>
      <w:pPr>
        <w:pStyle w:val="Heading2"/>
      </w:pPr>
      <w:r>
        <w:t>Slide 04 Continuity and memory</w:t>
      </w:r>
    </w:p>
    <w:p>
      <w:pPr>
        <w:pStyle w:val="Editcue"/>
      </w:pPr>
      <w:r>
        <w:t>[SHOW SLIDE 04]</w:t>
      </w:r>
    </w:p>
    <w:p>
      <w:pPr>
        <w:pStyle w:val="Spokennarration"/>
      </w:pPr>
      <w:r>
        <w:t>Custody preserves actual attempts and evidence. The Thought-Exchange Layer, or TEL, connects performed stages and corrections. It is not a transcript of hidden model thoughts. PMR is the proposed governed memory and reuse layer. Retention, sharing, training and publication require their own basis. Atlas helps explain how new evidence changes an earlier position without erasing the record.</w:t>
      </w:r>
    </w:p>
    <w:p>
      <w:pPr>
        <w:pStyle w:val="Editcue"/>
      </w:pPr>
      <w:r>
        <w:t>[KEEP SLIDE 04]</w:t>
      </w:r>
    </w:p>
    <w:p>
      <w:pPr>
        <w:pStyle w:val="Spokennarration"/>
      </w:pPr>
      <w:r>
        <w:t>Consider a synthetic invoice for twelve thousand dollars against an explicit ten-thousand-dollar ceiling. That establishes an exception. Missing approval evidence would instead leave that requirement unresolved. A later amendment can resolve the exception only if its signer, scope and effective date actually apply. The earlier assessment should remain inspectable.</w:t>
      </w:r>
    </w:p>
    <w:p>
      <w:r>
        <w:br w:type="page"/>
      </w:r>
    </w:p>
    <w:p>
      <w:pPr>
        <w:pStyle w:val="Heading2"/>
      </w:pPr>
      <w:r>
        <w:t>Slide 05 Protective limits and human authority</w:t>
      </w:r>
    </w:p>
    <w:p>
      <w:pPr>
        <w:pStyle w:val="Editcue"/>
      </w:pPr>
      <w:r>
        <w:t>[SHOW SLIDE 05]</w:t>
      </w:r>
    </w:p>
    <w:p>
      <w:pPr>
        <w:pStyle w:val="Spokennarration"/>
      </w:pPr>
      <w:r>
        <w:t>The Telemetry Aperture Controller, or TAC, concerns purposeful, bounded observation while preserving required evidence and missing-observation states. MORALware describes a separately governed protective floor, not a moral ranking of people. Human review records who adopted, disputed, deferred or corrected a result. A simulated reviewer must stay distinguishable from an actual person.</w:t>
      </w:r>
    </w:p>
    <w:p>
      <w:pPr>
        <w:pStyle w:val="Editcue"/>
      </w:pPr>
      <w:r>
        <w:t>[RETURN TO CAMERA]</w:t>
      </w:r>
    </w:p>
    <w:p>
      <w:pPr>
        <w:pStyle w:val="Spokennarration"/>
      </w:pPr>
      <w:r>
        <w:t>The aim is continuity that makes a mistake easier to question and correct. Keeping a faithful record can still mean preserving a wrong claim. People need an effective route to seek correction, not simply more material to read.</w:t>
      </w:r>
    </w:p>
    <w:p>
      <w:pPr>
        <w:pStyle w:val="Heading2"/>
      </w:pPr>
      <w:r>
        <w:t>Slide 06 Locally controlled peers</w:t>
      </w:r>
    </w:p>
    <w:p>
      <w:pPr>
        <w:pStyle w:val="Editcue"/>
      </w:pPr>
      <w:r>
        <w:t>[SHOW SLIDE 06]</w:t>
      </w:r>
    </w:p>
    <w:p>
      <w:pPr>
        <w:pStyle w:val="Spokennarration"/>
      </w:pPr>
      <w:r>
        <w:t>The proposed network extends this across locally controlled systems. A household could share selected resources. An organization could limit exchange to its members. A public community could contribute material cleared for that audience. These scopes can overlap without transferring access. Each exchange needs permission under the participating systems' rules; it need not require a new human click for every packet.</w:t>
      </w:r>
    </w:p>
    <w:p>
      <w:pPr>
        <w:pStyle w:val="Editcue"/>
      </w:pPr>
      <w:r>
        <w:t>[KEEP SLIDE 06]</w:t>
      </w:r>
    </w:p>
    <w:p>
      <w:pPr>
        <w:pStyle w:val="Spokennarration"/>
      </w:pPr>
      <w:r>
        <w:t>We don't need a central authority deciding every local task. Discovery, peer identity, revocation and connecting machines across the internet still need engineering. A directory or relay could help devices communicate without becoming the owner of their decisions. This diagram shows intended relationships, not a deployed network.</w:t>
      </w:r>
    </w:p>
    <w:p>
      <w:r>
        <w:br w:type="page"/>
      </w:r>
    </w:p>
    <w:p>
      <w:pPr>
        <w:pStyle w:val="Heading2"/>
      </w:pPr>
      <w:r>
        <w:t>Slide 07 What a reusable package carries</w:t>
      </w:r>
    </w:p>
    <w:p>
      <w:pPr>
        <w:pStyle w:val="Editcue"/>
      </w:pPr>
      <w:r>
        <w:t>[SHOW SLIDE 07]</w:t>
      </w:r>
    </w:p>
    <w:p>
      <w:pPr>
        <w:pStyle w:val="Spokennarration"/>
      </w:pPr>
      <w:r>
        <w:t>A reusable package should explain what the prior work addressed and which assumptions mattered. It should carry relevant evidence, source and control versions, checks, review origins and unresolved limits. It also needs a basis for sharing with the intended recipients. The receiving node checks permission and present applicability before reuse.</w:t>
      </w:r>
    </w:p>
    <w:p>
      <w:pPr>
        <w:pStyle w:val="Editcue"/>
      </w:pPr>
      <w:r>
        <w:t>[KEEP SLIDE 07]</w:t>
      </w:r>
    </w:p>
    <w:p>
      <w:pPr>
        <w:pStyle w:val="Spokennarration"/>
      </w:pPr>
      <w:r>
        <w:t>Prior Sophia auditing and Atlas-guided retrospective work can make the mapping easier to examine. They do not guarantee a correct result for a different person, rule or task. A package with a missing observation must preserve that gap. Sensitive history should not become public merely because part of the result is useful.</w:t>
      </w:r>
    </w:p>
    <w:p>
      <w:pPr>
        <w:pStyle w:val="Heading2"/>
      </w:pPr>
      <w:r>
        <w:t>Slide 08 Three different kinds of reuse</w:t>
      </w:r>
    </w:p>
    <w:p>
      <w:pPr>
        <w:pStyle w:val="Editcue"/>
      </w:pPr>
      <w:r>
        <w:t>[SHOW SLIDE 08]</w:t>
      </w:r>
    </w:p>
    <w:p>
      <w:pPr>
        <w:pStyle w:val="Spokennarration"/>
      </w:pPr>
      <w:r>
        <w:t>We should test three kinds of reuse separately. A prior result may be useful when relevant inputs, conditions and authority truly match. An adapted workflow uses new inputs and produces a new result with its own assessment. A cross-domain bridge suggests a relation worth investigating, which still needs validation in the destination domain.</w:t>
      </w:r>
    </w:p>
    <w:p>
      <w:pPr>
        <w:pStyle w:val="Editcue"/>
      </w:pPr>
      <w:r>
        <w:t>[RETURN TO CAMERA]</w:t>
      </w:r>
    </w:p>
    <w:p>
      <w:pPr>
        <w:pStyle w:val="Spokennarration"/>
      </w:pPr>
      <w:r>
        <w:t>A similar prompt can help find candidate work. It cannot establish that the tasks are equivalent. The recipient needs to know what transfers, what changes and what remains unknown. Ordinary shared files may already be sufficient for some of these jobs.</w:t>
      </w:r>
    </w:p>
    <w:p>
      <w:r>
        <w:br w:type="page"/>
      </w:r>
    </w:p>
    <w:p>
      <w:pPr>
        <w:pStyle w:val="Heading2"/>
      </w:pPr>
      <w:r>
        <w:t>Slide 09 Integrity and applicability</w:t>
      </w:r>
    </w:p>
    <w:p>
      <w:pPr>
        <w:pStyle w:val="Editcue"/>
      </w:pPr>
      <w:r>
        <w:t>[SHOW SLIDE 09]</w:t>
      </w:r>
    </w:p>
    <w:p>
      <w:pPr>
        <w:pStyle w:val="Spokennarration"/>
      </w:pPr>
      <w:r>
        <w:t>Here is a package we should decline to treat as a current answer. Its bytes match the expected package. Its origin and prior checks are retained. But the approval ceiling has changed, so its earlier favorable result no longer applies. We can preserve the package while reassessing the new task.</w:t>
      </w:r>
    </w:p>
    <w:p>
      <w:pPr>
        <w:pStyle w:val="Editcue"/>
      </w:pPr>
      <w:r>
        <w:t>[KEEP SLIDE 09]</w:t>
      </w:r>
    </w:p>
    <w:p>
      <w:pPr>
        <w:pStyle w:val="Spokennarration"/>
      </w:pPr>
      <w:r>
        <w:t>A SHA-256 hash helps check expected bytes. By itself it does not establish trustworthy origin, truth, redistribution rights or current applicability. Received material must be examined as data, not obeyed as authority. Even hashes and discovery metadata can reveal private activity, so permission boundaries matter before the full package is opened.</w:t>
      </w:r>
    </w:p>
    <w:p>
      <w:pPr>
        <w:pStyle w:val="Heading2"/>
      </w:pPr>
      <w:r>
        <w:t>Slide 10 Artifact reuse and shared compute</w:t>
      </w:r>
    </w:p>
    <w:p>
      <w:pPr>
        <w:pStyle w:val="Editcue"/>
      </w:pPr>
      <w:r>
        <w:t>[SHOW SLIDE 10]</w:t>
      </w:r>
    </w:p>
    <w:p>
      <w:pPr>
        <w:pStyle w:val="Spokennarration"/>
      </w:pPr>
      <w:r>
        <w:t>Sharing an artifact and asking another machine to execute a job are separate capabilities. Execution needs its own provider selection, permissions, resource limits, cancellation and failure handling. Sending plaintext to another machine does not hide it from the operator processing it. Losing a connection must not automatically resend an operation whose outcome is uncertain.</w:t>
      </w:r>
    </w:p>
    <w:p>
      <w:pPr>
        <w:pStyle w:val="Editcue"/>
      </w:pPr>
      <w:r>
        <w:t>[RETURN TO CAMERA]</w:t>
      </w:r>
    </w:p>
    <w:p>
      <w:pPr>
        <w:pStyle w:val="Spokennarration"/>
      </w:pPr>
      <w:r>
        <w:t>The first study should use deliberately prepared, non-sensitive artifacts. Whole-job offload can follow if it offers a concrete benefit. Splitting inference across machines and federated training are different projects. Any savings claim has to count discovery, transfer, validation, failures and host contention, not just the model's generation time.</w:t>
      </w:r>
    </w:p>
    <w:p>
      <w:r>
        <w:br w:type="page"/>
      </w:r>
    </w:p>
    <w:p>
      <w:pPr>
        <w:pStyle w:val="Heading2"/>
      </w:pPr>
      <w:r>
        <w:t>Slide 11 Cross-domain research</w:t>
      </w:r>
    </w:p>
    <w:p>
      <w:pPr>
        <w:pStyle w:val="Editcue"/>
      </w:pPr>
      <w:r>
        <w:t>[SHOW SLIDE 11]</w:t>
      </w:r>
    </w:p>
    <w:p>
      <w:pPr>
        <w:pStyle w:val="Spokennarration"/>
      </w:pPr>
      <w:r>
        <w:t>GUFT and the CoherenceLattice explore a broader possibility: navigating useful relations across knowledge instead of reconstructing every route from scratch. AHA and Pattern Donation propose candidate bridges and analogies. The optional 432 and Rosetta work preserves interpretive and creative contributions. These remain research directions, with their own questions and evidence requirements.</w:t>
      </w:r>
    </w:p>
    <w:p>
      <w:pPr>
        <w:pStyle w:val="Editcue"/>
      </w:pPr>
      <w:r>
        <w:t>[KEEP SLIDE 11]</w:t>
      </w:r>
    </w:p>
    <w:p>
      <w:pPr>
        <w:pStyle w:val="Spokennarration"/>
      </w:pPr>
      <w:r>
        <w:t>A structural resemblance does not prove that a conclusion transfers. Prior checks can help explain a candidate mapping without guaranteeing it. No adequate bridge must remain a valid result. The useful application does not have to wait for a universal theory to be established, and its success would not establish that theory.</w:t>
      </w:r>
    </w:p>
    <w:p>
      <w:pPr>
        <w:pStyle w:val="Heading2"/>
      </w:pPr>
      <w:r>
        <w:t>Slide 12 A two-user reuse study</w:t>
      </w:r>
    </w:p>
    <w:p>
      <w:pPr>
        <w:pStyle w:val="Editcue"/>
      </w:pPr>
      <w:r>
        <w:t>[SHOW SLIDE 12]</w:t>
      </w:r>
    </w:p>
    <w:p>
      <w:pPr>
        <w:pStyle w:val="Spokennarration"/>
      </w:pPr>
      <w:r>
        <w:t>One first study could involve two consenting adults reviewing synthetic reimbursement records for a community group. One completes a case. The second receives a related case with changed inputs. Compare a fresh start, ordinary sharing of the same source material and prior work, and reuse with explicit evidence and applicability checks.</w:t>
      </w:r>
    </w:p>
    <w:p>
      <w:pPr>
        <w:pStyle w:val="Editcue"/>
      </w:pPr>
      <w:r>
        <w:t>[KEEP SLIDE 12]</w:t>
      </w:r>
    </w:p>
    <w:p>
      <w:pPr>
        <w:pStyle w:val="Spokennarration"/>
      </w:pPr>
      <w:r>
        <w:t>Include a useful package, an authentic stale package and a case with missing approval evidence. Use comparable resources and vary the order to limit learning effects. Measure consequential errors, review effort, recovery and total resource use. If ordinary sharing is equally useful and simpler, retain that result. Two users can expose feasibility problems; they cannot establish a population benefit or an energy-saving claim.</w:t>
      </w:r>
    </w:p>
    <w:p>
      <w:r>
        <w:br w:type="page"/>
      </w:r>
    </w:p>
    <w:p>
      <w:pPr>
        <w:pStyle w:val="Heading2"/>
      </w:pPr>
      <w:r>
        <w:t>Slide 13 Development evidence</w:t>
      </w:r>
    </w:p>
    <w:p>
      <w:pPr>
        <w:pStyle w:val="Editcue"/>
      </w:pPr>
      <w:r>
        <w:t>[SHOW SLIDE 13]</w:t>
      </w:r>
    </w:p>
    <w:p>
      <w:pPr>
        <w:pStyle w:val="Spokennarration"/>
      </w:pPr>
      <w:r>
        <w:t>There is existing application code and a private offline component demonstration, dated 18 October 2026. It uses captured output to show custody, repair, scripted review and export verification. Eight focused tests and four directory and ZIP checks passed. No model was called. Installed startup, live AI and ChatGPT operation, human usefulness and P2P operation are still to demonstrate. Reviewer repository access is pending.</w:t>
      </w:r>
    </w:p>
    <w:p>
      <w:pPr>
        <w:pStyle w:val="Editcue"/>
      </w:pPr>
      <w:r>
        <w:t>[RETURN TO CAMERA]</w:t>
      </w:r>
    </w:p>
    <w:p>
      <w:pPr>
        <w:pStyle w:val="Spokennarration"/>
      </w:pPr>
      <w:r>
        <w:t>This is a project with concrete mechanisms and unfinished delivery work. The next contribution should close a defined gap, demonstrate a useful result or show where a proposed approach is unnecessary. The description identifies the dated evidence and its access limits, alongside the white paper.</w:t>
      </w:r>
    </w:p>
    <w:p>
      <w:pPr>
        <w:pStyle w:val="Heading2"/>
      </w:pPr>
      <w:r>
        <w:t>Slide 14 A bounded collaboration</w:t>
      </w:r>
    </w:p>
    <w:p>
      <w:pPr>
        <w:pStyle w:val="Editcue"/>
      </w:pPr>
      <w:r>
        <w:t>[SHOW SLIDE 14]</w:t>
      </w:r>
    </w:p>
    <w:p>
      <w:pPr>
        <w:pStyle w:val="Spokennarration"/>
      </w:pPr>
      <w:r>
        <w:t>There are several useful entry points. Distributed-systems and security researchers could study scoped exchange and revocation. AI researchers could compare a single assessor with the triadic loop under matched budgets. Human-computer interaction researchers could test evidence comprehension and effective correction. Research software engineers could help demonstrate a reproducible installation and task-to-export journey.</w:t>
      </w:r>
    </w:p>
    <w:p>
      <w:pPr>
        <w:pStyle w:val="Editcue"/>
      </w:pPr>
      <w:r>
        <w:t>[KEEP SLIDE 14]</w:t>
      </w:r>
    </w:p>
    <w:p>
      <w:pPr>
        <w:pStyle w:val="Spokennarration"/>
      </w:pPr>
      <w:r>
        <w:t>Existing work provides starting points: RO-Crate for research metadata, local-first research for ownership and collaboration, and Petals for collaborative model inference. None by itself establishes this proposed combination.</w:t>
      </w:r>
    </w:p>
    <w:p>
      <w:pPr>
        <w:pStyle w:val="Editcue"/>
      </w:pPr>
      <w:r>
        <w:t>[RETURN TO CAMERA]</w:t>
      </w:r>
    </w:p>
    <w:p>
      <w:pPr>
        <w:pStyle w:val="Spokennarration"/>
      </w:pPr>
      <w:r>
        <w:t>If you lead a lab, supervise a capstone or build research software, I'd like to discuss one focused contribution. We should agree on the question, deliverable, supervision, resources, attribution and publication rights. A student should not quietly inherit responsibility for finishing the entire product. A simpler solution or a publishable negative result is welcome.</w:t>
      </w:r>
    </w:p>
    <w:p>
      <w:pPr>
        <w:pStyle w:val="Editcue"/>
      </w:pPr>
      <w:r>
        <w:t>[SHOW SLIDE 14 FOR THE CLOSE]</w:t>
      </w:r>
    </w:p>
    <w:p>
      <w:pPr>
        <w:pStyle w:val="Spokennarration"/>
      </w:pPr>
      <w:r>
        <w:t>The ambition is to benefit from one another's work while preserving local control and the ability to recognize a mistake. Help us turn the next piece into something people can use and evaluate.</w:t>
      </w:r>
    </w:p>
    <w:p>
      <w:pPr>
        <w:pStyle w:val="Editcue"/>
      </w:pPr>
      <w:r>
        <w:t>[HOLD SLIDE 14 FOR ABOUT 3 SECONDS AFTER THE LAST SPOKEN LINE]</w:t>
      </w:r>
    </w:p>
    <w:p>
      <w:r>
        <w:br w:type="page"/>
      </w:r>
    </w:p>
    <w:p>
      <w:pPr>
        <w:pStyle w:val="Heading1"/>
      </w:pPr>
      <w:r>
        <w:rPr/>
        <w:t>Architecture reference for the edit</w:t>
      </w:r>
    </w:p>
    <w:p>
      <w:r>
        <w:rPr/>
        <w:t>This map describes responsibilities in the intended unified design. It is not a claim that every role has a deployed model, a live caller or an operational peer implementation. Keep technical admission, advisory assessment, human review and observed outcome distinct. [S1]</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33"/>
        <w:gridCol w:w="7603"/>
      </w:tblGrid>
      <w:tr>
        <w:trPr>
          <w:cantSplit/>
          <w:tblHeader/>
        </w:trPr>
        <w:tc>
          <w:tcPr>
            <w:tcW w:type="dxa" w:w="2333"/>
            <w:vAlign w:val="center"/>
            <w:shd w:fill="234F68"/>
            <w:tcMar>
              <w:top w:w="100" w:type="dxa"/>
              <w:bottom w:w="100" w:type="dxa"/>
              <w:left w:w="100" w:type="dxa"/>
              <w:right w:w="100" w:type="dxa"/>
            </w:tcMar>
          </w:tcPr>
          <w:p>
            <w:pPr>
              <w:spacing w:after="0"/>
            </w:pPr>
            <w:r>
              <w:rPr>
                <w:b/>
                <w:color w:val="FFFFFF"/>
                <w:sz w:val="20"/>
              </w:rPr>
              <w:t>Role or function</w:t>
            </w:r>
          </w:p>
        </w:tc>
        <w:tc>
          <w:tcPr>
            <w:tcW w:type="dxa" w:w="7603"/>
            <w:vAlign w:val="center"/>
            <w:shd w:fill="234F68"/>
            <w:tcMar>
              <w:top w:w="100" w:type="dxa"/>
              <w:bottom w:w="100" w:type="dxa"/>
              <w:left w:w="100" w:type="dxa"/>
              <w:right w:w="100" w:type="dxa"/>
            </w:tcMar>
          </w:tcPr>
          <w:p>
            <w:pPr>
              <w:spacing w:after="0"/>
            </w:pPr>
            <w:r>
              <w:rPr>
                <w:b/>
                <w:color w:val="FFFFFF"/>
                <w:sz w:val="20"/>
              </w:rPr>
              <w:t>Responsibility and boundary</w:t>
            </w:r>
          </w:p>
        </w:tc>
      </w:tr>
      <w:tr>
        <w:trPr>
          <w:cantSplit/>
        </w:trPr>
        <w:tc>
          <w:tcPr>
            <w:tcW w:type="dxa" w:w="2333"/>
            <w:vAlign w:val="center"/>
            <w:shd w:fill="FFFFFF"/>
            <w:tcMar>
              <w:top w:w="100" w:type="dxa"/>
              <w:bottom w:w="100" w:type="dxa"/>
              <w:left w:w="100" w:type="dxa"/>
              <w:right w:w="100" w:type="dxa"/>
            </w:tcMar>
          </w:tcPr>
          <w:p>
            <w:pPr>
              <w:spacing w:after="0"/>
            </w:pPr>
            <w:r>
              <w:rPr>
                <w:sz w:val="20"/>
              </w:rPr>
              <w:t>Sonya</w:t>
            </w:r>
          </w:p>
        </w:tc>
        <w:tc>
          <w:tcPr>
            <w:tcW w:type="dxa" w:w="7603"/>
            <w:vAlign w:val="center"/>
            <w:shd w:fill="FFFFFF"/>
            <w:tcMar>
              <w:top w:w="100" w:type="dxa"/>
              <w:bottom w:w="100" w:type="dxa"/>
              <w:left w:w="100" w:type="dxa"/>
              <w:right w:w="100" w:type="dxa"/>
            </w:tcMar>
          </w:tcPr>
          <w:p>
            <w:pPr>
              <w:spacing w:after="0"/>
            </w:pPr>
            <w:r>
              <w:rPr>
                <w:sz w:val="20"/>
              </w:rPr>
              <w:t>Bind ingress, effective context, provider request and returned evidence. Content cannot grant itself authority.</w:t>
            </w:r>
          </w:p>
        </w:tc>
      </w:tr>
      <w:tr>
        <w:trPr>
          <w:cantSplit/>
        </w:trPr>
        <w:tc>
          <w:tcPr>
            <w:tcW w:type="dxa" w:w="2333"/>
            <w:vAlign w:val="center"/>
            <w:shd w:fill="F2F6F8"/>
            <w:tcMar>
              <w:top w:w="100" w:type="dxa"/>
              <w:bottom w:w="100" w:type="dxa"/>
              <w:left w:w="100" w:type="dxa"/>
              <w:right w:w="100" w:type="dxa"/>
            </w:tcMar>
          </w:tcPr>
          <w:p>
            <w:pPr>
              <w:spacing w:after="0"/>
            </w:pPr>
            <w:r>
              <w:rPr>
                <w:sz w:val="20"/>
              </w:rPr>
              <w:t>AEGIS</w:t>
            </w:r>
          </w:p>
        </w:tc>
        <w:tc>
          <w:tcPr>
            <w:tcW w:type="dxa" w:w="7603"/>
            <w:vAlign w:val="center"/>
            <w:shd w:fill="F2F6F8"/>
            <w:tcMar>
              <w:top w:w="100" w:type="dxa"/>
              <w:bottom w:w="100" w:type="dxa"/>
              <w:left w:w="100" w:type="dxa"/>
              <w:right w:w="100" w:type="dxa"/>
            </w:tcMar>
          </w:tcPr>
          <w:p>
            <w:pPr>
              <w:spacing w:after="0"/>
            </w:pPr>
            <w:r>
              <w:rPr>
                <w:sz w:val="20"/>
              </w:rPr>
              <w:t>Check admissibility, identity, scope and capability at relevant boundaries. Admission is not truth or business approval.</w:t>
            </w:r>
          </w:p>
        </w:tc>
      </w:tr>
      <w:tr>
        <w:trPr>
          <w:cantSplit/>
        </w:trPr>
        <w:tc>
          <w:tcPr>
            <w:tcW w:type="dxa" w:w="2333"/>
            <w:vAlign w:val="center"/>
            <w:shd w:fill="FFFFFF"/>
            <w:tcMar>
              <w:top w:w="100" w:type="dxa"/>
              <w:bottom w:w="100" w:type="dxa"/>
              <w:left w:w="100" w:type="dxa"/>
              <w:right w:w="100" w:type="dxa"/>
            </w:tcMar>
          </w:tcPr>
          <w:p>
            <w:pPr>
              <w:spacing w:after="0"/>
            </w:pPr>
            <w:r>
              <w:rPr>
                <w:sz w:val="20"/>
              </w:rPr>
              <w:t>UCC</w:t>
            </w:r>
          </w:p>
        </w:tc>
        <w:tc>
          <w:tcPr>
            <w:tcW w:type="dxa" w:w="7603"/>
            <w:vAlign w:val="center"/>
            <w:shd w:fill="FFFFFF"/>
            <w:tcMar>
              <w:top w:w="100" w:type="dxa"/>
              <w:bottom w:w="100" w:type="dxa"/>
              <w:left w:w="100" w:type="dxa"/>
              <w:right w:w="100" w:type="dxa"/>
            </w:tcMar>
          </w:tcPr>
          <w:p>
            <w:pPr>
              <w:spacing w:after="0"/>
            </w:pPr>
            <w:r>
              <w:rPr>
                <w:sz w:val="20"/>
              </w:rPr>
              <w:t>Represent selected requirements, source editions, overlays and effective procedures. Unsupported interpretation remains visible.</w:t>
            </w:r>
          </w:p>
        </w:tc>
      </w:tr>
      <w:tr>
        <w:trPr>
          <w:cantSplit/>
        </w:trPr>
        <w:tc>
          <w:tcPr>
            <w:tcW w:type="dxa" w:w="2333"/>
            <w:vAlign w:val="center"/>
            <w:shd w:fill="F2F6F8"/>
            <w:tcMar>
              <w:top w:w="100" w:type="dxa"/>
              <w:bottom w:w="100" w:type="dxa"/>
              <w:left w:w="100" w:type="dxa"/>
              <w:right w:w="100" w:type="dxa"/>
            </w:tcMar>
          </w:tcPr>
          <w:p>
            <w:pPr>
              <w:spacing w:after="0"/>
            </w:pPr>
            <w:r>
              <w:rPr>
                <w:sz w:val="20"/>
              </w:rPr>
              <w:t>CoherenceLattice</w:t>
            </w:r>
          </w:p>
        </w:tc>
        <w:tc>
          <w:tcPr>
            <w:tcW w:type="dxa" w:w="7603"/>
            <w:vAlign w:val="center"/>
            <w:shd w:fill="F2F6F8"/>
            <w:tcMar>
              <w:top w:w="100" w:type="dxa"/>
              <w:bottom w:w="100" w:type="dxa"/>
              <w:left w:w="100" w:type="dxa"/>
              <w:right w:w="100" w:type="dxa"/>
            </w:tcMar>
          </w:tcPr>
          <w:p>
            <w:pPr>
              <w:spacing w:after="0"/>
            </w:pPr>
            <w:r>
              <w:rPr>
                <w:sz w:val="20"/>
              </w:rPr>
              <w:t>Relate evidence, claims, dependencies, alternatives and unresolved questions. A graph score is not a calibrated truth probability.</w:t>
            </w:r>
          </w:p>
        </w:tc>
      </w:tr>
      <w:tr>
        <w:trPr>
          <w:cantSplit/>
        </w:trPr>
        <w:tc>
          <w:tcPr>
            <w:tcW w:type="dxa" w:w="2333"/>
            <w:vAlign w:val="center"/>
            <w:shd w:fill="FFFFFF"/>
            <w:tcMar>
              <w:top w:w="100" w:type="dxa"/>
              <w:bottom w:w="100" w:type="dxa"/>
              <w:left w:w="100" w:type="dxa"/>
              <w:right w:w="100" w:type="dxa"/>
            </w:tcMar>
          </w:tcPr>
          <w:p>
            <w:pPr>
              <w:spacing w:after="0"/>
            </w:pPr>
            <w:r>
              <w:rPr>
                <w:sz w:val="20"/>
              </w:rPr>
              <w:t>Analyst or proposer</w:t>
            </w:r>
          </w:p>
        </w:tc>
        <w:tc>
          <w:tcPr>
            <w:tcW w:type="dxa" w:w="7603"/>
            <w:vAlign w:val="center"/>
            <w:shd w:fill="FFFFFF"/>
            <w:tcMar>
              <w:top w:w="100" w:type="dxa"/>
              <w:bottom w:w="100" w:type="dxa"/>
              <w:left w:w="100" w:type="dxa"/>
              <w:right w:w="100" w:type="dxa"/>
            </w:tcMar>
          </w:tcPr>
          <w:p>
            <w:pPr>
              <w:spacing w:after="0"/>
            </w:pPr>
            <w:r>
              <w:rPr>
                <w:sz w:val="20"/>
              </w:rPr>
              <w:t>Generate bounded interpretations and hypotheses; cannot alter original evidence or activate its own rules.</w:t>
            </w:r>
          </w:p>
        </w:tc>
      </w:tr>
      <w:tr>
        <w:trPr>
          <w:cantSplit/>
        </w:trPr>
        <w:tc>
          <w:tcPr>
            <w:tcW w:type="dxa" w:w="2333"/>
            <w:vAlign w:val="center"/>
            <w:shd w:fill="F2F6F8"/>
            <w:tcMar>
              <w:top w:w="100" w:type="dxa"/>
              <w:bottom w:w="100" w:type="dxa"/>
              <w:left w:w="100" w:type="dxa"/>
              <w:right w:w="100" w:type="dxa"/>
            </w:tcMar>
          </w:tcPr>
          <w:p>
            <w:pPr>
              <w:spacing w:after="0"/>
            </w:pPr>
            <w:r>
              <w:rPr>
                <w:sz w:val="20"/>
              </w:rPr>
              <w:t>Sophia and Challenge</w:t>
            </w:r>
          </w:p>
        </w:tc>
        <w:tc>
          <w:tcPr>
            <w:tcW w:type="dxa" w:w="7603"/>
            <w:vAlign w:val="center"/>
            <w:shd w:fill="F2F6F8"/>
            <w:tcMar>
              <w:top w:w="100" w:type="dxa"/>
              <w:bottom w:w="100" w:type="dxa"/>
              <w:left w:w="100" w:type="dxa"/>
              <w:right w:w="100" w:type="dxa"/>
            </w:tcMar>
          </w:tcPr>
          <w:p>
            <w:pPr>
              <w:spacing w:after="0"/>
            </w:pPr>
            <w:r>
              <w:rPr>
                <w:sz w:val="20"/>
              </w:rPr>
              <w:t>Retain deterministic check results and separately attributable AI criticism. Neither role agreement nor a citation is assurance.</w:t>
            </w:r>
          </w:p>
        </w:tc>
      </w:tr>
      <w:tr>
        <w:trPr>
          <w:cantSplit/>
        </w:trPr>
        <w:tc>
          <w:tcPr>
            <w:tcW w:type="dxa" w:w="2333"/>
            <w:vAlign w:val="center"/>
            <w:shd w:fill="FFFFFF"/>
            <w:tcMar>
              <w:top w:w="100" w:type="dxa"/>
              <w:bottom w:w="100" w:type="dxa"/>
              <w:left w:w="100" w:type="dxa"/>
              <w:right w:w="100" w:type="dxa"/>
            </w:tcMar>
          </w:tcPr>
          <w:p>
            <w:pPr>
              <w:spacing w:after="0"/>
            </w:pPr>
            <w:r>
              <w:rPr>
                <w:sz w:val="20"/>
              </w:rPr>
              <w:t>Atlas</w:t>
            </w:r>
          </w:p>
        </w:tc>
        <w:tc>
          <w:tcPr>
            <w:tcW w:type="dxa" w:w="7603"/>
            <w:vAlign w:val="center"/>
            <w:shd w:fill="FFFFFF"/>
            <w:tcMar>
              <w:top w:w="100" w:type="dxa"/>
              <w:bottom w:w="100" w:type="dxa"/>
              <w:left w:w="100" w:type="dxa"/>
              <w:right w:w="100" w:type="dxa"/>
            </w:tcMar>
          </w:tcPr>
          <w:p>
            <w:pPr>
              <w:spacing w:after="0"/>
            </w:pPr>
            <w:r>
              <w:rPr>
                <w:sz w:val="20"/>
              </w:rPr>
              <w:t>Explain posture, dissent and continuity; guide retrospective questions without erasing history or approving its own reconstruction.</w:t>
            </w:r>
          </w:p>
        </w:tc>
      </w:tr>
      <w:tr>
        <w:trPr>
          <w:cantSplit/>
        </w:trPr>
        <w:tc>
          <w:tcPr>
            <w:tcW w:type="dxa" w:w="2333"/>
            <w:vAlign w:val="center"/>
            <w:shd w:fill="F2F6F8"/>
            <w:tcMar>
              <w:top w:w="100" w:type="dxa"/>
              <w:bottom w:w="100" w:type="dxa"/>
              <w:left w:w="100" w:type="dxa"/>
              <w:right w:w="100" w:type="dxa"/>
            </w:tcMar>
          </w:tcPr>
          <w:p>
            <w:pPr>
              <w:spacing w:after="0"/>
            </w:pPr>
            <w:r>
              <w:rPr>
                <w:sz w:val="20"/>
              </w:rPr>
              <w:t>Custody and TEL</w:t>
            </w:r>
          </w:p>
        </w:tc>
        <w:tc>
          <w:tcPr>
            <w:tcW w:type="dxa" w:w="7603"/>
            <w:vAlign w:val="center"/>
            <w:shd w:fill="F2F6F8"/>
            <w:tcMar>
              <w:top w:w="100" w:type="dxa"/>
              <w:bottom w:w="100" w:type="dxa"/>
              <w:left w:w="100" w:type="dxa"/>
              <w:right w:w="100" w:type="dxa"/>
            </w:tcMar>
          </w:tcPr>
          <w:p>
            <w:pPr>
              <w:spacing w:after="0"/>
            </w:pPr>
            <w:r>
              <w:rPr>
                <w:sz w:val="20"/>
              </w:rPr>
              <w:t>Custody retains actual attempts and versions. TEL relates performed stages and corrections, not hidden thoughts or a second authority.</w:t>
            </w:r>
          </w:p>
        </w:tc>
      </w:tr>
      <w:tr>
        <w:trPr>
          <w:cantSplit/>
        </w:trPr>
        <w:tc>
          <w:tcPr>
            <w:tcW w:type="dxa" w:w="2333"/>
            <w:vAlign w:val="center"/>
            <w:shd w:fill="FFFFFF"/>
            <w:tcMar>
              <w:top w:w="100" w:type="dxa"/>
              <w:bottom w:w="100" w:type="dxa"/>
              <w:left w:w="100" w:type="dxa"/>
              <w:right w:w="100" w:type="dxa"/>
            </w:tcMar>
          </w:tcPr>
          <w:p>
            <w:pPr>
              <w:spacing w:after="0"/>
            </w:pPr>
            <w:r>
              <w:rPr>
                <w:sz w:val="20"/>
              </w:rPr>
              <w:t>PMR</w:t>
            </w:r>
          </w:p>
        </w:tc>
        <w:tc>
          <w:tcPr>
            <w:tcW w:type="dxa" w:w="7603"/>
            <w:vAlign w:val="center"/>
            <w:shd w:fill="FFFFFF"/>
            <w:tcMar>
              <w:top w:w="100" w:type="dxa"/>
              <w:bottom w:w="100" w:type="dxa"/>
              <w:left w:w="100" w:type="dxa"/>
              <w:right w:w="100" w:type="dxa"/>
            </w:tcMar>
          </w:tcPr>
          <w:p>
            <w:pPr>
              <w:spacing w:after="0"/>
            </w:pPr>
            <w:r>
              <w:rPr>
                <w:sz w:val="20"/>
              </w:rPr>
              <w:t>Separately governed memory, retention and eligible reuse. Sharing, training and publication require their own basis.</w:t>
            </w:r>
          </w:p>
        </w:tc>
      </w:tr>
      <w:tr>
        <w:trPr>
          <w:cantSplit/>
        </w:trPr>
        <w:tc>
          <w:tcPr>
            <w:tcW w:type="dxa" w:w="2333"/>
            <w:vAlign w:val="center"/>
            <w:shd w:fill="F2F6F8"/>
            <w:tcMar>
              <w:top w:w="100" w:type="dxa"/>
              <w:bottom w:w="100" w:type="dxa"/>
              <w:left w:w="100" w:type="dxa"/>
              <w:right w:w="100" w:type="dxa"/>
            </w:tcMar>
          </w:tcPr>
          <w:p>
            <w:pPr>
              <w:spacing w:after="0"/>
            </w:pPr>
            <w:r>
              <w:rPr>
                <w:sz w:val="20"/>
              </w:rPr>
              <w:t>TAC</w:t>
            </w:r>
          </w:p>
        </w:tc>
        <w:tc>
          <w:tcPr>
            <w:tcW w:type="dxa" w:w="7603"/>
            <w:vAlign w:val="center"/>
            <w:shd w:fill="F2F6F8"/>
            <w:tcMar>
              <w:top w:w="100" w:type="dxa"/>
              <w:bottom w:w="100" w:type="dxa"/>
              <w:left w:w="100" w:type="dxa"/>
              <w:right w:w="100" w:type="dxa"/>
            </w:tcMar>
          </w:tcPr>
          <w:p>
            <w:pPr>
              <w:spacing w:after="0"/>
            </w:pPr>
            <w:r>
              <w:rPr>
                <w:sz w:val="20"/>
              </w:rPr>
              <w:t>Allocate optional observation to purpose and resources while preserving mandatory evidence and missing-observation states.</w:t>
            </w:r>
          </w:p>
        </w:tc>
      </w:tr>
      <w:tr>
        <w:trPr>
          <w:cantSplit/>
        </w:trPr>
        <w:tc>
          <w:tcPr>
            <w:tcW w:type="dxa" w:w="2333"/>
            <w:vAlign w:val="center"/>
            <w:shd w:fill="FFFFFF"/>
            <w:tcMar>
              <w:top w:w="100" w:type="dxa"/>
              <w:bottom w:w="100" w:type="dxa"/>
              <w:left w:w="100" w:type="dxa"/>
              <w:right w:w="100" w:type="dxa"/>
            </w:tcMar>
          </w:tcPr>
          <w:p>
            <w:pPr>
              <w:spacing w:after="0"/>
            </w:pPr>
            <w:r>
              <w:rPr>
                <w:sz w:val="20"/>
              </w:rPr>
              <w:t>MORALware</w:t>
            </w:r>
          </w:p>
        </w:tc>
        <w:tc>
          <w:tcPr>
            <w:tcW w:type="dxa" w:w="7603"/>
            <w:vAlign w:val="center"/>
            <w:shd w:fill="FFFFFF"/>
            <w:tcMar>
              <w:top w:w="100" w:type="dxa"/>
              <w:bottom w:w="100" w:type="dxa"/>
              <w:left w:w="100" w:type="dxa"/>
              <w:right w:w="100" w:type="dxa"/>
            </w:tcMar>
          </w:tcPr>
          <w:p>
            <w:pPr>
              <w:spacing w:after="0"/>
            </w:pPr>
            <w:r>
              <w:rPr>
                <w:sz w:val="20"/>
              </w:rPr>
              <w:t>An applicable protective floor under explicit governance, not a score of human worth or punitive permission.</w:t>
            </w:r>
          </w:p>
        </w:tc>
      </w:tr>
      <w:tr>
        <w:trPr>
          <w:cantSplit/>
        </w:trPr>
        <w:tc>
          <w:tcPr>
            <w:tcW w:type="dxa" w:w="2333"/>
            <w:vAlign w:val="center"/>
            <w:shd w:fill="F2F6F8"/>
            <w:tcMar>
              <w:top w:w="100" w:type="dxa"/>
              <w:bottom w:w="100" w:type="dxa"/>
              <w:left w:w="100" w:type="dxa"/>
              <w:right w:w="100" w:type="dxa"/>
            </w:tcMar>
          </w:tcPr>
          <w:p>
            <w:pPr>
              <w:spacing w:after="0"/>
            </w:pPr>
            <w:r>
              <w:rPr>
                <w:sz w:val="20"/>
              </w:rPr>
              <w:t>Human review</w:t>
            </w:r>
          </w:p>
        </w:tc>
        <w:tc>
          <w:tcPr>
            <w:tcW w:type="dxa" w:w="7603"/>
            <w:vAlign w:val="center"/>
            <w:shd w:fill="F2F6F8"/>
            <w:tcMar>
              <w:top w:w="100" w:type="dxa"/>
              <w:bottom w:w="100" w:type="dxa"/>
              <w:left w:w="100" w:type="dxa"/>
              <w:right w:w="100" w:type="dxa"/>
            </w:tcMar>
          </w:tcPr>
          <w:p>
            <w:pPr>
              <w:spacing w:after="0"/>
            </w:pPr>
            <w:r>
              <w:rPr>
                <w:sz w:val="20"/>
              </w:rPr>
              <w:t>Attributable adoption, dispute, deferral and correction. SCRIPTED actions remain distinct from human acceptance.</w:t>
            </w:r>
          </w:p>
        </w:tc>
      </w:tr>
      <w:tr>
        <w:trPr>
          <w:cantSplit/>
        </w:trPr>
        <w:tc>
          <w:tcPr>
            <w:tcW w:type="dxa" w:w="2333"/>
            <w:vAlign w:val="center"/>
            <w:shd w:fill="FFFFFF"/>
            <w:tcMar>
              <w:top w:w="100" w:type="dxa"/>
              <w:bottom w:w="100" w:type="dxa"/>
              <w:left w:w="100" w:type="dxa"/>
              <w:right w:w="100" w:type="dxa"/>
            </w:tcMar>
          </w:tcPr>
          <w:p>
            <w:pPr>
              <w:spacing w:after="0"/>
            </w:pPr>
            <w:r>
              <w:rPr>
                <w:sz w:val="20"/>
              </w:rPr>
              <w:t>Optional research</w:t>
            </w:r>
          </w:p>
        </w:tc>
        <w:tc>
          <w:tcPr>
            <w:tcW w:type="dxa" w:w="7603"/>
            <w:vAlign w:val="center"/>
            <w:shd w:fill="FFFFFF"/>
            <w:tcMar>
              <w:top w:w="100" w:type="dxa"/>
              <w:bottom w:w="100" w:type="dxa"/>
              <w:left w:w="100" w:type="dxa"/>
              <w:right w:w="100" w:type="dxa"/>
            </w:tcMar>
          </w:tcPr>
          <w:p>
            <w:pPr>
              <w:spacing w:after="0"/>
            </w:pPr>
            <w:r>
              <w:rPr>
                <w:sz w:val="20"/>
              </w:rPr>
              <w:t>AHA, Pattern Donation, GUFT and the Universal Coherence Model explore relations. 432/Rosetta adds interpretive and creative work; no automatic activation.</w:t>
            </w:r>
          </w:p>
        </w:tc>
      </w:tr>
    </w:tbl>
    <w:p>
      <w:r>
        <w:rPr/>
      </w:r>
    </w:p>
    <w:p>
      <w:r>
        <w:rPr>
          <w:b/>
          <w:sz w:val="20"/>
        </w:rPr>
        <w:t xml:space="preserve">Staged functions. </w:t>
      </w:r>
      <w:r>
        <w:rPr>
          <w:sz w:val="20"/>
        </w:rPr>
        <w:t>CES, CivicProof and other historical labels retain their edition-specific scope. This script does not invent duties or execution rights for them. Presets, segregated teams and swarms are configurable research options, not prerequisites for the first useful task.</w:t>
      </w:r>
    </w:p>
    <w:p>
      <w:r>
        <w:br w:type="page"/>
      </w:r>
    </w:p>
    <w:p>
      <w:pPr>
        <w:pStyle w:val="Heading1"/>
      </w:pPr>
      <w:r>
        <w:rPr/>
        <w:t>A bounded first peer reuse study</w:t>
      </w:r>
    </w:p>
    <w:p>
      <w:r>
        <w:rPr/>
        <w:t>The two-user comparison is a proposed feasibility study. It can test the usefulness of governed exchange before building broad discovery or shared inference. Manual transfer can test artifact semantics; it cannot establish network transport, authentication or revocation behavior. [S1 sections 16–17]</w:t>
      </w:r>
    </w:p>
    <w:p>
      <w:pPr>
        <w:pStyle w:val="Heading2"/>
      </w:pPr>
      <w:r>
        <w:rPr/>
        <w:t>Task and materials</w:t>
      </w:r>
    </w:p>
    <w:p>
      <w:r>
        <w:rPr/>
        <w:t>Two consenting adults review synthetic community reimbursement cases. The explicit rules cover an eligible date range, permitted expense categories, required receipts, a monetary ceiling and the applicable policy edition. An older case supplies a completed workflow and its evidence. A new case changes inputs. No real financial records, children or private organizational data are needed.</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7560"/>
      </w:tblGrid>
      <w:tr>
        <w:trPr>
          <w:cantSplit/>
          <w:tblHeader/>
        </w:trPr>
        <w:tc>
          <w:tcPr>
            <w:tcW w:type="dxa" w:w="2376"/>
            <w:vAlign w:val="center"/>
            <w:shd w:fill="234F68"/>
            <w:tcMar>
              <w:top w:w="100" w:type="dxa"/>
              <w:bottom w:w="100" w:type="dxa"/>
              <w:left w:w="100" w:type="dxa"/>
              <w:right w:w="100" w:type="dxa"/>
            </w:tcMar>
          </w:tcPr>
          <w:p>
            <w:pPr>
              <w:spacing w:after="0"/>
            </w:pPr>
            <w:r>
              <w:rPr>
                <w:b/>
                <w:color w:val="FFFFFF"/>
                <w:sz w:val="20"/>
              </w:rPr>
              <w:t>Condition</w:t>
            </w:r>
          </w:p>
        </w:tc>
        <w:tc>
          <w:tcPr>
            <w:tcW w:type="dxa" w:w="7560"/>
            <w:vAlign w:val="center"/>
            <w:shd w:fill="234F68"/>
            <w:tcMar>
              <w:top w:w="100" w:type="dxa"/>
              <w:bottom w:w="100" w:type="dxa"/>
              <w:left w:w="100" w:type="dxa"/>
              <w:right w:w="100" w:type="dxa"/>
            </w:tcMar>
          </w:tcPr>
          <w:p>
            <w:pPr>
              <w:spacing w:after="0"/>
            </w:pPr>
            <w:r>
              <w:rPr>
                <w:b/>
                <w:color w:val="FFFFFF"/>
                <w:sz w:val="20"/>
              </w:rPr>
              <w:t>What the second participant receives</w:t>
            </w:r>
          </w:p>
        </w:tc>
      </w:tr>
      <w:tr>
        <w:trPr>
          <w:cantSplit/>
        </w:trPr>
        <w:tc>
          <w:tcPr>
            <w:tcW w:type="dxa" w:w="2376"/>
            <w:vAlign w:val="center"/>
            <w:shd w:fill="FFFFFF"/>
            <w:tcMar>
              <w:top w:w="100" w:type="dxa"/>
              <w:bottom w:w="100" w:type="dxa"/>
              <w:left w:w="100" w:type="dxa"/>
              <w:right w:w="100" w:type="dxa"/>
            </w:tcMar>
          </w:tcPr>
          <w:p>
            <w:pPr>
              <w:spacing w:after="0"/>
            </w:pPr>
            <w:r>
              <w:rPr>
                <w:sz w:val="20"/>
              </w:rPr>
              <w:t>Fresh start</w:t>
            </w:r>
          </w:p>
        </w:tc>
        <w:tc>
          <w:tcPr>
            <w:tcW w:type="dxa" w:w="7560"/>
            <w:vAlign w:val="center"/>
            <w:shd w:fill="FFFFFF"/>
            <w:tcMar>
              <w:top w:w="100" w:type="dxa"/>
              <w:bottom w:w="100" w:type="dxa"/>
              <w:left w:w="100" w:type="dxa"/>
              <w:right w:w="100" w:type="dxa"/>
            </w:tcMar>
          </w:tcPr>
          <w:p>
            <w:pPr>
              <w:spacing w:after="0"/>
            </w:pPr>
            <w:r>
              <w:rPr>
                <w:sz w:val="20"/>
              </w:rPr>
              <w:t>The new case and effective rules, with no prior solution.</w:t>
            </w:r>
          </w:p>
        </w:tc>
      </w:tr>
      <w:tr>
        <w:trPr>
          <w:cantSplit/>
        </w:trPr>
        <w:tc>
          <w:tcPr>
            <w:tcW w:type="dxa" w:w="2376"/>
            <w:vAlign w:val="center"/>
            <w:shd w:fill="F2F6F8"/>
            <w:tcMar>
              <w:top w:w="100" w:type="dxa"/>
              <w:bottom w:w="100" w:type="dxa"/>
              <w:left w:w="100" w:type="dxa"/>
              <w:right w:w="100" w:type="dxa"/>
            </w:tcMar>
          </w:tcPr>
          <w:p>
            <w:pPr>
              <w:spacing w:after="0"/>
            </w:pPr>
            <w:r>
              <w:rPr>
                <w:sz w:val="20"/>
              </w:rPr>
              <w:t>Ordinary sharing</w:t>
            </w:r>
          </w:p>
        </w:tc>
        <w:tc>
          <w:tcPr>
            <w:tcW w:type="dxa" w:w="7560"/>
            <w:vAlign w:val="center"/>
            <w:shd w:fill="F2F6F8"/>
            <w:tcMar>
              <w:top w:w="100" w:type="dxa"/>
              <w:bottom w:w="100" w:type="dxa"/>
              <w:left w:w="100" w:type="dxa"/>
              <w:right w:w="100" w:type="dxa"/>
            </w:tcMar>
          </w:tcPr>
          <w:p>
            <w:pPr>
              <w:spacing w:after="0"/>
            </w:pPr>
            <w:r>
              <w:rPr>
                <w:sz w:val="20"/>
              </w:rPr>
              <w:t>The same reusable source material and prior work in ordinary files, without automatic applicability checks.</w:t>
            </w:r>
          </w:p>
        </w:tc>
      </w:tr>
      <w:tr>
        <w:trPr>
          <w:cantSplit/>
        </w:trPr>
        <w:tc>
          <w:tcPr>
            <w:tcW w:type="dxa" w:w="2376"/>
            <w:vAlign w:val="center"/>
            <w:shd w:fill="FFFFFF"/>
            <w:tcMar>
              <w:top w:w="100" w:type="dxa"/>
              <w:bottom w:w="100" w:type="dxa"/>
              <w:left w:w="100" w:type="dxa"/>
              <w:right w:w="100" w:type="dxa"/>
            </w:tcMar>
          </w:tcPr>
          <w:p>
            <w:pPr>
              <w:spacing w:after="0"/>
            </w:pPr>
            <w:r>
              <w:rPr>
                <w:sz w:val="20"/>
              </w:rPr>
              <w:t>Governed reuse</w:t>
            </w:r>
          </w:p>
        </w:tc>
        <w:tc>
          <w:tcPr>
            <w:tcW w:type="dxa" w:w="7560"/>
            <w:vAlign w:val="center"/>
            <w:shd w:fill="FFFFFF"/>
            <w:tcMar>
              <w:top w:w="100" w:type="dxa"/>
              <w:bottom w:w="100" w:type="dxa"/>
              <w:left w:w="100" w:type="dxa"/>
              <w:right w:w="100" w:type="dxa"/>
            </w:tcMar>
          </w:tcPr>
          <w:p>
            <w:pPr>
              <w:spacing w:after="0"/>
            </w:pPr>
            <w:r>
              <w:rPr>
                <w:sz w:val="20"/>
              </w:rPr>
              <w:t>The same material with explicit scope, source/control versions, checks, review origin and applicability decisions.</w:t>
            </w:r>
          </w:p>
        </w:tc>
      </w:tr>
    </w:tbl>
    <w:p>
      <w:r>
        <w:rPr/>
      </w:r>
    </w:p>
    <w:p>
      <w:pPr>
        <w:pStyle w:val="Heading2"/>
      </w:pPr>
      <w:r>
        <w:rPr/>
        <w:t>Discriminating cases</w:t>
      </w:r>
    </w:p>
    <w:p>
      <w:r>
        <w:rPr/>
        <w:t>Include a legitimate compatible package, a byte-intact package using an obsolete ceiling, and a case missing approval evidence. The legitimate path must remain useful; the stale result must not acquire current authority; missing evidence must remain unresolved. Start with non-executable artifacts. Malicious instructions and broader peer threats belong in a separately scoped security study.</w:t>
      </w:r>
    </w:p>
    <w:p>
      <w:pPr>
        <w:pStyle w:val="Heading2"/>
      </w:pPr>
      <w:r>
        <w:rPr/>
        <w:t>Measurement and interpretation</w:t>
      </w:r>
    </w:p>
    <w:p>
      <w:r>
        <w:rPr/>
        <w:t>Use equivalent case variants and counterbalance condition order to reduce learning effects. Keep available models, instructions and resource limits comparable. Log task errors, unsupported favorable findings, false exceptions, legitimate completion, review minutes, operator effort, transfer/validation overhead, model use and interruption recovery. Do not convert tokens directly into energy or cash savings.</w:t>
      </w:r>
    </w:p>
    <w:p>
      <w:r>
        <w:rPr/>
        <w:t>Set the time and resource cap before execution; the white paper’s illustrative 90-minute session is a proposal, not authorization or a power calculation. Retain failures and unanswered questions. Two users can expose feasibility problems and support a larger study design, but cannot establish a population effect. If ordinary sharing is equally useful and cheaper, keep that result.</w:t>
      </w:r>
    </w:p>
    <w:p>
      <w:r>
        <w:br w:type="page"/>
      </w:r>
    </w:p>
    <w:p>
      <w:pPr>
        <w:pStyle w:val="Heading1"/>
      </w:pPr>
      <w:r>
        <w:rPr/>
        <w:t>Projects a collaborator could own</w:t>
      </w:r>
    </w:p>
    <w:p>
      <w:r>
        <w:rPr/>
        <w:t>Choose one track at intake. Existing code, synthetic fixtures and dated evidence are starting assets; a new contributor should first verify the applicable branch, instructions, license and owner. Do not make a student project depend on finishing every lane. [S1 sections 20–27; S8]</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87"/>
        <w:gridCol w:w="3946"/>
        <w:gridCol w:w="4003"/>
      </w:tblGrid>
      <w:tr>
        <w:trPr>
          <w:cantSplit/>
          <w:tblHeader/>
        </w:trPr>
        <w:tc>
          <w:tcPr>
            <w:tcW w:type="dxa" w:w="1987"/>
            <w:vAlign w:val="center"/>
            <w:shd w:fill="234F68"/>
            <w:tcMar>
              <w:top w:w="100" w:type="dxa"/>
              <w:bottom w:w="100" w:type="dxa"/>
              <w:left w:w="100" w:type="dxa"/>
              <w:right w:w="100" w:type="dxa"/>
            </w:tcMar>
          </w:tcPr>
          <w:p>
            <w:pPr>
              <w:spacing w:after="0"/>
            </w:pPr>
            <w:r>
              <w:rPr>
                <w:b/>
                <w:color w:val="FFFFFF"/>
                <w:sz w:val="20"/>
              </w:rPr>
              <w:t>Track</w:t>
            </w:r>
          </w:p>
        </w:tc>
        <w:tc>
          <w:tcPr>
            <w:tcW w:type="dxa" w:w="3946"/>
            <w:vAlign w:val="center"/>
            <w:shd w:fill="234F68"/>
            <w:tcMar>
              <w:top w:w="100" w:type="dxa"/>
              <w:bottom w:w="100" w:type="dxa"/>
              <w:left w:w="100" w:type="dxa"/>
              <w:right w:w="100" w:type="dxa"/>
            </w:tcMar>
          </w:tcPr>
          <w:p>
            <w:pPr>
              <w:spacing w:after="0"/>
            </w:pPr>
            <w:r>
              <w:rPr>
                <w:b/>
                <w:color w:val="FFFFFF"/>
                <w:sz w:val="20"/>
              </w:rPr>
              <w:t>Bounded deliverable</w:t>
            </w:r>
          </w:p>
        </w:tc>
        <w:tc>
          <w:tcPr>
            <w:tcW w:type="dxa" w:w="4003"/>
            <w:vAlign w:val="center"/>
            <w:shd w:fill="234F68"/>
            <w:tcMar>
              <w:top w:w="100" w:type="dxa"/>
              <w:bottom w:w="100" w:type="dxa"/>
              <w:left w:w="100" w:type="dxa"/>
              <w:right w:w="100" w:type="dxa"/>
            </w:tcMar>
          </w:tcPr>
          <w:p>
            <w:pPr>
              <w:spacing w:after="0"/>
            </w:pPr>
            <w:r>
              <w:rPr>
                <w:b/>
                <w:color w:val="FFFFFF"/>
                <w:sz w:val="20"/>
              </w:rPr>
              <w:t>Question it can settle</w:t>
            </w:r>
          </w:p>
        </w:tc>
      </w:tr>
      <w:tr>
        <w:trPr>
          <w:cantSplit/>
        </w:trPr>
        <w:tc>
          <w:tcPr>
            <w:tcW w:type="dxa" w:w="1987"/>
            <w:vAlign w:val="center"/>
            <w:shd w:fill="FFFFFF"/>
            <w:tcMar>
              <w:top w:w="100" w:type="dxa"/>
              <w:bottom w:w="100" w:type="dxa"/>
              <w:left w:w="100" w:type="dxa"/>
              <w:right w:w="100" w:type="dxa"/>
            </w:tcMar>
          </w:tcPr>
          <w:p>
            <w:pPr>
              <w:spacing w:after="0"/>
            </w:pPr>
            <w:r>
              <w:rPr>
                <w:sz w:val="20"/>
              </w:rPr>
              <w:t>Distributed systems and security</w:t>
            </w:r>
          </w:p>
        </w:tc>
        <w:tc>
          <w:tcPr>
            <w:tcW w:type="dxa" w:w="3946"/>
            <w:vAlign w:val="center"/>
            <w:shd w:fill="FFFFFF"/>
            <w:tcMar>
              <w:top w:w="100" w:type="dxa"/>
              <w:bottom w:w="100" w:type="dxa"/>
              <w:left w:w="100" w:type="dxa"/>
              <w:right w:w="100" w:type="dxa"/>
            </w:tcMar>
          </w:tcPr>
          <w:p>
            <w:pPr>
              <w:spacing w:after="0"/>
            </w:pPr>
            <w:r>
              <w:rPr>
                <w:sz w:val="20"/>
              </w:rPr>
              <w:t>A two-node artifact exchange prototype using explicit peer identity and scope, with eligible receipt, wrong-scope rejection, revoked future access and interrupted-transfer cases.</w:t>
            </w:r>
          </w:p>
        </w:tc>
        <w:tc>
          <w:tcPr>
            <w:tcW w:type="dxa" w:w="4003"/>
            <w:vAlign w:val="center"/>
            <w:shd w:fill="FFFFFF"/>
            <w:tcMar>
              <w:top w:w="100" w:type="dxa"/>
              <w:bottom w:w="100" w:type="dxa"/>
              <w:left w:w="100" w:type="dxa"/>
              <w:right w:w="100" w:type="dxa"/>
            </w:tcMar>
          </w:tcPr>
          <w:p>
            <w:pPr>
              <w:spacing w:after="0"/>
            </w:pPr>
            <w:r>
              <w:rPr>
                <w:sz w:val="20"/>
              </w:rPr>
              <w:t>Can a permitted package cross this boundary without expanding access? Does an existing protocol supply the needed mechanism?</w:t>
            </w:r>
          </w:p>
        </w:tc>
      </w:tr>
      <w:tr>
        <w:trPr>
          <w:cantSplit/>
        </w:trPr>
        <w:tc>
          <w:tcPr>
            <w:tcW w:type="dxa" w:w="1987"/>
            <w:vAlign w:val="center"/>
            <w:shd w:fill="F2F6F8"/>
            <w:tcMar>
              <w:top w:w="100" w:type="dxa"/>
              <w:bottom w:w="100" w:type="dxa"/>
              <w:left w:w="100" w:type="dxa"/>
              <w:right w:w="100" w:type="dxa"/>
            </w:tcMar>
          </w:tcPr>
          <w:p>
            <w:pPr>
              <w:spacing w:after="0"/>
            </w:pPr>
            <w:r>
              <w:rPr>
                <w:sz w:val="20"/>
              </w:rPr>
              <w:t>AI systems and evaluation</w:t>
            </w:r>
          </w:p>
        </w:tc>
        <w:tc>
          <w:tcPr>
            <w:tcW w:type="dxa" w:w="3946"/>
            <w:vAlign w:val="center"/>
            <w:shd w:fill="F2F6F8"/>
            <w:tcMar>
              <w:top w:w="100" w:type="dxa"/>
              <w:bottom w:w="100" w:type="dxa"/>
              <w:left w:w="100" w:type="dxa"/>
              <w:right w:w="100" w:type="dxa"/>
            </w:tcMar>
          </w:tcPr>
          <w:p>
            <w:pPr>
              <w:spacing w:after="0"/>
            </w:pPr>
            <w:r>
              <w:rPr>
                <w:sz w:val="20"/>
              </w:rPr>
              <w:t>A matched-budget single-assessor versus triadic experiment over fresh held-out cases; shared retrieval, rules, custody and presentation.</w:t>
            </w:r>
          </w:p>
        </w:tc>
        <w:tc>
          <w:tcPr>
            <w:tcW w:type="dxa" w:w="4003"/>
            <w:vAlign w:val="center"/>
            <w:shd w:fill="F2F6F8"/>
            <w:tcMar>
              <w:top w:w="100" w:type="dxa"/>
              <w:bottom w:w="100" w:type="dxa"/>
              <w:left w:w="100" w:type="dxa"/>
              <w:right w:w="100" w:type="dxa"/>
            </w:tcMar>
          </w:tcPr>
          <w:p>
            <w:pPr>
              <w:spacing w:after="0"/>
            </w:pPr>
            <w:r>
              <w:rPr>
                <w:sz w:val="20"/>
              </w:rPr>
              <w:t>Does the loop improve consequential error handling or useful abstention? Homogeneous and heterogeneous models answer separate questions.</w:t>
            </w:r>
          </w:p>
        </w:tc>
      </w:tr>
      <w:tr>
        <w:trPr>
          <w:cantSplit/>
        </w:trPr>
        <w:tc>
          <w:tcPr>
            <w:tcW w:type="dxa" w:w="1987"/>
            <w:vAlign w:val="center"/>
            <w:shd w:fill="FFFFFF"/>
            <w:tcMar>
              <w:top w:w="100" w:type="dxa"/>
              <w:bottom w:w="100" w:type="dxa"/>
              <w:left w:w="100" w:type="dxa"/>
              <w:right w:w="100" w:type="dxa"/>
            </w:tcMar>
          </w:tcPr>
          <w:p>
            <w:pPr>
              <w:spacing w:after="0"/>
            </w:pPr>
            <w:r>
              <w:rPr>
                <w:sz w:val="20"/>
              </w:rPr>
              <w:t>Human-computer interaction</w:t>
            </w:r>
          </w:p>
        </w:tc>
        <w:tc>
          <w:tcPr>
            <w:tcW w:type="dxa" w:w="3946"/>
            <w:vAlign w:val="center"/>
            <w:shd w:fill="FFFFFF"/>
            <w:tcMar>
              <w:top w:w="100" w:type="dxa"/>
              <w:bottom w:w="100" w:type="dxa"/>
              <w:left w:w="100" w:type="dxa"/>
              <w:right w:w="100" w:type="dxa"/>
            </w:tcMar>
          </w:tcPr>
          <w:p>
            <w:pPr>
              <w:spacing w:after="0"/>
            </w:pPr>
            <w:r>
              <w:rPr>
                <w:sz w:val="20"/>
              </w:rPr>
              <w:t>A small adult study of rule interpretation, evidence inspection and correction, including a plausible wrong assessment.</w:t>
            </w:r>
          </w:p>
        </w:tc>
        <w:tc>
          <w:tcPr>
            <w:tcW w:type="dxa" w:w="4003"/>
            <w:vAlign w:val="center"/>
            <w:shd w:fill="FFFFFF"/>
            <w:tcMar>
              <w:top w:w="100" w:type="dxa"/>
              <w:bottom w:w="100" w:type="dxa"/>
              <w:left w:w="100" w:type="dxa"/>
              <w:right w:w="100" w:type="dxa"/>
            </w:tcMar>
          </w:tcPr>
          <w:p>
            <w:pPr>
              <w:spacing w:after="0"/>
            </w:pPr>
            <w:r>
              <w:rPr>
                <w:sz w:val="20"/>
              </w:rPr>
              <w:t>Can people identify the error and obtain correction without excessive burden? Preference alone is insufficient.</w:t>
            </w:r>
          </w:p>
        </w:tc>
      </w:tr>
      <w:tr>
        <w:trPr>
          <w:cantSplit/>
        </w:trPr>
        <w:tc>
          <w:tcPr>
            <w:tcW w:type="dxa" w:w="1987"/>
            <w:vAlign w:val="center"/>
            <w:shd w:fill="F2F6F8"/>
            <w:tcMar>
              <w:top w:w="100" w:type="dxa"/>
              <w:bottom w:w="100" w:type="dxa"/>
              <w:left w:w="100" w:type="dxa"/>
              <w:right w:w="100" w:type="dxa"/>
            </w:tcMar>
          </w:tcPr>
          <w:p>
            <w:pPr>
              <w:spacing w:after="0"/>
            </w:pPr>
            <w:r>
              <w:rPr>
                <w:sz w:val="20"/>
              </w:rPr>
              <w:t>Research software engineering</w:t>
            </w:r>
          </w:p>
        </w:tc>
        <w:tc>
          <w:tcPr>
            <w:tcW w:type="dxa" w:w="3946"/>
            <w:vAlign w:val="center"/>
            <w:shd w:fill="F2F6F8"/>
            <w:tcMar>
              <w:top w:w="100" w:type="dxa"/>
              <w:bottom w:w="100" w:type="dxa"/>
              <w:left w:w="100" w:type="dxa"/>
              <w:right w:w="100" w:type="dxa"/>
            </w:tcMar>
          </w:tcPr>
          <w:p>
            <w:pPr>
              <w:spacing w:after="0"/>
            </w:pPr>
            <w:r>
              <w:rPr>
                <w:sz w:val="20"/>
              </w:rPr>
              <w:t>One supported installation and startup demonstration covering a task, correction, export and reopen, with retained inputs and recovery evidence.</w:t>
            </w:r>
          </w:p>
        </w:tc>
        <w:tc>
          <w:tcPr>
            <w:tcW w:type="dxa" w:w="4003"/>
            <w:vAlign w:val="center"/>
            <w:shd w:fill="F2F6F8"/>
            <w:tcMar>
              <w:top w:w="100" w:type="dxa"/>
              <w:bottom w:w="100" w:type="dxa"/>
              <w:left w:w="100" w:type="dxa"/>
              <w:right w:w="100" w:type="dxa"/>
            </w:tcMar>
          </w:tcPr>
          <w:p>
            <w:pPr>
              <w:spacing w:after="0"/>
            </w:pPr>
            <w:r>
              <w:rPr>
                <w:sz w:val="20"/>
              </w:rPr>
              <w:t>Which exact deployment path works? Controlled providers, live providers and human acceptance retain different claims.</w:t>
            </w:r>
          </w:p>
        </w:tc>
      </w:tr>
    </w:tbl>
    <w:p>
      <w:r>
        <w:rPr/>
      </w:r>
    </w:p>
    <w:p>
      <w:pPr>
        <w:pStyle w:val="Heading2"/>
      </w:pPr>
      <w:r>
        <w:rPr/>
        <w:t>Later compute collaboration</w:t>
      </w:r>
    </w:p>
    <w:p>
      <w:r>
        <w:rPr/>
        <w:t>After artifact reuse has a useful result, compare separately authorized whole-job offload with the eligible local baseline. Measure loading, queueing, transfer, validation, failures and host contention. Layer-split inference and federated training are different projects. Petals is a relevant precedent, not this application’s benchmark. [S7]</w:t>
      </w:r>
    </w:p>
    <w:p>
      <w:pPr>
        <w:pStyle w:val="Heading2"/>
      </w:pPr>
      <w:r>
        <w:rPr/>
        <w:t>Before a lab or student begins</w:t>
      </w:r>
    </w:p>
    <w:p>
      <w:r>
        <w:rPr/>
        <w:t>Agree on a mentor and engineering contact, question, deliverable, time/compute budget, access, licensing/IP, attribution, publication rights, maintenance and any compensation. A PhD project needs a research contribution and academic supervision; release engineering needs an accountable owner. Negative results must be reportable. No grant, stipend, academic place or funding is promised by this invitation.</w:t>
      </w:r>
    </w:p>
    <w:p>
      <w:r>
        <w:br w:type="page"/>
      </w:r>
    </w:p>
    <w:p>
      <w:pPr>
        <w:pStyle w:val="Heading1"/>
      </w:pPr>
      <w:r>
        <w:rPr/>
        <w:t>Publication copy and first contact</w:t>
      </w:r>
    </w:p>
    <w:p>
      <w:pPr>
        <w:pStyle w:val="Heading2"/>
      </w:pPr>
      <w:r>
        <w:rPr/>
        <w:t>Suggested video title</w:t>
      </w:r>
    </w:p>
    <w:p>
      <w:r>
        <w:rPr/>
        <w:t>Triadic Cognitive Systems and P2P AI | A research collaboration invitation</w:t>
      </w:r>
    </w:p>
    <w:p>
      <w:pPr>
        <w:pStyle w:val="Heading2"/>
      </w:pPr>
      <w:r>
        <w:rPr/>
        <w:t>Video description</w:t>
      </w:r>
    </w:p>
    <w:p>
      <w:r>
        <w:rPr/>
        <w:t>Can evaluated AI work be reused across locally controlled peers without carrying over stale assumptions, private data or unauthorized actions? Thomas Prislac introduces the Triadic Cognitive Systems architecture behind Control Anchor and its proposed scoped peer-to-peer application. The video explains Sonya, AEGIS, UCC, CoherenceLattice, Sophia, Atlas, TEL, PMR and supporting governance, then offers bounded research and engineering collaborations.</w:t>
      </w:r>
    </w:p>
    <w:p>
      <w:r>
        <w:rPr/>
        <w:t>This is a design and collaboration invitation. Dated offline component evidence covers captured output, custody, repair, scripted review and export verification. Reviewer repository access is pending; no model was called. It does not establish installed startup, live AI or ChatGPT operation, human usefulness, a deployed peer network or measured energy savings. Read the linked white paper and dated evidence before choosing a contribution.</w:t>
      </w:r>
    </w:p>
    <w:p>
      <w:hyperlink r:id="rId11">
        <w:r>
          <w:rPr>
            <w:color w:val="234F68"/>
          </w:rPr>
          <w:t>Read white paper discussion draft 0.4</w:t>
        </w:r>
      </w:hyperlink>
    </w:p>
    <w:p>
      <w:hyperlink r:id="rId12">
        <w:r>
          <w:rPr>
            <w:color w:val="234F68"/>
          </w:rPr>
          <w:t>Explore the repository</w:t>
        </w:r>
      </w:hyperlink>
      <w:r>
        <w:t xml:space="preserve"> | </w:t>
      </w:r>
      <w:hyperlink r:id="rId22">
        <w:r>
          <w:rPr>
            <w:color w:val="2F6078"/>
          </w:rPr>
          <w:t>Private reviewer evidence (access pending)</w:t>
        </w:r>
      </w:hyperlink>
    </w:p>
    <w:p>
      <w:hyperlink r:id="rId13">
        <w:r>
          <w:rPr>
            <w:color w:val="234F68"/>
          </w:rPr>
          <w:t>Contact Thomas about a bounded collaboration</w:t>
        </w:r>
      </w:hyperlink>
    </w:p>
    <w:p>
      <w:r>
        <w:rPr>
          <w:b/>
          <w:sz w:val="20"/>
        </w:rPr>
        <w:t xml:space="preserve">Authorship. </w:t>
      </w:r>
      <w:r>
        <w:rPr>
          <w:sz w:val="20"/>
        </w:rPr>
        <w:t>Presented by Thomas Prislac; script developed with AI assistance from Echo. Update this disclosure to match the actual final production.</w:t>
      </w:r>
    </w:p>
    <w:p>
      <w:pPr>
        <w:pStyle w:val="Heading2"/>
      </w:pPr>
      <w:r>
        <w:rPr/>
        <w:t>A useful first response from a collaborator</w:t>
      </w:r>
    </w:p>
    <w:p>
      <w:r>
        <w:rPr/>
        <w:t>Send your area of expertise, one track or alternative question, a bounded deliverable, available supervision/resources, and what evidence would make you recommend a simpler approach. Begin with a short scoping conversation. Do not request an unrestricted repository audit or promise an entire product as a semester assignment.</w:t>
      </w:r>
    </w:p>
    <w:p>
      <w:pPr>
        <w:pStyle w:val="Heading2"/>
      </w:pPr>
      <w:r>
        <w:rPr/>
        <w:t>README entry after the video exists</w:t>
      </w:r>
    </w:p>
    <w:p>
      <w:r>
        <w:rPr/>
        <w:t>Triadic Cognitive Systems and P2P AI — Thomas introduces the role architecture, scoped peer reuse and concrete research projects. This is a design and collaboration invitation, not a demonstration of deployed P2P capability. Include the real video URL, duration, captions and transcript beside the white-paper and alpha-tutorial links.</w:t>
      </w:r>
    </w:p>
    <w:p>
      <w:r>
        <w:t>Publication sequence. Record and check slide 13 and its narration against the current dated evidence. Add chapter times from the finished edit using the fourteen slide titles as the starting outline. Only then add real links to the README in a documentation change for review. No video URL, upload, repository change or merge is created by this pack.</w:t>
      </w:r>
    </w:p>
    <w:p>
      <w:r>
        <w:br w:type="page"/>
      </w:r>
    </w:p>
    <w:p>
      <w:pPr>
        <w:pStyle w:val="Heading1"/>
      </w:pPr>
      <w:r>
        <w:rPr/>
        <w:t>Sources and evidence boundaries</w:t>
      </w:r>
    </w:p>
    <w:p>
      <w:r>
        <w:t>This reviewer update retains the original script’s white-paper basis, architecture and research invitation. It updates slide 13, the matching narration and related evidence notes to the 18 October 2026 offline component demonstration. It does not constitute a new test run, model call or literature review. Source identifiers belong in the description, not the spoken narration.</w:t>
      </w:r>
    </w:p>
    <w:p>
      <w:pPr/>
      <w:r>
        <w:t>Reviewer evidence at 18 October 2026 UTC. The private pdxvoiceteacher/control-anchor-reviewer-demo repository at commit ed5bce3de817b91898f2d63f4b6a8b7952bf1952 demonstrates offline captured output, custody, repair, scripted review and export verification. Eight focused tests passed on Windows with Python 3.12.14, with four additional directory/ZIP checks. Reviewer access is pending.</w:t>
      </w:r>
    </w:p>
    <w:p>
      <w:pPr/>
      <w:r>
        <w:t>Evidence boundary. Review and advisory findings are scripted or injected; no model was called. Sophia and Atlas are logical records in this demonstration, with no cognitive component execution. STANDARD produces no semantic findings. This does not demonstrate a live AI or ChatGPT connection, human usefulness, P2P operation, or a finished public product.</w:t>
      </w:r>
    </w:p>
    <w:p>
      <w:pPr/>
      <w:r>
        <w:t>Original application boundary. At the 18 October 2026 evidence update, CI184 is install-qualified following an executed app-only install; usable installed startup remains UNKNOWN. Live AI and human acceptance are unproved. Earlier CI34 and MCP27 records remain historical evidence for their own inputs and do not qualify this private component demonstration.</w:t>
      </w:r>
    </w:p>
    <w:p>
      <w:pPr/>
      <w:r>
        <w:t xml:space="preserve">Reviewer source: </w:t>
      </w:r>
      <w:hyperlink r:id="rId22">
        <w:r>
          <w:rPr>
            <w:rStyle w:val="Hyperlink"/>
            <w:color w:val="2F6078"/>
          </w:rPr>
          <w:t>Private offline demo at the dated commit (access pending)</w:t>
        </w:r>
      </w:hyperlink>
    </w:p>
    <w:p>
      <w:pPr/>
      <w:r>
        <w:t xml:space="preserve">Original application source: </w:t>
      </w:r>
      <w:hyperlink r:id="rId23">
        <w:r>
          <w:rPr>
            <w:rStyle w:val="Hyperlink"/>
            <w:color w:val="2F6078"/>
          </w:rPr>
          <w:t>README at commit 37583fd91ff7f0d912256c10fea89ff6896763cf</w:t>
        </w:r>
      </w:hyperlink>
      <w:r>
        <w:t xml:space="preserve">; </w:t>
      </w:r>
      <w:hyperlink r:id="rId24">
        <w:r>
          <w:rPr>
            <w:rStyle w:val="Hyperlink"/>
            <w:color w:val="2F6078"/>
          </w:rPr>
          <w:t>CI184 run 39161062220</w:t>
        </w:r>
      </w:hyperlink>
    </w:p>
    <w:p>
      <w:pPr>
        <w:keepNext/>
      </w:pPr>
      <w:hyperlink r:id="rId11">
        <w:r>
          <w:rPr>
            <w:color w:val="234F68"/>
          </w:rPr>
          <w:t>S1 Unified white paper draft 0.4</w:t>
        </w:r>
      </w:hyperlink>
    </w:p>
    <w:p>
      <w:r>
        <w:rPr>
          <w:sz w:val="20"/>
        </w:rPr>
        <w:t>Sections 3–4, 11–17, 20–27 supply the architecture, scoped network, research comparisons and collaboration proposal. Publication remains a discussion draft in PR24, not a release.</w:t>
      </w:r>
    </w:p>
    <w:p>
      <w:pPr>
        <w:keepNext/>
      </w:pPr>
      <w:hyperlink r:id="rId14">
        <w:r>
          <w:rPr>
            <w:color w:val="234F68"/>
          </w:rPr>
          <w:t>S2 Combined workflow evidence</w:t>
        </w:r>
      </w:hyperlink>
    </w:p>
    <w:p>
      <w:r>
        <w:rPr>
          <w:sz w:val="20"/>
        </w:rPr>
        <w:t>Historical MCP27 evidence reports 24 cases and 72 phases at product 19400efc3be29cc9025ea833cbb59da27d3aa783, using controlled/synthetic providers and injected OS boundaries. It is separate from the 18 October offline demonstration and was not independently reproduced for this script.</w:t>
      </w:r>
    </w:p>
    <w:p>
      <w:pPr>
        <w:keepNext/>
      </w:pPr>
      <w:hyperlink r:id="rId15">
        <w:r>
          <w:rPr>
            <w:color w:val="234F68"/>
          </w:rPr>
          <w:t>S3 Combined development candidate</w:t>
        </w:r>
      </w:hyperlink>
    </w:p>
    <w:p>
      <w:r>
        <w:rPr>
          <w:sz w:val="20"/>
        </w:rPr>
        <w:t>Historical PR20 metadata was refreshed at head 5b1cfa6baea1ab3ede2640de82d81f87618e4d50. Its evidence-only successor does not create a new execution result. These selected controlled-provider results do not establish live ChatGPT/model operation, human acceptance or P2P.</w:t>
      </w:r>
    </w:p>
    <w:p>
      <w:pPr>
        <w:keepNext/>
      </w:pPr>
      <w:hyperlink r:id="rId16">
        <w:r>
          <w:rPr>
            <w:color w:val="234F68"/>
          </w:rPr>
          <w:t>S4 Windows preparation status</w:t>
        </w:r>
      </w:hyperlink>
    </w:p>
    <w:p>
      <w:r>
        <w:rPr>
          <w:sz w:val="20"/>
        </w:rPr>
        <w:t>Historical PR15 metadata was refreshed at head 100b12d9ecdca9c24a8da876d5a82cd2036c1623; the linked CI34 record remains failed/incomplete, with V36 then not retested. Current CI184 is install-qualified with startup UNKNOWN. Preserve each historical result against its own inputs.</w:t>
      </w:r>
    </w:p>
    <w:p>
      <w:pPr>
        <w:keepNext/>
      </w:pPr>
      <w:hyperlink r:id="rId17">
        <w:r>
          <w:rPr>
            <w:color w:val="234F68"/>
          </w:rPr>
          <w:t>S5 Portable research provenance</w:t>
        </w:r>
      </w:hyperlink>
    </w:p>
    <w:p>
      <w:r>
        <w:rPr>
          <w:sz w:val="20"/>
        </w:rPr>
        <w:t>Soiland-Reyes et al., Packaging research artefacts with RO-Crate, Data Science, 2022, DOI 10.3233/DS-210053. Machine-readable packaging of artifacts and their metadata; provenance packaging is not a truth certificate.</w:t>
      </w:r>
    </w:p>
    <w:p>
      <w:pPr>
        <w:keepNext/>
      </w:pPr>
      <w:hyperlink r:id="rId18">
        <w:r>
          <w:rPr>
            <w:color w:val="234F68"/>
          </w:rPr>
          <w:t>S6 Local ownership and collaboration</w:t>
        </w:r>
      </w:hyperlink>
    </w:p>
    <w:p>
      <w:r>
        <w:rPr>
          <w:sz w:val="20"/>
        </w:rPr>
        <w:t>Kleppmann et al., Local-first software, Onward! 2019. Included through the white paper’s primary-source review. Collaboration and local ownership do not settle policy activation or action authority.</w:t>
      </w:r>
    </w:p>
    <w:p>
      <w:pPr>
        <w:keepNext/>
      </w:pPr>
      <w:hyperlink r:id="rId19">
        <w:r>
          <w:rPr>
            <w:color w:val="234F68"/>
          </w:rPr>
          <w:t>S7 Cooperative model inference</w:t>
        </w:r>
      </w:hyperlink>
    </w:p>
    <w:p>
      <w:r>
        <w:rPr>
          <w:sz w:val="20"/>
        </w:rPr>
        <w:t>Borzunov et al., Petals: Collaborative Inference and Fine-tuning of Large Models, ACL 2023 System Demonstrations, DOI 10.18653/v1/2023.acl-demo.54. Primary paper abstract rechecked. Its inference demonstration is not a Control Anchor privacy, performance or energy result.</w:t>
      </w:r>
    </w:p>
    <w:p>
      <w:pPr>
        <w:keepNext/>
      </w:pPr>
      <w:hyperlink r:id="rId20">
        <w:r>
          <w:rPr>
            <w:color w:val="234F68"/>
          </w:rPr>
          <w:t>S8 Contributor entry point</w:t>
        </w:r>
      </w:hyperlink>
    </w:p>
    <w:p>
      <w:r>
        <w:rPr>
          <w:sz w:val="20"/>
        </w:rPr>
        <w:t>Use the actual current contribution instructions and owner coordination when accepting work. This script changes no execution permissions, licensing terms or merge ownership.</w:t>
      </w:r>
    </w:p>
    <w:sectPr w:rsidR="00FC693F" w:rsidRPr="0006063C" w:rsidSect="00034616">
      <w:headerReference w:type="default" r:id="rId9"/>
      <w:footerReference w:type="default" r:id="rId10"/>
      <w:footerReference w:type="first" r:id="rId21"/>
      <w:footerReference w:type="even" r:id="rId25"/>
      <w:pgSz w:w="12240" w:h="15840"/>
      <w:pgMar w:top="1008" w:right="1152" w:bottom="936" w:left="1152"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Reviewer update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CONTROL ANCHOR  |  RESEARCH VIDEO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ascii="Arial" w:hAnsi="Arial"/>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okennarration">
    <w:name w:val="Spoken narration"/>
    <w:basedOn w:val="Normal"/>
    <w:pPr>
      <w:widowControl/>
      <w:spacing w:after="180" w:line="259" w:lineRule="auto"/>
    </w:pPr>
    <w:rPr>
      <w:rFonts w:ascii="Arial" w:hAnsi="Arial"/>
      <w:color w:val="000000"/>
      <w:sz w:val="25"/>
    </w:rPr>
  </w:style>
  <w:style w:type="paragraph" w:customStyle="1" w:styleId="Editcue">
    <w:name w:val="Edit cue"/>
    <w:basedOn w:val="Normal"/>
    <w:pPr>
      <w:keepNext/>
      <w:widowControl/>
      <w:spacing w:after="100" w:line="259" w:lineRule="auto" w:before="140"/>
    </w:pPr>
    <w:rPr>
      <w:rFonts w:ascii="Arial" w:hAnsi="Arial"/>
      <w:b/>
      <w:color w:val="000000"/>
      <w:sz w:val="20"/>
    </w:rPr>
  </w:style>
  <w:style w:type="paragraph" w:customStyle="1" w:styleId="Recordingnote">
    <w:name w:val="Recording note"/>
    <w:basedOn w:val="Normal"/>
    <w:pPr>
      <w:widowControl/>
      <w:spacing w:after="100" w:line="259" w:lineRule="auto"/>
    </w:pPr>
    <w:rPr>
      <w:rFonts w:ascii="Arial" w:hAnsi="Arial"/>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dxvoiceteacher/triadicbrain-open-alpha/blob/0945dc151508afa4d5e774a2a08b873b9a6a972b/docs/whitepaper/control-anchor-unified-white-paper-v0.4.md" TargetMode="External"/><Relationship Id="rId12" Type="http://schemas.openxmlformats.org/officeDocument/2006/relationships/hyperlink" Target="https://github.com/pdxvoiceteacher/triadicbrain-open-alpha" TargetMode="External"/><Relationship Id="rId13" Type="http://schemas.openxmlformats.org/officeDocument/2006/relationships/hyperlink" Target="mailto:info@ultraverbaluxmentis.org?subject=Triadic%20Cognitive%20Systems%20research%20collaboration" TargetMode="External"/><Relationship Id="rId14" Type="http://schemas.openxmlformats.org/officeDocument/2006/relationships/hyperlink" Target="https://github.com/pdxvoiceteacher/triadicbrain-open-alpha/blob/57db79984939f052d67fa0473d3982615948ef34/integrations/chatgpt/qualification/evidence/38003358305/README.md" TargetMode="External"/><Relationship Id="rId15" Type="http://schemas.openxmlformats.org/officeDocument/2006/relationships/hyperlink" Target="https://github.com/pdxvoiceteacher/triadicbrain-open-alpha/pull/20" TargetMode="External"/><Relationship Id="rId16" Type="http://schemas.openxmlformats.org/officeDocument/2006/relationships/hyperlink" Target="https://github.com/pdxvoiceteacher/triadicbrain-open-alpha/blob/6209de81358909cbd253dc51048dd3beae98003d/review/windows-source-ci/attempt34-38009425386/README.md" TargetMode="External"/><Relationship Id="rId17" Type="http://schemas.openxmlformats.org/officeDocument/2006/relationships/hyperlink" Target="https://www.researchobject.org/2021-packaging-research-artefacts-with-ro-crate/manuscript.html" TargetMode="External"/><Relationship Id="rId18" Type="http://schemas.openxmlformats.org/officeDocument/2006/relationships/hyperlink" Target="https://doi.org/10.1145/3359591.3359737" TargetMode="External"/><Relationship Id="rId19" Type="http://schemas.openxmlformats.org/officeDocument/2006/relationships/hyperlink" Target="https://aclanthology.org/2023.acl-demo.54/" TargetMode="External"/><Relationship Id="rId20" Type="http://schemas.openxmlformats.org/officeDocument/2006/relationships/hyperlink" Target="https://github.com/pdxvoiceteacher/triadicbrain-open-alpha/blob/5b1cfa6baea1ab3ede2640de82d81f87618e4d50/CONTRIBUTING.md" TargetMode="External"/><Relationship Id="rId21" Type="http://schemas.openxmlformats.org/officeDocument/2006/relationships/footer" Target="footer2.xml"/><Relationship Id="rId22" Type="http://schemas.openxmlformats.org/officeDocument/2006/relationships/hyperlink" Target="https://github.com/pdxvoiceteacher/control-anchor-reviewer-demo/tree/ed5bce3de817b91898f2d63f4b6a8b7952bf1952" TargetMode="External"/><Relationship Id="rId23" Type="http://schemas.openxmlformats.org/officeDocument/2006/relationships/hyperlink" Target="https://github.com/pdxvoiceteacher/triadicbrain-open-alpha/blob/37583fd91ff7f0d912256c10fea89ff6896763cf/README.md" TargetMode="External"/><Relationship Id="rId24" Type="http://schemas.openxmlformats.org/officeDocument/2006/relationships/hyperlink" Target="https://github.com/pdxvoiceteacher/triadicbrain-open-alpha/actions/runs/39161062220" TargetMode="External"/><Relationship Id="rId2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Triadic Cognitive Systems and Peer to Peer Collaboration</dc:title>
  <dc:subject>Recording script aligned to the existing video slide deck</dc:subject>
  <dc:creator>Echo for Thomas Prislac; AI-assisted recording draft</dc:creator>
  <cp:keywords/>
  <dc:description>generated by python-docx</dc:description>
  <cp:lastModifiedBy/>
  <cp:revision>2</cp:revision>
  <dcterms:created xsi:type="dcterms:W3CDTF">2026-10-10T01:14:25Z</dcterms:created>
  <dcterms:modified xsi:type="dcterms:W3CDTF">2026-10-10T01:38:20Z</dcterms:modified>
  <cp:category/>
  <cp:version>2.0</cp:version>
</cp:coreProperties>
</file>