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(ANB/NOB/EER/VOX/TXGAIN/ANALYZERS)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(dexp/anti-vox/txgain/eer/sidetone/pipe/cmasio/analyzers.c/create_rcvr-body) carried IN PLACE as reference text with DEFERRED tags.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SHIPPED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Sole deferred line: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in ob_main (network.c:1237 = P2 scope), carried as reference text. TU is DORMANT — no Lyra caller of create_obbuffs until P3/P4; wire bytes unchanged.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P2 = sendOutbound/sendProtocol1Samples fidelity audit of the dormant wire layer; P4 = Wire-LIVE switchover (one commit, full HL2 bench gate).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 (folds into P2/P4).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-&gt; wire MOX -&gt; TX-DSP start; keyup TX-DSP off -&gt; mox_delay -&gt; clear MOX -&gt; ptt_out_delay -&gt;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 SHIPPED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DEFERRED to P2)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2026-06-12; dormant/wire-inert — optional operator RX smoke;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sendOutbound / sendProtocol1Samples fidelity audit of the dormant wire layer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netInterface outbound registrations (SendpOutboundTx(OutBound) etc.) — MUST register AFTER create_xmtr (verbatim setters have NO null guards)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Wire-LIVE switchover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commit, full HL2 bench gate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2026-06-12 11:34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