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3b7888b</w:t>
            </w:r>
            <w:r>
              <w:rPr>
                <w:sz w:val="18"/>
              </w:rPr>
              <w:t xml:space="preserve"> (Task #115)</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12e7acc</w:t>
            </w:r>
            <w:r>
              <w:rPr>
                <w:sz w:val="18"/>
              </w:rPr>
              <w:t xml:space="preserve"> (Task #115). 336 LOC DELETED + FSM rewire + Settings UI removed. Operator confirmed amp-safety call: rfDelayMs_ (50 ms default) is now sole hot-switch protection, matching reference.</w:t>
            </w:r>
          </w:p>
        </w:tc>
      </w:tr>
    </w:tbl>
    <w:p/>
    <w:p>
      <w:r>
        <w:rPr>
          <w:b/>
        </w:rPr>
        <w:t>All 5 reverts shipped Step 14 Stage 1.5 (pre-Stage-2 pass).</w:t>
      </w:r>
      <w:r>
        <w:t xml:space="preserve"> The locations originally tagged Stage 5 / Stage 8 below were preemptive — the LIVE production hl2_stream.cpp carried the patches directly, and reverting in-place restores reference parity for the active code path. The clean </w:t>
      </w:r>
      <w:r>
        <w:rPr>
          <w:rFonts w:ascii="Consolas" w:hAnsi="Consolas"/>
          <w:sz w:val="18"/>
        </w:rPr>
        <w:t>src/wire/Ep6RecvThread.cpp</w:t>
      </w:r>
      <w:r>
        <w:t xml:space="preserve"> was already reference-faithful (no §3.9-1 mask, reference-verbatim slot decode) and required no edits.</w:t>
      </w:r>
    </w:p>
    <w:p>
      <w:r>
        <w:rPr>
          <w:b/>
        </w:rPr>
        <w:t>Audit gate status per Rule 27 (2-audit gate):</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Audit #1 (Claude side-by-side parity)</w:t>
            </w:r>
          </w:p>
        </w:tc>
        <w:tc>
          <w:tcPr>
            <w:tcW w:type="dxa" w:w="3408"/>
            <w:shd w:val="clear" w:color="auto" w:fill="D9E1F2"/>
          </w:tcPr>
          <w:p>
            <w:r/>
            <w:r>
              <w:rPr>
                <w:b/>
                <w:sz w:val="18"/>
              </w:rPr>
              <w:t>Audit #2 (operator bench-verify on HL2+)</w:t>
            </w:r>
          </w:p>
        </w:tc>
      </w:tr>
      <w:tr>
        <w:tc>
          <w:tcPr>
            <w:tcW w:type="dxa" w:w="3408"/>
          </w:tcPr>
          <w:p>
            <w:r>
              <w:rPr>
                <w:sz w:val="18"/>
              </w:rPr>
            </w:r>
            <w:r>
              <w:rPr>
                <w:sz w:val="18"/>
              </w:rPr>
              <w:t>§3.9-1</w:t>
            </w:r>
          </w:p>
        </w:tc>
        <w:tc>
          <w:tcPr>
            <w:tcW w:type="dxa" w:w="3408"/>
          </w:tcPr>
          <w:p>
            <w:r>
              <w:rPr>
                <w:sz w:val="18"/>
              </w:rPr>
            </w:r>
            <w:r>
              <w:rPr>
                <w:sz w:val="18"/>
              </w:rPr>
              <w:t xml:space="preserve">✅ PASS (commit </w:t>
            </w:r>
            <w:r>
              <w:rPr>
                <w:rFonts w:ascii="Consolas" w:hAnsi="Consolas"/>
                <w:sz w:val="18"/>
              </w:rPr>
              <w:t>3b7888b</w:t>
            </w:r>
            <w:r>
              <w:rPr>
                <w:sz w:val="18"/>
              </w:rPr>
              <w:t xml:space="preserve"> — file:line cited on both trees in commit message)</w:t>
            </w:r>
          </w:p>
        </w:tc>
        <w:tc>
          <w:tcPr>
            <w:tcW w:type="dxa" w:w="3408"/>
          </w:tcPr>
          <w:p>
            <w:r>
              <w:rPr>
                <w:sz w:val="18"/>
              </w:rPr>
            </w:r>
            <w:r>
              <w:rPr>
                <w:sz w:val="18"/>
              </w:rPr>
              <w:t>⏳ PENDING — operator next-bench run; verify EP6 seq error counter behaves sensibly (may tick once every ~3:27 min on the ak4951v4 20-bit gateware wrap — that is now the correctly-flagged event, not a false alarm)</w:t>
            </w:r>
          </w:p>
        </w:tc>
      </w:tr>
      <w:tr>
        <w:tc>
          <w:tcPr>
            <w:tcW w:type="dxa" w:w="3408"/>
          </w:tcPr>
          <w:p>
            <w:r>
              <w:rPr>
                <w:sz w:val="18"/>
              </w:rPr>
            </w:r>
            <w:r>
              <w:rPr>
                <w:sz w:val="18"/>
              </w:rPr>
              <w:t>§3.9-2</w:t>
            </w:r>
          </w:p>
        </w:tc>
        <w:tc>
          <w:tcPr>
            <w:tcW w:type="dxa" w:w="3408"/>
          </w:tcPr>
          <w:p>
            <w:r>
              <w:rPr>
                <w:sz w:val="18"/>
              </w:rPr>
            </w:r>
            <w:r>
              <w:rPr>
                <w:sz w:val="18"/>
              </w:rPr>
              <w:t xml:space="preserve">✅ PASS (commit </w:t>
            </w:r>
            <w:r>
              <w:rPr>
                <w:rFonts w:ascii="Consolas" w:hAnsi="Consolas"/>
                <w:sz w:val="18"/>
              </w:rPr>
              <w:t>42f66c2</w:t>
            </w:r>
            <w:r>
              <w:rPr>
                <w:sz w:val="18"/>
              </w:rPr>
              <w:t>)</w:t>
            </w:r>
          </w:p>
        </w:tc>
        <w:tc>
          <w:tcPr>
            <w:tcW w:type="dxa" w:w="3408"/>
          </w:tcPr>
          <w:p>
            <w:r>
              <w:rPr>
                <w:sz w:val="18"/>
              </w:rPr>
            </w:r>
            <w:r>
              <w:rPr>
                <w:sz w:val="18"/>
              </w:rPr>
              <w:t xml:space="preserve">⏳ PENDING — verify banner "T" reads </w:t>
            </w:r>
            <w:r>
              <w:rPr>
                <w:rFonts w:ascii="Consolas" w:hAnsi="Consolas"/>
                <w:sz w:val="18"/>
              </w:rPr>
              <w:t>n/a</w:t>
            </w:r>
            <w:r>
              <w:rPr>
                <w:sz w:val="18"/>
              </w:rPr>
              <w:t xml:space="preserve"> (reference has no EP6 temp; HL2 board temp is I2C2, separate future work)</w:t>
            </w:r>
          </w:p>
        </w:tc>
      </w:tr>
      <w:tr>
        <w:tc>
          <w:tcPr>
            <w:tcW w:type="dxa" w:w="3408"/>
          </w:tcPr>
          <w:p>
            <w:r>
              <w:rPr>
                <w:sz w:val="18"/>
              </w:rPr>
            </w:r>
            <w:r>
              <w:rPr>
                <w:sz w:val="18"/>
              </w:rPr>
              <w:t>§3.9-3</w:t>
            </w:r>
          </w:p>
        </w:tc>
        <w:tc>
          <w:tcPr>
            <w:tcW w:type="dxa" w:w="3408"/>
          </w:tcPr>
          <w:p>
            <w:r>
              <w:rPr>
                <w:sz w:val="18"/>
              </w:rPr>
            </w:r>
            <w:r>
              <w:rPr>
                <w:sz w:val="18"/>
              </w:rPr>
              <w:t xml:space="preserve">✅ PASS (commit </w:t>
            </w:r>
            <w:r>
              <w:rPr>
                <w:rFonts w:ascii="Consolas" w:hAnsi="Consolas"/>
                <w:sz w:val="18"/>
              </w:rPr>
              <w:t>42f66c2</w:t>
            </w:r>
            <w:r>
              <w:rPr>
                <w:sz w:val="18"/>
              </w:rPr>
              <w:t>)</w:t>
            </w:r>
          </w:p>
        </w:tc>
        <w:tc>
          <w:tcPr>
            <w:tcW w:type="dxa" w:w="3408"/>
          </w:tcPr>
          <w:p>
            <w:r>
              <w:rPr>
                <w:sz w:val="18"/>
              </w:rPr>
            </w:r>
            <w:r>
              <w:rPr>
                <w:sz w:val="18"/>
              </w:rPr>
              <w:t>⏳ PENDING — verify banner "V" + new "PA Volts" Q_PROPERTY behave sensibly on ak4951v4 (may need scale calibration if gateware returns different raw values from generic HL2)</w:t>
            </w:r>
          </w:p>
        </w:tc>
      </w:tr>
      <w:tr>
        <w:tc>
          <w:tcPr>
            <w:tcW w:type="dxa" w:w="3408"/>
          </w:tcPr>
          <w:p>
            <w:r>
              <w:rPr>
                <w:sz w:val="18"/>
              </w:rPr>
            </w:r>
            <w:r>
              <w:rPr>
                <w:sz w:val="18"/>
              </w:rPr>
              <w:t>§3.9-4</w:t>
            </w:r>
          </w:p>
        </w:tc>
        <w:tc>
          <w:tcPr>
            <w:tcW w:type="dxa" w:w="3408"/>
          </w:tcPr>
          <w:p>
            <w:r>
              <w:rPr>
                <w:sz w:val="18"/>
              </w:rPr>
            </w:r>
            <w:r>
              <w:rPr>
                <w:sz w:val="18"/>
              </w:rPr>
              <w:t xml:space="preserve">✅ PASS (commit </w:t>
            </w:r>
            <w:r>
              <w:rPr>
                <w:rFonts w:ascii="Consolas" w:hAnsi="Consolas"/>
                <w:sz w:val="18"/>
              </w:rPr>
              <w:t>42f66c2</w:t>
            </w:r>
            <w:r>
              <w:rPr>
                <w:sz w:val="18"/>
              </w:rPr>
              <w:t>)</w:t>
            </w:r>
          </w:p>
        </w:tc>
        <w:tc>
          <w:tcPr>
            <w:tcW w:type="dxa" w:w="3408"/>
          </w:tcPr>
          <w:p>
            <w:r>
              <w:rPr>
                <w:sz w:val="18"/>
              </w:rPr>
            </w:r>
            <w:r>
              <w:rPr>
                <w:sz w:val="18"/>
              </w:rPr>
              <w:t>⏳ PENDING — verify banner "PA" (now reading slot 0x18 C1:C2 = user_adc1 per reference) reads correctly at full tune (~1.8 A reference anchor)</w:t>
            </w:r>
          </w:p>
        </w:tc>
      </w:tr>
      <w:tr>
        <w:tc>
          <w:tcPr>
            <w:tcW w:type="dxa" w:w="3408"/>
          </w:tcPr>
          <w:p>
            <w:r>
              <w:rPr>
                <w:sz w:val="18"/>
              </w:rPr>
            </w:r>
            <w:r>
              <w:rPr>
                <w:sz w:val="18"/>
              </w:rPr>
              <w:t>§3.9-5</w:t>
            </w:r>
          </w:p>
        </w:tc>
        <w:tc>
          <w:tcPr>
            <w:tcW w:type="dxa" w:w="3408"/>
          </w:tcPr>
          <w:p>
            <w:r>
              <w:rPr>
                <w:sz w:val="18"/>
              </w:rPr>
            </w:r>
            <w:r>
              <w:rPr>
                <w:sz w:val="18"/>
              </w:rPr>
              <w:t xml:space="preserve">✅ PASS (commit </w:t>
            </w:r>
            <w:r>
              <w:rPr>
                <w:rFonts w:ascii="Consolas" w:hAnsi="Consolas"/>
                <w:sz w:val="18"/>
              </w:rPr>
              <w:t>12e7acc</w:t>
            </w:r>
            <w:r>
              <w:rPr>
                <w:sz w:val="18"/>
              </w:rPr>
              <w:t>)</w:t>
            </w:r>
          </w:p>
        </w:tc>
        <w:tc>
          <w:tcPr>
            <w:tcW w:type="dxa" w:w="3408"/>
          </w:tcPr>
          <w:p>
            <w:r>
              <w:rPr>
                <w:sz w:val="18"/>
              </w:rPr>
            </w:r>
            <w:r>
              <w:rPr>
                <w:sz w:val="18"/>
              </w:rPr>
              <w:t>⏳ PENDING — verify SSB TX keydown/keyup acoustic behavior; rfDelayMs_ alone is sole hot-switch protection going forward (matches reference)</w:t>
            </w:r>
          </w:p>
        </w:tc>
      </w:tr>
    </w:tbl>
    <w:p/>
    <w:p>
      <w:r>
        <w:t>Per Rule 27 the §3.9-N checkboxes are NOT considered "complete" until both audits pass.  Any FAIL on Audit #2 is a Rule 18 STOP-AND-ASK — surface to operator before any in-place fix.  This file gets updated with "✅ SIGNED {YYYY-MM-DD}" rows when the operator bench-confirms each item.</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landed</w:t>
            </w:r>
          </w:p>
        </w:tc>
        <w:tc>
          <w:tcPr>
            <w:tcW w:type="dxa" w:w="3408"/>
            <w:shd w:val="clear" w:color="auto" w:fill="D9E1F2"/>
          </w:tcPr>
          <w:p>
            <w:r/>
            <w:r>
              <w:rPr>
                <w:b/>
                <w:sz w:val="18"/>
              </w:rPr>
              <w:t>Reference cite</w:t>
            </w:r>
          </w:p>
        </w:tc>
      </w:tr>
      <w:tr>
        <w:tc>
          <w:tcPr>
            <w:tcW w:type="dxa" w:w="3408"/>
          </w:tcPr>
          <w:p>
            <w:r>
              <w:rPr>
                <w:sz w:val="18"/>
              </w:rPr>
            </w:r>
            <w:r>
              <w:rPr>
                <w:sz w:val="18"/>
              </w:rPr>
              <w:t>§3.9-1</w:t>
            </w:r>
          </w:p>
        </w:tc>
        <w:tc>
          <w:tcPr>
            <w:tcW w:type="dxa" w:w="3408"/>
          </w:tcPr>
          <w:p>
            <w:r>
              <w:rPr>
                <w:sz w:val="18"/>
              </w:rPr>
            </w:r>
            <w:r>
              <w:rPr>
                <w:rFonts w:ascii="Consolas" w:hAnsi="Consolas"/>
                <w:sz w:val="18"/>
              </w:rPr>
              <w:t>hl2_stream.cpp</w:t>
            </w:r>
            <w:r>
              <w:rPr>
                <w:sz w:val="18"/>
              </w:rPr>
              <w:t xml:space="preserve"> — </w:t>
            </w:r>
            <w:r>
              <w:rPr>
                <w:rFonts w:ascii="Consolas" w:hAnsi="Consolas"/>
                <w:sz w:val="18"/>
              </w:rPr>
              <w:t>expectedSeq = seq + 1</w:t>
            </w:r>
            <w:r>
              <w:rPr>
                <w:sz w:val="18"/>
              </w:rPr>
              <w:t xml:space="preserve"> (no mask)</w:t>
            </w:r>
          </w:p>
        </w:tc>
        <w:tc>
          <w:tcPr>
            <w:tcW w:type="dxa" w:w="3408"/>
          </w:tcPr>
          <w:p>
            <w:r>
              <w:rPr>
                <w:sz w:val="18"/>
              </w:rPr>
            </w:r>
            <w:r>
              <w:rPr>
                <w:rFonts w:ascii="Consolas" w:hAnsi="Consolas"/>
                <w:sz w:val="18"/>
              </w:rPr>
              <w:t>networkproto1.c:191-194</w:t>
            </w:r>
            <w:r>
              <w:rPr>
                <w:sz w:val="18"/>
              </w:rPr>
              <w:t xml:space="preserve"> MetisReadDirect</w:t>
            </w:r>
          </w:p>
        </w:tc>
      </w:tr>
      <w:tr>
        <w:tc>
          <w:tcPr>
            <w:tcW w:type="dxa" w:w="3408"/>
          </w:tcPr>
          <w:p>
            <w:r>
              <w:rPr>
                <w:sz w:val="18"/>
              </w:rPr>
            </w:r>
            <w:r>
              <w:rPr>
                <w:sz w:val="18"/>
              </w:rPr>
              <w:t>§3.9-2 / §3.9-3 / §3.9-4</w:t>
            </w:r>
          </w:p>
        </w:tc>
        <w:tc>
          <w:tcPr>
            <w:tcW w:type="dxa" w:w="3408"/>
          </w:tcPr>
          <w:p>
            <w:r>
              <w:rPr>
                <w:sz w:val="18"/>
              </w:rPr>
            </w:r>
            <w:r>
              <w:rPr>
                <w:rFonts w:ascii="Consolas" w:hAnsi="Consolas"/>
                <w:sz w:val="18"/>
              </w:rPr>
              <w:t>hl2_stream.cpp</w:t>
            </w:r>
            <w:r>
              <w:rPr>
                <w:sz w:val="18"/>
              </w:rPr>
              <w:t xml:space="preserve"> slot decode + </w:t>
            </w:r>
            <w:r>
              <w:rPr>
                <w:rFonts w:ascii="Consolas" w:hAnsi="Consolas"/>
                <w:sz w:val="18"/>
              </w:rPr>
              <w:t>hl2_stream.h</w:t>
            </w:r>
            <w:r>
              <w:rPr>
                <w:sz w:val="18"/>
              </w:rPr>
              <w:t xml:space="preserve"> atomics; </w:t>
            </w:r>
            <w:r>
              <w:rPr>
                <w:rFonts w:ascii="Consolas" w:hAnsi="Consolas"/>
                <w:sz w:val="18"/>
              </w:rPr>
              <w:t>hl2TempC()</w:t>
            </w:r>
            <w:r>
              <w:rPr>
                <w:sz w:val="18"/>
              </w:rPr>
              <w:t xml:space="preserve"> returns NaN (HL2 board temp is I2C2, separate work item)</w:t>
            </w:r>
          </w:p>
        </w:tc>
        <w:tc>
          <w:tcPr>
            <w:tcW w:type="dxa" w:w="3408"/>
          </w:tcPr>
          <w:p>
            <w:r>
              <w:rPr>
                <w:sz w:val="18"/>
              </w:rPr>
            </w:r>
            <w:r>
              <w:rPr>
                <w:rFonts w:ascii="Consolas" w:hAnsi="Consolas"/>
                <w:sz w:val="18"/>
              </w:rPr>
              <w:t>networkproto1.c:498-525</w:t>
            </w:r>
            <w:r>
              <w:rPr>
                <w:sz w:val="18"/>
              </w:rPr>
              <w:t xml:space="preserve"> HL2 read loop</w:t>
            </w:r>
          </w:p>
        </w:tc>
      </w:tr>
      <w:tr>
        <w:tc>
          <w:tcPr>
            <w:tcW w:type="dxa" w:w="3408"/>
          </w:tcPr>
          <w:p>
            <w:r>
              <w:rPr>
                <w:sz w:val="18"/>
              </w:rPr>
            </w:r>
            <w:r>
              <w:rPr>
                <w:sz w:val="18"/>
              </w:rPr>
              <w:t>§3.9-5</w:t>
            </w:r>
          </w:p>
        </w:tc>
        <w:tc>
          <w:tcPr>
            <w:tcW w:type="dxa" w:w="3408"/>
          </w:tcPr>
          <w:p>
            <w:r>
              <w:rPr>
                <w:sz w:val="18"/>
              </w:rPr>
            </w:r>
            <w:r>
              <w:rPr>
                <w:rFonts w:ascii="Consolas" w:hAnsi="Consolas"/>
                <w:sz w:val="18"/>
              </w:rPr>
              <w:t>src/mox_edge_fade.{cpp,h}</w:t>
            </w:r>
            <w:r>
              <w:rPr>
                <w:sz w:val="18"/>
              </w:rPr>
              <w:t xml:space="preserve"> DELETED; </w:t>
            </w:r>
            <w:r>
              <w:rPr>
                <w:rFonts w:ascii="Consolas" w:hAnsi="Consolas"/>
                <w:sz w:val="18"/>
              </w:rPr>
              <w:t>hl2_stream.cpp</w:t>
            </w:r>
            <w:r>
              <w:rPr>
                <w:sz w:val="18"/>
              </w:rPr>
              <w:t xml:space="preserve"> FSM </w:t>
            </w:r>
            <w:r>
              <w:rPr>
                <w:rFonts w:ascii="Consolas" w:hAnsi="Consolas"/>
                <w:sz w:val="18"/>
              </w:rPr>
              <w:t>fsmKeyupTxOff()</w:t>
            </w:r>
            <w:r>
              <w:rPr>
                <w:sz w:val="18"/>
              </w:rPr>
              <w:t xml:space="preserve"> reference-faithful keyup; EP2 packer emits raw TX I/Q</w:t>
            </w:r>
          </w:p>
        </w:tc>
        <w:tc>
          <w:tcPr>
            <w:tcW w:type="dxa" w:w="3408"/>
          </w:tcPr>
          <w:p>
            <w:r>
              <w:rPr>
                <w:sz w:val="18"/>
              </w:rPr>
            </w:r>
            <w:r>
              <w:rPr>
                <w:rFonts w:ascii="Consolas" w:hAnsi="Consolas"/>
                <w:sz w:val="18"/>
              </w:rPr>
              <w:t>wdsp/TXA.c:819-824</w:t>
            </w:r>
            <w:r>
              <w:rPr>
                <w:sz w:val="18"/>
              </w:rPr>
              <w:t xml:space="preserve"> </w:t>
            </w:r>
            <w:r>
              <w:rPr>
                <w:rFonts w:ascii="Consolas" w:hAnsi="Consolas"/>
                <w:sz w:val="18"/>
              </w:rPr>
              <w:t>TXAUslewCheck</w:t>
            </w:r>
            <w:r>
              <w:rPr>
                <w:sz w:val="18"/>
              </w:rPr>
              <w:t xml:space="preserve"> returns 0 for SSB</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2026-06-07 11:49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