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⚠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→ operator HL2 bench →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→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STATUS REGISTRY — what's done, in-progress, pending</w:t>
      </w:r>
    </w:p>
    <w:p>
      <w:r>
        <w:t>Format: per-file or per-component row.  Status emoji:</w:t>
      </w:r>
    </w:p>
    <w:p>
      <w:pPr>
        <w:pStyle w:val="ListBullet"/>
        <w:ind w:left="360"/>
      </w:pPr>
      <w:r>
        <w:t>✅ DONE + operator-bench-validated</w:t>
      </w:r>
    </w:p>
    <w:p>
      <w:pPr>
        <w:pStyle w:val="ListBullet"/>
        <w:ind w:left="360"/>
      </w:pPr>
      <w:r>
        <w:t>🟡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⏸ PENDING (planned, not started)</w:t>
      </w:r>
    </w:p>
    <w:p>
      <w:pPr>
        <w:pStyle w:val="ListBullet"/>
        <w:ind w:left="360"/>
      </w:pPr>
      <w:r>
        <w:t>🟫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→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(ANB/NOB/EER/VOX/TXGAIN/ANALYZERS)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✅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→ chid(0,0)=0 RX1 / chid(1,0)=1 TX matches the live channel layout. ✅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(dexp/anti-vox/txgain/eer/sidetone/pipe/cmasio/analyzers.c/create_rcvr-body) carried IN PLACE as reference text with DEFERRED tags.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✅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→ static member fn + TU-scope context ptr (the reference free-fn+global shape). ✅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→ wire MOX → TX-DSP start; keyup TX-DSP off → mox_delay → clear MOX → ptt_out_delay →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📅 STAGE INDEX — ordered work plan</w:t>
      </w:r>
    </w:p>
    <w:p>
      <w:pPr>
        <w:pStyle w:val="Heading3"/>
      </w:pPr>
      <w:r>
        <w:t>P0 verbatim-rewrite arc (2026-06-09 →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→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→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✅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→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✅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→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sendOutbound / sendProtocol1Samples fidelity audit of the dormant wire layer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P0→P4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🎯 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(✅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→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→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→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→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→ static fn + TU-scope context ptr. ✅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✅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→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→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▶ 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11:24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