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01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Tóm tắt slide dự án final_ddm501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Production-style MLOps for Server Log Anomaly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408844"/>
            <wp:docPr id="1" name="Picture 1" descr="Logo FPT School of Business &amp; Technology" title="FP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4843ba4-f41c-4730-8ec4-0e9d5b1793b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088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100" w:type="dxa"/>
          <w:bottom w:w="100" w:type="dxa"/>
          <w:start w:w="140" w:type="dxa"/>
          <w:end w:w="140" w:type="dxa"/>
        </w:tblCellMar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EAF4FF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Model</w:t>
              <w:br/>
            </w:r>
            <w:r>
              <w:rPr>
                <w:rFonts w:ascii="Calibri" w:hAnsi="Calibri" w:eastAsia="Calibri"/>
                <w:b/>
                <w:color w:val="0072BC"/>
                <w:sz w:val="36"/>
              </w:rPr>
              <w:t>Isolation Forest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Anomaly detection</w:t>
            </w:r>
          </w:p>
        </w:tc>
        <w:tc>
          <w:tcPr>
            <w:tcW w:type="dxa" w:w="3600"/>
            <w:vAlign w:val="center"/>
            <w:shd w:fill="EAF8EF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Evidence</w:t>
              <w:br/>
            </w:r>
            <w:r>
              <w:rPr>
                <w:rFonts w:ascii="Calibri" w:hAnsi="Calibri" w:eastAsia="Calibri"/>
                <w:b/>
                <w:color w:val="00A651"/>
                <w:sz w:val="36"/>
              </w:rPr>
              <w:t>400 requests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Production audit</w:t>
            </w:r>
          </w:p>
        </w:tc>
        <w:tc>
          <w:tcPr>
            <w:tcW w:type="dxa" w:w="3600"/>
            <w:vAlign w:val="center"/>
            <w:shd w:fill="FFF3EA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Runtime</w:t>
              <w:br/>
            </w:r>
            <w:r>
              <w:rPr>
                <w:rFonts w:ascii="Calibri" w:hAnsi="Calibri" w:eastAsia="Calibri"/>
                <w:b/>
                <w:color w:val="F37021"/>
                <w:sz w:val="36"/>
              </w:rPr>
              <w:t>0.05s p95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FastAPI latency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CI/CD</w:t>
              <w:br/>
            </w:r>
            <w:r>
              <w:rPr>
                <w:rFonts w:ascii="Calibri" w:hAnsi="Calibri" w:eastAsia="Calibri"/>
                <w:b/>
                <w:color w:val="0B2545"/>
                <w:sz w:val="36"/>
              </w:rPr>
              <w:t>Quality gates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Tests, build, scan</w:t>
            </w:r>
          </w:p>
        </w:tc>
      </w:tr>
    </w:tbl>
    <w:p/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4320"/>
        <w:gridCol w:w="10080"/>
      </w:tblGrid>
      <w:tr>
        <w:trPr>
          <w:tblHeader w:val="true"/>
        </w:trPr>
        <w:tc>
          <w:tcPr>
            <w:tcW w:type="dxa" w:w="4320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Thành viên</w:t>
            </w:r>
          </w:p>
        </w:tc>
        <w:tc>
          <w:tcPr>
            <w:tcW w:type="dxa" w:w="10080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Vai trò chính trong báo cáo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Mai Văn An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Project Lead và kiến trúc MLOps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Nguyễn Thanh Bình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API serving, security, runtime validation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Phạm Đình Hoàng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Model training, evaluation, explainability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Nguyễn Tuấn Dũng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  <w:t>Observability, CI/CD, documentation</w:t>
            </w:r>
          </w:p>
        </w:tc>
      </w:tr>
    </w:tbl>
    <w:p>
      <w:pPr>
        <w:jc w:val="center"/>
      </w:pPr>
      <w:r>
        <w:rPr>
          <w:rFonts w:ascii="Calibri" w:hAnsi="Calibri" w:eastAsia="Calibri"/>
          <w:i/>
          <w:color w:val="667085"/>
          <w:sz w:val="19"/>
        </w:rPr>
        <w:t>Thời điểm thu thập evidence: 2026-07-01T20:52:31+07:00</w:t>
      </w:r>
    </w:p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02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Mục tiêu và thông điệp chính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Dự án không chỉ train model, mà đóng gói thành một stack MLOps có thể vận hành và quan sát.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100" w:type="dxa"/>
          <w:bottom w:w="100" w:type="dxa"/>
          <w:start w:w="140" w:type="dxa"/>
          <w:end w:w="140" w:type="dxa"/>
        </w:tblCellMar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center"/>
            <w:shd w:fill="EAF4FF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Precision</w:t>
              <w:br/>
            </w:r>
            <w:r>
              <w:rPr>
                <w:rFonts w:ascii="Calibri" w:hAnsi="Calibri" w:eastAsia="Calibri"/>
                <w:b/>
                <w:color w:val="0072BC"/>
                <w:sz w:val="36"/>
              </w:rPr>
              <w:t>97.37%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Model quality</w:t>
            </w:r>
          </w:p>
        </w:tc>
        <w:tc>
          <w:tcPr>
            <w:tcW w:type="dxa" w:w="3600"/>
            <w:vAlign w:val="center"/>
            <w:shd w:fill="EAF8EF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Recall</w:t>
              <w:br/>
            </w:r>
            <w:r>
              <w:rPr>
                <w:rFonts w:ascii="Calibri" w:hAnsi="Calibri" w:eastAsia="Calibri"/>
                <w:b/>
                <w:color w:val="00A651"/>
                <w:sz w:val="36"/>
              </w:rPr>
              <w:t>97.37%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Anomaly captured</w:t>
            </w:r>
          </w:p>
        </w:tc>
        <w:tc>
          <w:tcPr>
            <w:tcW w:type="dxa" w:w="3600"/>
            <w:vAlign w:val="center"/>
            <w:shd w:fill="FFF3EA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F1-score</w:t>
              <w:br/>
            </w:r>
            <w:r>
              <w:rPr>
                <w:rFonts w:ascii="Calibri" w:hAnsi="Calibri" w:eastAsia="Calibri"/>
                <w:b/>
                <w:color w:val="F37021"/>
                <w:sz w:val="36"/>
              </w:rPr>
              <w:t>97.37%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Balanced metric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111827"/>
                <w:sz w:val="20"/>
              </w:rPr>
            </w:r>
            <w:r>
              <w:rPr>
                <w:rFonts w:ascii="Calibri" w:hAnsi="Calibri" w:eastAsia="Calibri"/>
                <w:b/>
                <w:color w:val="667085"/>
                <w:sz w:val="18"/>
              </w:rPr>
              <w:t>Requests</w:t>
              <w:br/>
            </w:r>
            <w:r>
              <w:rPr>
                <w:rFonts w:ascii="Calibri" w:hAnsi="Calibri" w:eastAsia="Calibri"/>
                <w:b/>
                <w:color w:val="0B2545"/>
                <w:sz w:val="36"/>
              </w:rPr>
              <w:t>400</w:t>
              <w:br/>
            </w:r>
            <w:r>
              <w:rPr>
                <w:rFonts w:ascii="Calibri" w:hAnsi="Calibri" w:eastAsia="Calibri"/>
                <w:color w:val="667085"/>
                <w:sz w:val="16"/>
              </w:rPr>
              <w:t>Audit evidence</w:t>
            </w:r>
          </w:p>
        </w:tc>
      </w:tr>
    </w:tbl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2"/>
        </w:rPr>
        <w:t>Xây dựng hệ thống phát hiện anomaly trên server metrics: CPU, memory, request count, error rate, latency.</w:t>
      </w:r>
    </w:p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2"/>
        </w:rPr>
        <w:t>Bao phủ vòng đời MLOps: data validation, feature engineering, model registry, serving, audit log, monitoring, alert, retraining.</w:t>
      </w:r>
    </w:p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2"/>
        </w:rPr>
        <w:t>Không triển khai concept drift có label vì production chưa có ground-truth; thay vào đó theo dõi data drift và prediction distribution drift.</w:t>
      </w:r>
    </w:p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2"/>
        </w:rPr>
        <w:t>Điểm mạnh khi thuyết trình: có evidence thật từ FastAPI, PostgreSQL, Prometheus/Grafana, MLflow, Airflow và GitHub Actions.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315200" cy="3098202"/>
            <wp:docPr id="2" name="Picture 2" descr="Hình 1. Bảng số liệu chính từ evidence." title="kpi_v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Calibri"/>
          <w:i/>
          <w:color w:val="667085"/>
          <w:sz w:val="15"/>
        </w:rPr>
        <w:t>Hình 1. Bảng số liệu chính từ evidence.</w:t>
      </w:r>
    </w:p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03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Kiến trúc MLOps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Mũi tên màu cam là luồng feedback retraining, đã được vẽ vòng ngoài để không đè lên các component.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680960" cy="4066391"/>
            <wp:docPr id="3" name="Picture 3" descr="Hình 2. Luồng kiến trúc MLOps đã chỉnh mũi tên feedback." title="architecture_vi_fix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i_f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Calibri"/>
          <w:i/>
          <w:color w:val="667085"/>
          <w:sz w:val="15"/>
        </w:rPr>
        <w:t>Hình 2. Luồng kiến trúc MLOps đã chỉnh mũi tên feedback.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2880"/>
        <w:gridCol w:w="4320"/>
        <w:gridCol w:w="7200"/>
      </w:tblGrid>
      <w:tr>
        <w:trPr>
          <w:tblHeader w:val="true"/>
        </w:trPr>
        <w:tc>
          <w:tcPr>
            <w:tcW w:type="dxa" w:w="288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Nhóm</w:t>
            </w:r>
          </w:p>
        </w:tc>
        <w:tc>
          <w:tcPr>
            <w:tcW w:type="dxa" w:w="432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Thành phần</w:t>
            </w:r>
          </w:p>
        </w:tc>
        <w:tc>
          <w:tcPr>
            <w:tcW w:type="dxa" w:w="720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Ý nghĩa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Lifecycle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Airflow + MLflow + registry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Training, tracking, artifacts và production version.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Serving &amp; audit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FastAPI + PostgreSQL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Inference endpoint, API key, prediction log và request_id.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Monitoring &amp; retraining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Prometheus/Grafana + Alertmanager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Giám sát latency, anomaly rate, drift score và kích hoạt retraining.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04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Kết quả model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Model Isolation Forest đạt kết quả mạnh trên bộ validation/evidence của demo.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2880"/>
        <w:gridCol w:w="2160"/>
        <w:gridCol w:w="9360"/>
      </w:tblGrid>
      <w:tr>
        <w:trPr>
          <w:tblHeader w:val="true"/>
        </w:trP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Chỉ số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Giá trị</w:t>
            </w:r>
          </w:p>
        </w:tc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Diễn giải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Precision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0.973684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Tỷ lệ dự đoán anomaly đúng cao.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Recall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0.973684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Tỷ lệ anomaly được bắt được cao.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F1-score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0.973684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Cân bằng tốt giữa precision và recall.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False positive rate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0.001466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Tỷ lệ báo nhầm thấp trong validation evidence.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Training rows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720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Số dòng dữ liệu sau validation.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Production model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v2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FastAPI load model từ local registry.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 descr="Hình 3. MLflow experiment evidence cho model tracking." title="mlflow_experi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experi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Calibri"/>
          <w:i/>
          <w:color w:val="667085"/>
          <w:sz w:val="15"/>
        </w:rPr>
        <w:t>Hình 3. MLflow experiment evidence cho model tracking.</w:t>
      </w:r>
    </w:p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05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Production runtime và load test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Serving path có audit log, metric quan sát và smoke load test không ghi nhận failure.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4608"/>
        <w:gridCol w:w="2880"/>
        <w:gridCol w:w="6912"/>
      </w:tblGrid>
      <w:tr>
        <w:trPr>
          <w:tblHeader w:val="true"/>
        </w:trPr>
        <w:tc>
          <w:tcPr>
            <w:tcW w:type="dxa" w:w="4608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Runtime metric</w:t>
            </w:r>
          </w:p>
        </w:tc>
        <w:tc>
          <w:tcPr>
            <w:tcW w:type="dxa" w:w="2880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Giá trị</w:t>
            </w:r>
          </w:p>
        </w:tc>
        <w:tc>
          <w:tcPr>
            <w:tcW w:type="dxa" w:w="6912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Nguồn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Production requests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PostgreSQL prediction_logs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Production anomalies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108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PostgreSQL prediction_logs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Rolling anomaly 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0.375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Prometheus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API p95 latency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0.05s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Prometheus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API error count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Prometheus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Load-test RPS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7.20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Locust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Load-test p95 / p99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210 ms / 360 ms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Locust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Load-test failure 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Locust CSV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descr="Hình 4. Grafana dashboard theo dõi serving và model telemetry." title="grafana_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Calibri"/>
          <w:i/>
          <w:color w:val="667085"/>
          <w:sz w:val="15"/>
        </w:rPr>
        <w:t>Hình 4. Grafana dashboard theo dõi serving và model telemetry.</w:t>
      </w:r>
    </w:p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06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Observability và demo UI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Dự án có đủ bề mặt quan sát để chứng minh khả năng vận hành.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20" w:type="dxa"/>
          <w:bottom w:w="20" w:type="dxa"/>
          <w:start w:w="80" w:type="dxa"/>
          <w:end w:w="80" w:type="dxa"/>
        </w:tblCellMar>
      </w:tblPr>
      <w:tblGrid>
        <w:gridCol w:w="7200"/>
        <w:gridCol w:w="7200"/>
      </w:tblGrid>
      <w:tr>
        <w:trPr>
          <w:tblHeader w:val="true"/>
        </w:trPr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60520" cy="2340292"/>
                  <wp:docPr id="6" name="Picture 6" descr="Hình 5. Streamlit dashboard cho demo input và production predictions." title="streamlit_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amlit_dash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2340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4"/>
              </w:rPr>
              <w:t>Hình 5. Streamlit dashboard cho demo input và production predictions.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60520" cy="3834914"/>
                  <wp:docPr id="7" name="Picture 7" descr="Hình 6. FastAPI docs cho các endpoint phục vụ inference và vận hành." title="fastapi_doc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stapi_doc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834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4"/>
              </w:rPr>
              <w:t>Hình 6. FastAPI docs cho các endpoint phục vụ inference và vận hành.</w:t>
            </w:r>
          </w:p>
        </w:tc>
      </w:tr>
    </w:tbl>
    <w:tbl>
      <w:tblPr>
        <w:tblW w:type="dxa" w:w="14399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3311"/>
        <w:gridCol w:w="11088"/>
      </w:tblGrid>
      <w:tr>
        <w:trPr>
          <w:tblHeader w:val="true"/>
        </w:trPr>
        <w:tc>
          <w:tcPr>
            <w:tcW w:type="dxa" w:w="331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Thành phần</w:t>
            </w:r>
          </w:p>
        </w:tc>
        <w:tc>
          <w:tcPr>
            <w:tcW w:type="dxa" w:w="11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Vai trò trong observability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Prometheus</w:t>
            </w:r>
          </w:p>
        </w:tc>
        <w:tc>
          <w:tcPr>
            <w:tcW w:type="dxa" w:w="11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Scrape metrics từ FastAPI: request count, error count, latency, anomaly rate, drift score.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Grafana</w:t>
            </w:r>
          </w:p>
        </w:tc>
        <w:tc>
          <w:tcPr>
            <w:tcW w:type="dxa" w:w="11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Dashboard hóa request rate, p95 latency, anomaly rate, prediction count, latest drift score.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Alertmanager</w:t>
            </w:r>
          </w:p>
        </w:tc>
        <w:tc>
          <w:tcPr>
            <w:tcW w:type="dxa" w:w="11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Routing cảnh báo DataDriftDetected và HighAnomalyRate sang bridge.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07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Explainability và fairness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Giải thích dự đoán bằng SHAP và kiểm tra chênh lệch anomaly rate theo server_id.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20" w:type="dxa"/>
          <w:bottom w:w="20" w:type="dxa"/>
          <w:start w:w="80" w:type="dxa"/>
          <w:end w:w="80" w:type="dxa"/>
        </w:tblCellMar>
      </w:tblPr>
      <w:tblGrid>
        <w:gridCol w:w="7200"/>
        <w:gridCol w:w="7200"/>
      </w:tblGrid>
      <w:tr>
        <w:trPr>
          <w:tblHeader w:val="true"/>
        </w:trPr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89120" cy="2029968"/>
                  <wp:docPr id="8" name="Picture 8" descr="Hình 7. Top feature impacts làm tăng rủi ro anomaly." title="feature_v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vi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4"/>
              </w:rPr>
              <w:t>Hình 7. Top feature impacts làm tăng rủi ro anomaly.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89120" cy="1920240"/>
                  <wp:docPr id="9" name="Picture 9" descr="Hình 8. Fairness vận hành theo server_id." title="fairness_v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rness_v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4"/>
              </w:rPr>
              <w:t>Hình 8. Fairness vận hành theo server_id.</w:t>
            </w:r>
          </w:p>
        </w:tc>
      </w:tr>
    </w:tbl>
    <w:tbl>
      <w:tblPr>
        <w:tblW w:type="dxa" w:w="14398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3311"/>
        <w:gridCol w:w="2448"/>
        <w:gridCol w:w="4031"/>
        <w:gridCol w:w="4608"/>
      </w:tblGrid>
      <w:tr>
        <w:trPr>
          <w:tblHeader w:val="true"/>
        </w:trPr>
        <w:tc>
          <w:tcPr>
            <w:tcW w:type="dxa" w:w="3311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Group</w:t>
            </w:r>
          </w:p>
        </w:tc>
        <w:tc>
          <w:tcPr>
            <w:tcW w:type="dxa" w:w="2448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Requests</w:t>
            </w:r>
          </w:p>
        </w:tc>
        <w:tc>
          <w:tcPr>
            <w:tcW w:type="dxa" w:w="4031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Anomaly rate</w:t>
            </w:r>
          </w:p>
        </w:tc>
        <w:tc>
          <w:tcPr>
            <w:tcW w:type="dxa" w:w="4608"/>
            <w:vAlign w:val="center"/>
            <w:shd w:fill="FFF3E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High-risk rate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srv-01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87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0.298851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srv-02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47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srv-03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26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1.000000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srv-load-01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184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srv-load-02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56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1.000000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5"/>
              </w:rPr>
              <w:t>0.000000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 w:eastAsia="Calibri"/>
          <w:b/>
          <w:color w:val="F37021"/>
          <w:sz w:val="18"/>
        </w:rPr>
        <w:t>SLIDE 08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48"/>
        </w:rPr>
        <w:t>Retraining, CI/CD và kết luận</w:t>
      </w:r>
    </w:p>
    <w:p>
      <w:pPr>
        <w:spacing w:after="160"/>
      </w:pPr>
      <w:r>
        <w:rPr>
          <w:rFonts w:ascii="Calibri" w:hAnsi="Calibri" w:eastAsia="Calibri"/>
          <w:color w:val="667085"/>
          <w:sz w:val="23"/>
        </w:rPr>
        <w:t>Stack có đường dẫn từ drift/alert đến retraining, cộng với quality gates trong GitHub Actions.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bottom w:w="80" w:type="dxa"/>
          <w:start w:w="110" w:type="dxa"/>
          <w:end w:w="110" w:type="dxa"/>
        </w:tblCellMar>
      </w:tblPr>
      <w:tblGrid>
        <w:gridCol w:w="4320"/>
        <w:gridCol w:w="4320"/>
        <w:gridCol w:w="5760"/>
      </w:tblGrid>
      <w:tr>
        <w:trPr>
          <w:tblHeader w:val="true"/>
        </w:trPr>
        <w:tc>
          <w:tcPr>
            <w:tcW w:type="dxa" w:w="432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Kiểm tra</w:t>
            </w:r>
          </w:p>
        </w:tc>
        <w:tc>
          <w:tcPr>
            <w:tcW w:type="dxa" w:w="432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Giá trị</w:t>
            </w:r>
          </w:p>
        </w:tc>
        <w:tc>
          <w:tcPr>
            <w:tcW w:type="dxa" w:w="5760"/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Nguồn/Ghi chú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drift detected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True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FastAPI /drift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Prediction drift detected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False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FastAPI /drift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Max data drift score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9.232209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FastAPI /drift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Retraining triggered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False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drift above threshold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Active alerts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DataDriftDetected, HighAnomalyRate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Prometheus ALERTS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350680"/>
            <wp:docPr id="10" name="Picture 10" descr="Hình 9. Airflow retraining DAG." title="airflow_retraining_da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retraining_da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5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Calibri"/>
          <w:i/>
          <w:color w:val="667085"/>
          <w:sz w:val="15"/>
        </w:rPr>
        <w:t>Hình 9. Airflow retraining DAG.</w:t>
      </w:r>
    </w:p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0"/>
        </w:rPr>
        <w:t>Kết luận: đây là demo MLOps production-style hoàn chỉnh, có model, API, audit, monitoring, alert và CI/CD.</w:t>
      </w:r>
    </w:p>
    <w:p>
      <w:pPr>
        <w:pStyle w:val="ListBullet"/>
        <w:spacing w:after="60"/>
        <w:ind w:left="403" w:hanging="230"/>
      </w:pPr>
      <w:r>
        <w:rPr>
          <w:rFonts w:ascii="Calibri" w:hAnsi="Calibri" w:eastAsia="Calibri"/>
          <w:sz w:val="20"/>
        </w:rPr>
        <w:t>Bước tiếp theo: harden secrets, lưu persistent artifacts/registry, thêm ground-truth production labels và load test lớn hơn.</w:t>
      </w:r>
    </w:p>
    <w:sectPr w:rsidR="00FC693F" w:rsidRPr="0006063C" w:rsidSect="00034616">
      <w:footerReference w:type="default" r:id="rId9"/>
      <w:pgSz w:w="15840" w:h="12240" w:orient="landscape"/>
      <w:pgMar w:top="648" w:right="720" w:bottom="605" w:left="720" w:header="36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67085"/>
        <w:sz w:val="17"/>
      </w:rPr>
      <w:t>Slide summary | final_ddm501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slide final_ddm501</dc:title>
  <dc:subject>Bản slide summary tiếng Việt có hình ảnh và bảng số liệu</dc:subject>
  <dc:creator>Mai Văn An, Nguyễn Thanh Bình, Phạm Đình Hoàng, Nguyễn Tuấn Dũng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