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18" w:rsidRPr="00B64F27" w:rsidRDefault="009C2718" w:rsidP="009C2718">
      <w:pPr>
        <w:spacing w:after="0"/>
        <w:rPr>
          <w:rFonts w:eastAsiaTheme="majorEastAsia"/>
          <w:color w:val="FFA900"/>
          <w:sz w:val="36"/>
        </w:rPr>
      </w:pPr>
      <w:r>
        <w:rPr>
          <w:rFonts w:eastAsiaTheme="majorEastAsia"/>
          <w:color w:val="FFA900"/>
          <w:sz w:val="36"/>
        </w:rPr>
        <w:t>CDP specific Roles</w:t>
      </w:r>
    </w:p>
    <w:p w:rsidR="009C2718" w:rsidRPr="00F83E46" w:rsidRDefault="009C2718" w:rsidP="009C2718">
      <w:pPr>
        <w:pStyle w:val="Heading2"/>
        <w:rPr>
          <w:highlight w:val="green"/>
        </w:rPr>
      </w:pPr>
      <w:bookmarkStart w:id="0" w:name="_Toc461723545"/>
      <w:bookmarkStart w:id="1" w:name="_Toc462827464"/>
      <w:r w:rsidRPr="00F83E46">
        <w:rPr>
          <w:highlight w:val="green"/>
        </w:rPr>
        <w:t>admin-role</w:t>
      </w:r>
      <w:bookmarkEnd w:id="0"/>
      <w:bookmarkEnd w:id="1"/>
      <w:r w:rsidR="00A004C8" w:rsidRPr="00F83E46">
        <w:rPr>
          <w:highlight w:val="green"/>
        </w:rPr>
        <w:t xml:space="preserve"> </w:t>
      </w:r>
      <w:r w:rsidR="00F83E46" w:rsidRPr="00F83E46">
        <w:rPr>
          <w:highlight w:val="green"/>
        </w:rPr>
        <w:t>–</w:t>
      </w:r>
      <w:r w:rsidR="00A004C8" w:rsidRPr="00F83E46">
        <w:rPr>
          <w:highlight w:val="green"/>
        </w:rPr>
        <w:t xml:space="preserve"> </w:t>
      </w:r>
      <w:r w:rsidR="00F83E46" w:rsidRPr="00F83E46">
        <w:rPr>
          <w:highlight w:val="green"/>
        </w:rPr>
        <w:t>Deny Billing and CloudTrail</w:t>
      </w:r>
    </w:p>
    <w:p w:rsidR="009C2718" w:rsidRPr="00F83E46" w:rsidRDefault="009C2718" w:rsidP="009C2718">
      <w:pPr>
        <w:rPr>
          <w:color w:val="000000" w:themeColor="text1"/>
          <w:sz w:val="20"/>
          <w:szCs w:val="20"/>
          <w:highlight w:val="green"/>
        </w:rPr>
      </w:pPr>
      <w:r w:rsidRPr="00F83E46">
        <w:rPr>
          <w:color w:val="000000" w:themeColor="text1"/>
          <w:sz w:val="20"/>
          <w:szCs w:val="20"/>
          <w:highlight w:val="green"/>
        </w:rPr>
        <w:t xml:space="preserve">A ‘role’ to be defined that will be used to allow the ‘owner’ of the account to administer all resources within the </w:t>
      </w:r>
      <w:proofErr w:type="gramStart"/>
      <w:r w:rsidRPr="00F83E46">
        <w:rPr>
          <w:color w:val="000000" w:themeColor="text1"/>
          <w:sz w:val="20"/>
          <w:szCs w:val="20"/>
          <w:highlight w:val="green"/>
        </w:rPr>
        <w:t>CDP  AWS</w:t>
      </w:r>
      <w:proofErr w:type="gramEnd"/>
      <w:r w:rsidRPr="00F83E46">
        <w:rPr>
          <w:color w:val="000000" w:themeColor="text1"/>
          <w:sz w:val="20"/>
          <w:szCs w:val="20"/>
          <w:highlight w:val="green"/>
        </w:rPr>
        <w:t xml:space="preserve"> Account. The ‘role’ may have following policies attached to it. The ‘policy’ will ‘allow’:</w:t>
      </w:r>
    </w:p>
    <w:p w:rsidR="009C2718" w:rsidRPr="00F83E46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F83E46">
        <w:rPr>
          <w:color w:val="000000" w:themeColor="text1"/>
          <w:highlight w:val="green"/>
          <w:lang w:val="en-GB"/>
        </w:rPr>
        <w:t>*</w:t>
      </w:r>
    </w:p>
    <w:p w:rsidR="009C2718" w:rsidRPr="00F83E46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F83E46">
        <w:rPr>
          <w:color w:val="000000" w:themeColor="text1"/>
          <w:highlight w:val="green"/>
          <w:lang w:val="en-GB"/>
        </w:rPr>
        <w:t>&lt;Other areas To be confirmed&gt;</w:t>
      </w:r>
    </w:p>
    <w:p w:rsidR="009C2718" w:rsidRPr="00F83E46" w:rsidRDefault="009C2718" w:rsidP="009C2718">
      <w:pPr>
        <w:rPr>
          <w:color w:val="000000" w:themeColor="text1"/>
          <w:sz w:val="20"/>
          <w:szCs w:val="20"/>
          <w:highlight w:val="green"/>
        </w:rPr>
      </w:pPr>
      <w:r w:rsidRPr="00F83E46">
        <w:rPr>
          <w:color w:val="000000" w:themeColor="text1"/>
          <w:sz w:val="20"/>
          <w:szCs w:val="20"/>
          <w:highlight w:val="green"/>
        </w:rPr>
        <w:t>The ‘policy’ will ‘deny’:</w:t>
      </w:r>
    </w:p>
    <w:p w:rsidR="009C2718" w:rsidRPr="00F83E46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F83E46">
        <w:rPr>
          <w:color w:val="000000" w:themeColor="text1"/>
          <w:highlight w:val="green"/>
          <w:lang w:val="en-GB"/>
        </w:rPr>
        <w:t>Disable Cloud Trail</w:t>
      </w:r>
    </w:p>
    <w:p w:rsidR="009C2718" w:rsidRPr="00F83E46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F83E46">
        <w:rPr>
          <w:color w:val="000000" w:themeColor="text1"/>
          <w:highlight w:val="green"/>
          <w:lang w:val="en-GB"/>
        </w:rPr>
        <w:t>Change Billing / Payment Method</w:t>
      </w:r>
    </w:p>
    <w:p w:rsidR="009C2718" w:rsidRPr="00F83E46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F83E46">
        <w:rPr>
          <w:color w:val="000000" w:themeColor="text1"/>
          <w:highlight w:val="green"/>
          <w:lang w:val="en-GB"/>
        </w:rPr>
        <w:t xml:space="preserve">&lt;Other areas </w:t>
      </w:r>
      <w:proofErr w:type="gramStart"/>
      <w:r w:rsidRPr="00F83E46">
        <w:rPr>
          <w:color w:val="000000" w:themeColor="text1"/>
          <w:highlight w:val="green"/>
          <w:lang w:val="en-GB"/>
        </w:rPr>
        <w:t>To</w:t>
      </w:r>
      <w:proofErr w:type="gramEnd"/>
      <w:r w:rsidRPr="00F83E46">
        <w:rPr>
          <w:color w:val="000000" w:themeColor="text1"/>
          <w:highlight w:val="green"/>
          <w:lang w:val="en-GB"/>
        </w:rPr>
        <w:t xml:space="preserve"> be confirmed&gt;</w:t>
      </w:r>
    </w:p>
    <w:p w:rsidR="009C2718" w:rsidRDefault="009C2718" w:rsidP="009C2718">
      <w:pPr>
        <w:pStyle w:val="Heading2"/>
      </w:pPr>
      <w:bookmarkStart w:id="2" w:name="_Toc461723546"/>
      <w:bookmarkStart w:id="3" w:name="_Toc462827465"/>
    </w:p>
    <w:p w:rsidR="009C2718" w:rsidRPr="00417CB9" w:rsidRDefault="009C2718" w:rsidP="009C2718">
      <w:pPr>
        <w:pStyle w:val="Heading2"/>
        <w:rPr>
          <w:highlight w:val="green"/>
        </w:rPr>
      </w:pPr>
      <w:proofErr w:type="spellStart"/>
      <w:r w:rsidRPr="00417CB9">
        <w:rPr>
          <w:highlight w:val="green"/>
        </w:rPr>
        <w:t>productowner</w:t>
      </w:r>
      <w:proofErr w:type="spellEnd"/>
      <w:r w:rsidRPr="00417CB9">
        <w:rPr>
          <w:highlight w:val="green"/>
        </w:rPr>
        <w:t>-role</w:t>
      </w:r>
      <w:bookmarkEnd w:id="2"/>
      <w:bookmarkEnd w:id="3"/>
    </w:p>
    <w:p w:rsidR="009C2718" w:rsidRPr="00417CB9" w:rsidRDefault="009C2718" w:rsidP="009C2718">
      <w:pPr>
        <w:rPr>
          <w:color w:val="000000" w:themeColor="text1"/>
          <w:sz w:val="20"/>
          <w:szCs w:val="20"/>
          <w:highlight w:val="green"/>
        </w:rPr>
      </w:pPr>
      <w:r w:rsidRPr="00417CB9">
        <w:rPr>
          <w:color w:val="000000" w:themeColor="text1"/>
          <w:sz w:val="20"/>
          <w:szCs w:val="20"/>
          <w:highlight w:val="green"/>
        </w:rPr>
        <w:t xml:space="preserve">A ‘role’ to  be defined that will be used to allow the product owner to configure the ‘policies’ within the AWS ‘Non-Production’ Account for resources associated to CDP.  The ‘role’ may have following policies attached to it. </w:t>
      </w:r>
    </w:p>
    <w:p w:rsidR="009C2718" w:rsidRPr="00417CB9" w:rsidRDefault="009C2718" w:rsidP="009C2718">
      <w:pPr>
        <w:rPr>
          <w:color w:val="000000" w:themeColor="text1"/>
          <w:sz w:val="20"/>
          <w:szCs w:val="20"/>
          <w:highlight w:val="green"/>
        </w:rPr>
      </w:pPr>
      <w:r w:rsidRPr="00417CB9">
        <w:rPr>
          <w:color w:val="000000" w:themeColor="text1"/>
          <w:sz w:val="20"/>
          <w:szCs w:val="20"/>
          <w:highlight w:val="green"/>
        </w:rPr>
        <w:t>The ‘policy’ will ‘allow’:</w:t>
      </w:r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>Amend existing IAM policies associated to CDP</w:t>
      </w:r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 xml:space="preserve">View </w:t>
      </w:r>
      <w:proofErr w:type="spellStart"/>
      <w:r w:rsidRPr="00417CB9">
        <w:rPr>
          <w:color w:val="000000" w:themeColor="text1"/>
          <w:highlight w:val="green"/>
          <w:lang w:val="en-GB"/>
        </w:rPr>
        <w:t>CostExplorer</w:t>
      </w:r>
      <w:proofErr w:type="spellEnd"/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 xml:space="preserve">View </w:t>
      </w:r>
      <w:proofErr w:type="spellStart"/>
      <w:r w:rsidRPr="00417CB9">
        <w:rPr>
          <w:color w:val="000000" w:themeColor="text1"/>
          <w:highlight w:val="green"/>
          <w:lang w:val="en-GB"/>
        </w:rPr>
        <w:t>TrustedAdvisor</w:t>
      </w:r>
      <w:proofErr w:type="spellEnd"/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>&lt;Other areas To be confirmed&gt;</w:t>
      </w:r>
    </w:p>
    <w:p w:rsidR="009C2718" w:rsidRPr="00417CB9" w:rsidRDefault="009C2718" w:rsidP="009C2718">
      <w:pPr>
        <w:rPr>
          <w:color w:val="000000" w:themeColor="text1"/>
          <w:sz w:val="20"/>
          <w:szCs w:val="20"/>
          <w:highlight w:val="green"/>
        </w:rPr>
      </w:pPr>
      <w:r w:rsidRPr="00417CB9">
        <w:rPr>
          <w:color w:val="000000" w:themeColor="text1"/>
          <w:sz w:val="20"/>
          <w:szCs w:val="20"/>
          <w:highlight w:val="green"/>
        </w:rPr>
        <w:t>The ‘policy’ will ‘deny’:</w:t>
      </w:r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>Ability to view / create / modify any other AWS Services (such as Billing, S3, EC2, VPC etc)</w:t>
      </w:r>
    </w:p>
    <w:p w:rsidR="009C2718" w:rsidRPr="00417CB9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val="en-GB"/>
        </w:rPr>
      </w:pPr>
      <w:r w:rsidRPr="00417CB9">
        <w:rPr>
          <w:color w:val="000000" w:themeColor="text1"/>
          <w:highlight w:val="green"/>
          <w:lang w:val="en-GB"/>
        </w:rPr>
        <w:t>&lt;Other areas To be confirmed&gt;</w:t>
      </w:r>
    </w:p>
    <w:p w:rsidR="009C2718" w:rsidRDefault="009C2718" w:rsidP="009C2718">
      <w:pPr>
        <w:pStyle w:val="Heading2"/>
      </w:pPr>
      <w:bookmarkStart w:id="4" w:name="_Toc461723547"/>
      <w:bookmarkStart w:id="5" w:name="_Toc462827466"/>
    </w:p>
    <w:p w:rsidR="009C2718" w:rsidRPr="00B64F27" w:rsidRDefault="009C2718" w:rsidP="009C2718">
      <w:pPr>
        <w:pStyle w:val="Heading2"/>
      </w:pPr>
      <w:proofErr w:type="spellStart"/>
      <w:r w:rsidRPr="00B64F27">
        <w:t>leaddeveloper</w:t>
      </w:r>
      <w:proofErr w:type="spellEnd"/>
      <w:r w:rsidRPr="00B64F27">
        <w:t>-role</w:t>
      </w:r>
      <w:bookmarkEnd w:id="4"/>
      <w:bookmarkEnd w:id="5"/>
      <w:r>
        <w:t>/Data-Admin Role</w:t>
      </w:r>
    </w:p>
    <w:p w:rsidR="009C2718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 xml:space="preserve">A ‘role’ will be defined that will be used to allow the lead developer to administer AWS resources (EC2 instances, S3 buckets etc) within the AWS ‘Non-Production’ Account for </w:t>
      </w:r>
      <w:r>
        <w:rPr>
          <w:color w:val="000000" w:themeColor="text1"/>
          <w:sz w:val="20"/>
          <w:szCs w:val="20"/>
        </w:rPr>
        <w:t>CDP</w:t>
      </w:r>
      <w:r w:rsidRPr="00B64F27">
        <w:rPr>
          <w:color w:val="000000" w:themeColor="text1"/>
          <w:sz w:val="20"/>
          <w:szCs w:val="20"/>
        </w:rPr>
        <w:t xml:space="preserve">. The ‘role’ </w:t>
      </w:r>
      <w:r>
        <w:rPr>
          <w:color w:val="000000" w:themeColor="text1"/>
          <w:sz w:val="20"/>
          <w:szCs w:val="20"/>
        </w:rPr>
        <w:t xml:space="preserve">may </w:t>
      </w:r>
      <w:r w:rsidRPr="00B64F27">
        <w:rPr>
          <w:color w:val="000000" w:themeColor="text1"/>
          <w:sz w:val="20"/>
          <w:szCs w:val="20"/>
        </w:rPr>
        <w:t xml:space="preserve">have </w:t>
      </w:r>
      <w:r>
        <w:rPr>
          <w:color w:val="000000" w:themeColor="text1"/>
          <w:sz w:val="20"/>
          <w:szCs w:val="20"/>
        </w:rPr>
        <w:t xml:space="preserve">following policies attached to it.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‘allow’: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View / create / modify / delete AWS Resources (EC2 instances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‘deny’: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Ability to view / create / modify any other AWS Services (such as IAM, VPC, CloudTrail, Billing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Default="009C2718" w:rsidP="009C2718">
      <w:pPr>
        <w:pStyle w:val="Heading2"/>
      </w:pPr>
      <w:bookmarkStart w:id="6" w:name="_Toc461723548"/>
      <w:bookmarkStart w:id="7" w:name="_Toc462827467"/>
    </w:p>
    <w:p w:rsidR="009C2718" w:rsidRDefault="009C2718" w:rsidP="009C2718"/>
    <w:p w:rsidR="009C2718" w:rsidRPr="00872E87" w:rsidRDefault="009C2718" w:rsidP="009C2718"/>
    <w:p w:rsidR="009C2718" w:rsidRPr="00B64F27" w:rsidRDefault="009C2718" w:rsidP="009C2718">
      <w:pPr>
        <w:pStyle w:val="Heading2"/>
      </w:pPr>
      <w:r w:rsidRPr="00B64F27">
        <w:lastRenderedPageBreak/>
        <w:t>developer-role</w:t>
      </w:r>
      <w:bookmarkEnd w:id="6"/>
      <w:bookmarkEnd w:id="7"/>
      <w:r>
        <w:t>/Data-Engineer Role</w:t>
      </w:r>
    </w:p>
    <w:p w:rsidR="009C2718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 xml:space="preserve">A ‘role’ will be defined that will be used to allow the developer to list / modify AWS resources (EC2 instances, S3 buckets etc) within the AWS ‘Non-Production’ Account for </w:t>
      </w:r>
      <w:r>
        <w:rPr>
          <w:color w:val="000000" w:themeColor="text1"/>
          <w:sz w:val="20"/>
          <w:szCs w:val="20"/>
        </w:rPr>
        <w:t xml:space="preserve">CDP. </w:t>
      </w:r>
      <w:r w:rsidRPr="00B64F27">
        <w:rPr>
          <w:color w:val="000000" w:themeColor="text1"/>
          <w:sz w:val="20"/>
          <w:szCs w:val="20"/>
        </w:rPr>
        <w:t xml:space="preserve"> The ‘role’ </w:t>
      </w:r>
      <w:r>
        <w:rPr>
          <w:color w:val="000000" w:themeColor="text1"/>
          <w:sz w:val="20"/>
          <w:szCs w:val="20"/>
        </w:rPr>
        <w:t xml:space="preserve">may </w:t>
      </w:r>
      <w:r w:rsidRPr="00B64F27">
        <w:rPr>
          <w:color w:val="000000" w:themeColor="text1"/>
          <w:sz w:val="20"/>
          <w:szCs w:val="20"/>
        </w:rPr>
        <w:t xml:space="preserve">have </w:t>
      </w:r>
      <w:r>
        <w:rPr>
          <w:color w:val="000000" w:themeColor="text1"/>
          <w:sz w:val="20"/>
          <w:szCs w:val="20"/>
        </w:rPr>
        <w:t xml:space="preserve">following policies attached to it.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B64F27">
        <w:rPr>
          <w:color w:val="000000" w:themeColor="text1"/>
          <w:sz w:val="20"/>
          <w:szCs w:val="20"/>
        </w:rPr>
        <w:t>The ‘policy’ will ‘allow’: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View / modify AWS Resources (EC2 instances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‘deny’: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Ability to view / create / modify any other AWS Services (such as IAM, VPC, CloudTrail, Billing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Pr="00B64F27" w:rsidRDefault="009C2718" w:rsidP="009C2718">
      <w:pPr>
        <w:pStyle w:val="ListParagraph"/>
        <w:numPr>
          <w:ilvl w:val="0"/>
          <w:numId w:val="0"/>
        </w:numPr>
        <w:ind w:left="720"/>
        <w:rPr>
          <w:color w:val="000000" w:themeColor="text1"/>
          <w:lang w:val="en-GB"/>
        </w:rPr>
      </w:pPr>
    </w:p>
    <w:p w:rsidR="009C2718" w:rsidRPr="00B64F27" w:rsidRDefault="009C2718" w:rsidP="009C2718">
      <w:pPr>
        <w:pStyle w:val="Heading2"/>
      </w:pPr>
      <w:bookmarkStart w:id="8" w:name="_Toc461723549"/>
      <w:bookmarkStart w:id="9" w:name="_Toc462827468"/>
      <w:r w:rsidRPr="00B64F27">
        <w:t>tester-role</w:t>
      </w:r>
      <w:bookmarkEnd w:id="8"/>
      <w:bookmarkEnd w:id="9"/>
    </w:p>
    <w:p w:rsidR="009C2718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 xml:space="preserve">A ‘role’ will be defined that will be used to allow the tester to utilise (view metric, test scaling) on AWS resources (EC2 instances, S3 buckets etc) within the AWS ‘Non-Production’ Account for </w:t>
      </w:r>
      <w:r>
        <w:rPr>
          <w:color w:val="000000" w:themeColor="text1"/>
          <w:sz w:val="20"/>
          <w:szCs w:val="20"/>
        </w:rPr>
        <w:t>CDP</w:t>
      </w:r>
      <w:r w:rsidRPr="00B64F27">
        <w:rPr>
          <w:color w:val="000000" w:themeColor="text1"/>
          <w:sz w:val="20"/>
          <w:szCs w:val="20"/>
        </w:rPr>
        <w:t xml:space="preserve">. The ‘role’ </w:t>
      </w:r>
      <w:r>
        <w:rPr>
          <w:color w:val="000000" w:themeColor="text1"/>
          <w:sz w:val="20"/>
          <w:szCs w:val="20"/>
        </w:rPr>
        <w:t xml:space="preserve">may </w:t>
      </w:r>
      <w:r w:rsidRPr="00B64F27">
        <w:rPr>
          <w:color w:val="000000" w:themeColor="text1"/>
          <w:sz w:val="20"/>
          <w:szCs w:val="20"/>
        </w:rPr>
        <w:t xml:space="preserve">have </w:t>
      </w:r>
      <w:r>
        <w:rPr>
          <w:color w:val="000000" w:themeColor="text1"/>
          <w:sz w:val="20"/>
          <w:szCs w:val="20"/>
        </w:rPr>
        <w:t xml:space="preserve">following policies attached to it.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‘allow’: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&lt;Other areas To be confirmed&gt;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‘deny’: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Ability to view / create / modify any other AWS Services (such as IAM, VPC, CloudTrail, Billing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Default="009C2718" w:rsidP="009C2718">
      <w:pPr>
        <w:pStyle w:val="Heading2"/>
      </w:pPr>
      <w:bookmarkStart w:id="10" w:name="_Toc461723550"/>
      <w:bookmarkStart w:id="11" w:name="_Toc462827469"/>
    </w:p>
    <w:p w:rsidR="009C2718" w:rsidRPr="00B64F27" w:rsidRDefault="009C2718" w:rsidP="009C2718">
      <w:pPr>
        <w:pStyle w:val="Heading2"/>
      </w:pPr>
      <w:r w:rsidRPr="00B64F27">
        <w:t>ops-role</w:t>
      </w:r>
      <w:bookmarkEnd w:id="10"/>
      <w:bookmarkEnd w:id="11"/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Could </w:t>
      </w:r>
      <w:proofErr w:type="gramStart"/>
      <w:r>
        <w:rPr>
          <w:color w:val="000000" w:themeColor="text1"/>
          <w:sz w:val="20"/>
          <w:szCs w:val="20"/>
        </w:rPr>
        <w:t xml:space="preserve">be </w:t>
      </w:r>
      <w:r w:rsidRPr="00B64F27">
        <w:rPr>
          <w:color w:val="000000" w:themeColor="text1"/>
          <w:sz w:val="20"/>
          <w:szCs w:val="20"/>
        </w:rPr>
        <w:t xml:space="preserve"> PRODUCTION</w:t>
      </w:r>
      <w:proofErr w:type="gramEnd"/>
      <w:r w:rsidRPr="00B64F27">
        <w:rPr>
          <w:color w:val="000000" w:themeColor="text1"/>
          <w:sz w:val="20"/>
          <w:szCs w:val="20"/>
        </w:rPr>
        <w:t xml:space="preserve"> only.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 xml:space="preserve">A ‘role’ will be defined that will be used to allow users to manage the product / service / application in the AWS ‘Production’ Account for </w:t>
      </w:r>
      <w:r>
        <w:rPr>
          <w:color w:val="000000" w:themeColor="text1"/>
          <w:sz w:val="20"/>
          <w:szCs w:val="20"/>
        </w:rPr>
        <w:t>CDP.</w:t>
      </w:r>
      <w:r w:rsidRPr="00B64F27">
        <w:rPr>
          <w:color w:val="000000" w:themeColor="text1"/>
          <w:sz w:val="20"/>
          <w:szCs w:val="20"/>
        </w:rPr>
        <w:t xml:space="preserve"> The access will be limited, but will allow view access to the logs, list the AWS resources being used, perform some remedial actions.</w:t>
      </w:r>
    </w:p>
    <w:p w:rsidR="009C2718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 xml:space="preserve">The ‘role’ </w:t>
      </w:r>
      <w:r>
        <w:rPr>
          <w:color w:val="000000" w:themeColor="text1"/>
          <w:sz w:val="20"/>
          <w:szCs w:val="20"/>
        </w:rPr>
        <w:t xml:space="preserve">may </w:t>
      </w:r>
      <w:r w:rsidRPr="00B64F27">
        <w:rPr>
          <w:color w:val="000000" w:themeColor="text1"/>
          <w:sz w:val="20"/>
          <w:szCs w:val="20"/>
        </w:rPr>
        <w:t xml:space="preserve">have </w:t>
      </w:r>
      <w:r>
        <w:rPr>
          <w:color w:val="000000" w:themeColor="text1"/>
          <w:sz w:val="20"/>
          <w:szCs w:val="20"/>
        </w:rPr>
        <w:t xml:space="preserve">following policies attached to it.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‘allow’: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&lt;Other areas To be confirmed&gt;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‘deny’: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Ability to view / create / modify any other AWS Services (such as IAM, VPC, CloudTrail, Billing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Default="009C2718" w:rsidP="009C2718">
      <w:pPr>
        <w:pStyle w:val="Heading2"/>
      </w:pPr>
      <w:bookmarkStart w:id="12" w:name="_Toc461723551"/>
      <w:bookmarkStart w:id="13" w:name="_Toc462827470"/>
    </w:p>
    <w:p w:rsidR="009C2718" w:rsidRDefault="009C2718" w:rsidP="009C2718"/>
    <w:p w:rsidR="009C2718" w:rsidRDefault="009C2718" w:rsidP="009C2718"/>
    <w:p w:rsidR="009C2718" w:rsidRDefault="009C2718" w:rsidP="009C2718"/>
    <w:p w:rsidR="009C2718" w:rsidRDefault="009C2718" w:rsidP="009C2718"/>
    <w:p w:rsidR="009C2718" w:rsidRPr="00872E87" w:rsidRDefault="009C2718" w:rsidP="009C2718"/>
    <w:p w:rsidR="009C2718" w:rsidRPr="00B64F27" w:rsidRDefault="009C2718" w:rsidP="009C2718">
      <w:pPr>
        <w:pStyle w:val="Heading2"/>
      </w:pPr>
      <w:proofErr w:type="spellStart"/>
      <w:r w:rsidRPr="00B64F27">
        <w:lastRenderedPageBreak/>
        <w:t>cicd</w:t>
      </w:r>
      <w:proofErr w:type="spellEnd"/>
      <w:r w:rsidRPr="00B64F27">
        <w:t>-role</w:t>
      </w:r>
      <w:bookmarkEnd w:id="12"/>
      <w:bookmarkEnd w:id="13"/>
    </w:p>
    <w:p w:rsidR="009C2718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A ‘role’ will be defined that will be used to allow automated deployment of prod</w:t>
      </w:r>
      <w:r>
        <w:rPr>
          <w:color w:val="000000" w:themeColor="text1"/>
          <w:sz w:val="20"/>
          <w:szCs w:val="20"/>
        </w:rPr>
        <w:t xml:space="preserve">uct(s) in the AWS Accounts for CDP. </w:t>
      </w:r>
      <w:r w:rsidRPr="00B64F27">
        <w:rPr>
          <w:color w:val="000000" w:themeColor="text1"/>
          <w:sz w:val="20"/>
          <w:szCs w:val="20"/>
        </w:rPr>
        <w:t xml:space="preserve"> The ‘role’ </w:t>
      </w:r>
      <w:r>
        <w:rPr>
          <w:color w:val="000000" w:themeColor="text1"/>
          <w:sz w:val="20"/>
          <w:szCs w:val="20"/>
        </w:rPr>
        <w:t xml:space="preserve">may </w:t>
      </w:r>
      <w:r w:rsidRPr="00B64F27">
        <w:rPr>
          <w:color w:val="000000" w:themeColor="text1"/>
          <w:sz w:val="20"/>
          <w:szCs w:val="20"/>
        </w:rPr>
        <w:t xml:space="preserve">have </w:t>
      </w:r>
      <w:r>
        <w:rPr>
          <w:color w:val="000000" w:themeColor="text1"/>
          <w:sz w:val="20"/>
          <w:szCs w:val="20"/>
        </w:rPr>
        <w:t xml:space="preserve">following policies attached to it.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‘allow’: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Manage/create/delete the CI/CD services/</w:t>
      </w:r>
      <w:proofErr w:type="spellStart"/>
      <w:r w:rsidRPr="002A5FC4">
        <w:rPr>
          <w:color w:val="000000" w:themeColor="text1"/>
          <w:highlight w:val="yellow"/>
          <w:lang w:val="en-GB"/>
        </w:rPr>
        <w:t>artifacts</w:t>
      </w:r>
      <w:proofErr w:type="spellEnd"/>
      <w:r w:rsidRPr="002A5FC4">
        <w:rPr>
          <w:color w:val="000000" w:themeColor="text1"/>
          <w:highlight w:val="yellow"/>
          <w:lang w:val="en-GB"/>
        </w:rPr>
        <w:t xml:space="preserve"> </w:t>
      </w:r>
    </w:p>
    <w:p w:rsidR="009C2718" w:rsidRPr="00B64F27" w:rsidRDefault="009C2718" w:rsidP="009C2718">
      <w:pPr>
        <w:rPr>
          <w:color w:val="000000" w:themeColor="text1"/>
          <w:sz w:val="20"/>
          <w:szCs w:val="20"/>
        </w:rPr>
      </w:pPr>
      <w:r w:rsidRPr="00B64F27">
        <w:rPr>
          <w:color w:val="000000" w:themeColor="text1"/>
          <w:sz w:val="20"/>
          <w:szCs w:val="20"/>
        </w:rPr>
        <w:t>The ‘policy’ will ‘deny’:</w:t>
      </w:r>
    </w:p>
    <w:p w:rsidR="009C2718" w:rsidRPr="002A5FC4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highlight w:val="yellow"/>
          <w:lang w:val="en-GB"/>
        </w:rPr>
      </w:pPr>
      <w:r w:rsidRPr="002A5FC4">
        <w:rPr>
          <w:color w:val="000000" w:themeColor="text1"/>
          <w:highlight w:val="yellow"/>
          <w:lang w:val="en-GB"/>
        </w:rPr>
        <w:t>Ability to view / create / modify any other AWS Services (such as IAM, VPC, CloudTrail, Billing etc)</w:t>
      </w:r>
    </w:p>
    <w:p w:rsidR="009C2718" w:rsidRPr="00B64F27" w:rsidRDefault="009C2718" w:rsidP="009C271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bookmarkStart w:id="14" w:name="_GoBack"/>
      <w:bookmarkEnd w:id="14"/>
      <w:r>
        <w:rPr>
          <w:color w:val="000000" w:themeColor="text1"/>
          <w:lang w:val="en-GB"/>
        </w:rPr>
        <w:t xml:space="preserve">&lt;Other areas </w:t>
      </w:r>
      <w:r w:rsidRPr="00B64F27">
        <w:rPr>
          <w:color w:val="000000" w:themeColor="text1"/>
          <w:lang w:val="en-GB"/>
        </w:rPr>
        <w:t>To be confirmed</w:t>
      </w:r>
      <w:r>
        <w:rPr>
          <w:color w:val="000000" w:themeColor="text1"/>
          <w:lang w:val="en-GB"/>
        </w:rPr>
        <w:t>&gt;</w:t>
      </w:r>
    </w:p>
    <w:p w:rsidR="009C2718" w:rsidRDefault="009C2718" w:rsidP="009C2718"/>
    <w:p w:rsidR="000F7827" w:rsidRDefault="000F7827"/>
    <w:sectPr w:rsidR="000F7827" w:rsidSect="00BF422A">
      <w:headerReference w:type="default" r:id="rId7"/>
      <w:footerReference w:type="first" r:id="rId8"/>
      <w:pgSz w:w="11900" w:h="1682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DA0" w:rsidRDefault="002F5DA0" w:rsidP="009C2718">
      <w:pPr>
        <w:spacing w:after="0"/>
      </w:pPr>
      <w:r>
        <w:separator/>
      </w:r>
    </w:p>
  </w:endnote>
  <w:endnote w:type="continuationSeparator" w:id="0">
    <w:p w:rsidR="002F5DA0" w:rsidRDefault="002F5DA0" w:rsidP="009C2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203"/>
      <w:gridCol w:w="4363"/>
      <w:gridCol w:w="3454"/>
    </w:tblGrid>
    <w:tr w:rsidR="004E6685" w:rsidRPr="008D1B25" w:rsidTr="007D7854">
      <w:tc>
        <w:tcPr>
          <w:tcW w:w="1203" w:type="dxa"/>
        </w:tcPr>
        <w:p w:rsidR="004E6685" w:rsidRPr="008D1B25" w:rsidRDefault="002F5DA0" w:rsidP="00A25086">
          <w:pPr>
            <w:spacing w:after="0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4363" w:type="dxa"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  <w:tc>
        <w:tcPr>
          <w:tcW w:w="3454" w:type="dxa"/>
          <w:vMerge w:val="restart"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</w:tr>
    <w:tr w:rsidR="004E6685" w:rsidRPr="008D1B25" w:rsidTr="007D7854">
      <w:tc>
        <w:tcPr>
          <w:tcW w:w="1203" w:type="dxa"/>
        </w:tcPr>
        <w:p w:rsidR="004E6685" w:rsidRPr="008D1B25" w:rsidRDefault="002F5DA0" w:rsidP="00A25086">
          <w:pPr>
            <w:spacing w:after="0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4363" w:type="dxa"/>
        </w:tcPr>
        <w:p w:rsidR="004E6685" w:rsidRPr="008D1B25" w:rsidRDefault="002F5DA0" w:rsidP="008D1B25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  <w:tc>
        <w:tcPr>
          <w:tcW w:w="3454" w:type="dxa"/>
          <w:vMerge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</w:tr>
    <w:tr w:rsidR="004E6685" w:rsidRPr="008D1B25" w:rsidTr="007D7854">
      <w:tc>
        <w:tcPr>
          <w:tcW w:w="1203" w:type="dxa"/>
        </w:tcPr>
        <w:p w:rsidR="004E6685" w:rsidRPr="008D1B25" w:rsidRDefault="002F5DA0" w:rsidP="00A25086">
          <w:pPr>
            <w:spacing w:after="0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4363" w:type="dxa"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  <w:tc>
        <w:tcPr>
          <w:tcW w:w="3454" w:type="dxa"/>
          <w:vMerge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</w:tr>
    <w:tr w:rsidR="004E6685" w:rsidRPr="008D1B25" w:rsidTr="007D7854">
      <w:tc>
        <w:tcPr>
          <w:tcW w:w="1203" w:type="dxa"/>
        </w:tcPr>
        <w:p w:rsidR="004E6685" w:rsidRPr="008D1B25" w:rsidRDefault="002F5DA0" w:rsidP="00A25086">
          <w:pPr>
            <w:spacing w:after="0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4363" w:type="dxa"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  <w:tc>
        <w:tcPr>
          <w:tcW w:w="3454" w:type="dxa"/>
          <w:vMerge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</w:tr>
    <w:tr w:rsidR="004E6685" w:rsidRPr="008D1B25" w:rsidTr="007D7854">
      <w:tc>
        <w:tcPr>
          <w:tcW w:w="1203" w:type="dxa"/>
        </w:tcPr>
        <w:p w:rsidR="004E6685" w:rsidRPr="008D1B25" w:rsidRDefault="002F5DA0" w:rsidP="00A25086">
          <w:pPr>
            <w:spacing w:after="0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4363" w:type="dxa"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  <w:tc>
        <w:tcPr>
          <w:tcW w:w="3454" w:type="dxa"/>
          <w:vMerge/>
        </w:tcPr>
        <w:p w:rsidR="004E6685" w:rsidRPr="008D1B25" w:rsidRDefault="002F5DA0" w:rsidP="00A25086">
          <w:pPr>
            <w:spacing w:after="0"/>
            <w:rPr>
              <w:color w:val="000000" w:themeColor="text1"/>
              <w:sz w:val="18"/>
              <w:szCs w:val="18"/>
            </w:rPr>
          </w:pPr>
        </w:p>
      </w:tc>
    </w:tr>
  </w:tbl>
  <w:p w:rsidR="004E6685" w:rsidRDefault="002F5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DA0" w:rsidRDefault="002F5DA0" w:rsidP="009C2718">
      <w:pPr>
        <w:spacing w:after="0"/>
      </w:pPr>
      <w:r>
        <w:separator/>
      </w:r>
    </w:p>
  </w:footnote>
  <w:footnote w:type="continuationSeparator" w:id="0">
    <w:p w:rsidR="002F5DA0" w:rsidRDefault="002F5DA0" w:rsidP="009C27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3E4953"/>
      </w:tblBorders>
      <w:tblCellMar>
        <w:top w:w="113" w:type="dxa"/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4E6685" w:rsidRPr="008D1B25" w:rsidTr="009F6692">
      <w:tc>
        <w:tcPr>
          <w:tcW w:w="4505" w:type="dxa"/>
        </w:tcPr>
        <w:p w:rsidR="004E6685" w:rsidRPr="008D1B25" w:rsidRDefault="002F5DA0" w:rsidP="009F6692">
          <w:pPr>
            <w:pStyle w:val="Header"/>
            <w:rPr>
              <w:sz w:val="18"/>
              <w:szCs w:val="18"/>
            </w:rPr>
          </w:pPr>
        </w:p>
      </w:tc>
      <w:tc>
        <w:tcPr>
          <w:tcW w:w="4505" w:type="dxa"/>
        </w:tcPr>
        <w:p w:rsidR="004E6685" w:rsidRPr="008D1B25" w:rsidRDefault="002F5DA0" w:rsidP="009F6692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:rsidR="004E6685" w:rsidRPr="008D1B25" w:rsidRDefault="002F5DA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04D2"/>
    <w:multiLevelType w:val="hybridMultilevel"/>
    <w:tmpl w:val="0A9EBEEE"/>
    <w:lvl w:ilvl="0" w:tplc="684CC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66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30133"/>
    <w:multiLevelType w:val="hybridMultilevel"/>
    <w:tmpl w:val="7518A500"/>
    <w:lvl w:ilvl="0" w:tplc="71345E1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18"/>
    <w:rsid w:val="000F7827"/>
    <w:rsid w:val="002A5FC4"/>
    <w:rsid w:val="002F4EB4"/>
    <w:rsid w:val="002F5DA0"/>
    <w:rsid w:val="00322FD4"/>
    <w:rsid w:val="00417CB9"/>
    <w:rsid w:val="009C2718"/>
    <w:rsid w:val="00A004C8"/>
    <w:rsid w:val="00A4655E"/>
    <w:rsid w:val="00B965E7"/>
    <w:rsid w:val="00F83E46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9F16"/>
  <w15:chartTrackingRefBased/>
  <w15:docId w15:val="{3BE5BFBC-2DFA-4A6D-9AA2-5B462E5C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718"/>
    <w:pPr>
      <w:spacing w:after="120" w:line="240" w:lineRule="auto"/>
    </w:pPr>
    <w:rPr>
      <w:color w:val="3E4953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718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718"/>
    <w:rPr>
      <w:rFonts w:eastAsiaTheme="majorEastAsia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C27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2718"/>
    <w:rPr>
      <w:color w:val="3E4953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27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2718"/>
    <w:rPr>
      <w:color w:val="3E4953"/>
      <w:szCs w:val="24"/>
      <w:lang w:val="en-GB"/>
    </w:rPr>
  </w:style>
  <w:style w:type="paragraph" w:styleId="ListParagraph">
    <w:name w:val="List Paragraph"/>
    <w:basedOn w:val="Normal"/>
    <w:autoRedefine/>
    <w:uiPriority w:val="34"/>
    <w:qFormat/>
    <w:rsid w:val="009C2718"/>
    <w:pPr>
      <w:numPr>
        <w:numId w:val="1"/>
      </w:numPr>
      <w:contextualSpacing/>
    </w:pPr>
    <w:rPr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Nilesh</dc:creator>
  <cp:keywords/>
  <dc:description/>
  <cp:lastModifiedBy>Rowan-Crook, Christy</cp:lastModifiedBy>
  <cp:revision>2</cp:revision>
  <dcterms:created xsi:type="dcterms:W3CDTF">2020-09-10T13:53:00Z</dcterms:created>
  <dcterms:modified xsi:type="dcterms:W3CDTF">2020-09-10T13:53:00Z</dcterms:modified>
</cp:coreProperties>
</file>