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00" w:lineRule="auto"/>
        <w:jc w:val="center"/>
      </w:pPr>
      <w:r>
        <w:rPr>
          <w:rFonts w:ascii="Calibri" w:hAnsi="Calibri" w:eastAsia="Microsoft YaHei"/>
          <w:b/>
          <w:color w:val="142034"/>
          <w:sz w:val="40"/>
        </w:rPr>
        <w:t>HPClaw 图件制作提示词</w:t>
      </w:r>
    </w:p>
    <w:p>
      <w:pPr>
        <w:spacing w:before="0" w:after="40" w:line="260" w:lineRule="auto"/>
        <w:jc w:val="center"/>
      </w:pPr>
      <w:r>
        <w:rPr>
          <w:rFonts w:ascii="Calibri" w:hAnsi="Calibri" w:eastAsia="Microsoft YaHei"/>
          <w:color w:val="5F5F5F"/>
          <w:sz w:val="20"/>
        </w:rPr>
        <w:t>以下内容不属于论文正文，用于后续制作投稿图件。图中不要生成虚构的性能数字；所有界面文字应由作者根据实际截图和最终术语统一替换。</w:t>
      </w:r>
    </w:p>
    <w:p>
      <w:pPr>
        <w:pStyle w:val="Heading1"/>
        <w:spacing w:before="0" w:after="120" w:line="280" w:lineRule="auto"/>
      </w:pPr>
      <w:r>
        <w:t>图 1 | 系统架构与远程操作闭环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 xml:space="preserve">请绘制一张适合计算生物学软件论文的系统架构图，白底、黑灰文字、少量蓝绿色强调色、无渐变、无装饰性图标。左侧为用户请求和 Web/Electron 工作台，中部依次为 SSH 会话层、集群状态快照、文件识别器、技能索引与技能图谱、结构化记忆和观测存储，右侧为 AI Agent 工具循环、LSF 作业提交、远程文件和结果预览。用实线箭头表示请求、状态和工具结果，用虚线表示记忆与观测回写。清楚标出 </w:t>
      </w:r>
      <w:r>
        <w:rPr>
          <w:rFonts w:ascii="Consolas" w:hAnsi="Consolas" w:eastAsia="Microsoft YaHei"/>
          <w:color w:val="964628"/>
          <w:sz w:val="21"/>
        </w:rPr>
        <w:t>run_command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search_skills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ask_user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save_skill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bsub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bjobs</w:t>
      </w:r>
      <w:r>
        <w:rPr>
          <w:rFonts w:ascii="Calibri" w:hAnsi="Calibri" w:eastAsia="Microsoft YaHei"/>
        </w:rPr>
        <w:t>。图中不放性能数字，不把 Agent 画成拟人化机器人。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建议图注：图 1 | HPClaw 的系统架构。用户请求通过统一工作台进入 Agent，Agent 读取远程集群状态和任务相关技能后调用受控工具；命令、作业、文件和用户确认结果回到同一会话，并写入观测与结构化记忆。</w:t>
      </w:r>
    </w:p>
    <w:p>
      <w:pPr>
        <w:pStyle w:val="Heading1"/>
        <w:spacing w:before="0" w:after="120" w:line="280" w:lineRule="auto"/>
      </w:pPr>
      <w:r>
        <w:t>图 2 | 上下文构建和技能知识包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请绘制一张方法流程图，展示用户请求、ClusterSnapshot、FileRecognizer 提示、TaskPlan、StructuredMemory、ObservationStore 和终端选区如何汇入上下文构建器。中间依次显示关键词检索、SkillGraph 关系扩展、依赖技能补全、LSF/NCPGR 规范分片和 token 预算裁剪。右侧输出为 Agent context，分为 cluster、skills、memory、observations 和 conversation 五个部分。突出“按任务和预算选择知识，不是复制全量技能库”。真实可读的中文标签优先，避免在图中塞入长段落。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建议图注：图 2 | 上下文构建和技能知识包编排。系统根据任务请求和远程状态选择技能、依赖、集群规范、记忆和观测，并在 token 预算内形成 Agent 上下文。</w:t>
      </w:r>
    </w:p>
    <w:p>
      <w:pPr>
        <w:pStyle w:val="Heading1"/>
        <w:spacing w:before="0" w:after="120" w:line="280" w:lineRule="auto"/>
      </w:pPr>
      <w:r>
        <w:t>图 3 | Agent 执行循环与安全守卫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 xml:space="preserve">请绘制一张环形流程图：用户任务、环境探查、技能检索、参数判断、风险判断、生成单条命令或 LSF 脚本、SSH/LSF 执行、返回结果、更新观测与记忆。使用两个菱形节点表示“关键参数是否完整”和“操作是否需要确认”。缺少参数或需要确认时进入 </w:t>
      </w:r>
      <w:r>
        <w:rPr>
          <w:rFonts w:ascii="Consolas" w:hAnsi="Consolas" w:eastAsia="Microsoft YaHei"/>
          <w:color w:val="964628"/>
          <w:sz w:val="21"/>
        </w:rPr>
        <w:t>ask_user</w:t>
      </w:r>
      <w:r>
        <w:rPr>
          <w:rFonts w:ascii="Calibri" w:hAnsi="Calibri" w:eastAsia="Microsoft YaHei"/>
        </w:rPr>
        <w:t xml:space="preserve">，用户确认后返回流程；命令失败、重复或超过预算时进入停止状态。右侧列出当前实现的工程约束：最多 50 个 Agent step、最多 40 次 </w:t>
      </w:r>
      <w:r>
        <w:rPr>
          <w:rFonts w:ascii="Consolas" w:hAnsi="Consolas" w:eastAsia="Microsoft YaHei"/>
          <w:color w:val="964628"/>
          <w:sz w:val="21"/>
        </w:rPr>
        <w:t>run_command</w:t>
      </w:r>
      <w:r>
        <w:rPr>
          <w:rFonts w:ascii="Calibri" w:hAnsi="Calibri" w:eastAsia="Microsoft YaHei"/>
        </w:rPr>
        <w:t xml:space="preserve">、连续 3 次失败停止、同一命令第 3 次重复停止、直接 </w:t>
      </w:r>
      <w:r>
        <w:rPr>
          <w:rFonts w:ascii="Consolas" w:hAnsi="Consolas" w:eastAsia="Microsoft YaHei"/>
          <w:color w:val="964628"/>
          <w:sz w:val="21"/>
        </w:rPr>
        <w:t>rm</w:t>
      </w:r>
      <w:r>
        <w:rPr>
          <w:rFonts w:ascii="Calibri" w:hAnsi="Calibri" w:eastAsia="Microsoft YaHei"/>
        </w:rPr>
        <w:t xml:space="preserve"> 拒绝、长任务使用 </w:t>
      </w:r>
      <w:r>
        <w:rPr>
          <w:rFonts w:ascii="Consolas" w:hAnsi="Consolas" w:eastAsia="Microsoft YaHei"/>
          <w:color w:val="964628"/>
          <w:sz w:val="21"/>
        </w:rPr>
        <w:t>bsub</w:t>
      </w:r>
      <w:r>
        <w:rPr>
          <w:rFonts w:ascii="Calibri" w:hAnsi="Calibri" w:eastAsia="Microsoft YaHei"/>
        </w:rPr>
        <w:t>。用橙色表示确认和停止路径，绿色表示正常执行路径，灰色表示状态记录。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建议图注：图 3 | Agent 执行循环与安全守卫。Agent 先读取环境事实，再决定是否执行；参数缺失、风险操作和重复失败分别进入确认或停止路径。</w:t>
      </w:r>
    </w:p>
    <w:p>
      <w:pPr>
        <w:pStyle w:val="Heading1"/>
        <w:spacing w:before="0" w:after="120" w:line="280" w:lineRule="auto"/>
      </w:pPr>
      <w:r>
        <w:t>图 4 | 工作台界面和典型任务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请基于真实产品截图制作一张多面板图，包含登录与双因素认证、Web SSH 终端、AI Agent 工具调用、远程文件管理器、技能检索和 LSF 作业监控六个面板。保留真实界面中的字体、颜色和组件关系，不要重新设计成营销海报。每个面板只突出一个操作事实：登录、探查、执行、查看文件、检索知识或监控作业。对话内容和路径使用脱敏的示例文本，避免显示真实主机名、用户名、样本名、凭证和机构内部路径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建议图注：图 4 | HPClaw 的代表性工作台界面。终端、Agent、远程文件、技能和作业状态在同一会话内协同工作。</w:t>
      </w:r>
    </w:p>
    <w:p>
      <w:pPr>
        <w:pStyle w:val="Heading1"/>
        <w:spacing w:before="0" w:after="120" w:line="280" w:lineRule="auto"/>
      </w:pPr>
      <w:r>
        <w:t>图 5 | 后续评估设计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请绘制一张评估设计图，不填写虚构结果。左侧为三种条件：传统 SSH 加人工查阅、Web SSH 加通用聊天模型、HPClaw；中部为任务集：环境登录、目录探查、FASTQ 质控提交、LSF 监控、错误解释、文件预览、会话恢复和技能保存；右侧为指标：任务成功率、完成时间、命令数、错误次数、人工干预次数、参数确认准确性、连接稳定性、文件传输时间和 SUS/NASA-TLX。底部显示失败案例审计和跨集群复现。整体为实验设计示意，不出现任何结果数字。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建议图注：图 5 | HPClaw 的后续评估设计。评估同时覆盖任务完成、操作成本、安全行为、连接可靠性和用户负担，并通过失败案例审计分析系统的适用边界。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F5F5F"/>
        <w:sz w:val="18"/>
      </w:rPr>
      <w:t>HPClaw manuscript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  <w:jc w:val="both"/>
    </w:pPr>
    <w:rPr>
      <w:rFonts w:ascii="Calibri" w:hAnsi="Calibri" w:eastAsia="Microsoft YaHe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3232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323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23232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