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What is redacted before the model.</w:t>
      </w:r>
      <w:r>
        <w:rPr/>
        <w:t xml:space="preserve"> In live mode, before any text goes to Claude or DeepSeek (offers, term sheets, contract chunks and the </w:t>
      </w:r>
      <w:r>
        <w:rPr>
          <w:rFonts w:ascii="Courier New" w:hAnsi="Courier New"/>
          <w:sz w:val="18"/>
        </w:rPr>
        <w:t>/nl</w:t>
      </w:r>
      <w:r>
        <w:rPr/>
        <w:t xml:space="preserve"> classifier), </w:t>
      </w:r>
      <w:r>
        <w:rPr>
          <w:rFonts w:ascii="Courier New" w:hAnsi="Courier New"/>
          <w:sz w:val="18"/>
        </w:rPr>
        <w:t>app/compiler/redaction.py</w:t>
      </w:r>
      <w:r>
        <w:rPr/>
        <w:t xml:space="preserve"> replaces the identifiers FLOW never reads with stable placeholders such as </w:t>
      </w:r>
      <w:r>
        <w:rPr>
          <w:rFonts w:ascii="Courier New" w:hAnsi="Courier New"/>
          <w:sz w:val="18"/>
        </w:rPr>
        <w:t>⟦ACCOUNT_1⟧</w:t>
      </w:r>
      <w:r>
        <w:rPr/>
        <w:t xml:space="preserve">: bank account and card numbers, phone numbers, email addresses, the 18-character unified social credit code, national ID and passport numbers, and street addresses where a label says so (住所, 地址, Address:). Party names, amounts, dates, rates, percentages, contract and invoice numbers and the clauses are sent unchanged, because FLOW reads them. The redaction keeps an offset map: the model quotes the redacted text, and each quote is mapped back to the original document's own words before grounding, so every stored span and offset refers to the original. Recorded readings are looked up, and the rules grammar and the cross-check read, by the original text; none of them leaves the machine. </w:t>
      </w:r>
      <w:r>
        <w:rPr>
          <w:rFonts w:ascii="Courier New" w:hAnsi="Courier New"/>
          <w:sz w:val="18"/>
        </w:rPr>
        <w:t>LLM_REDACT</w:t>
      </w:r>
      <w:r>
        <w:rPr/>
        <w:t xml:space="preserve"> (on by default) controls it, and only counts per kind are logged (</w:t>
      </w:r>
      <w:r>
        <w:rPr>
          <w:rFonts w:ascii="Courier New" w:hAnsi="Courier New"/>
          <w:sz w:val="18"/>
        </w:rPr>
        <w:t>model.redaction</w:t>
      </w:r>
      <w:r>
        <w:rPr/>
        <w:t xml:space="preserve">). Tests: </w:t>
      </w:r>
      <w:r>
        <w:rPr>
          <w:rFonts w:ascii="Courier New" w:hAnsi="Courier New"/>
          <w:sz w:val="18"/>
        </w:rPr>
        <w:t>tests/compiler/test_redaction.py</w:t>
      </w:r>
      <w:r>
        <w:rPr/>
        <w: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kind of caller that opened it (owner, agent or counterparty).</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b/>
        </w:rPr>
        <w:t xml:space="preserve"> is off unless set</w:t>
      </w:r>
      <w:r>
        <w:rPr/>
        <w:t xml:space="preserve"> (since 16 Oct, SEC-07). Local runs, the tests, the browser suites and CI set </w:t>
      </w:r>
      <w:r>
        <w:rPr>
          <w:rFonts w:ascii="Courier New" w:hAnsi="Courier New"/>
          <w:sz w:val="18"/>
        </w:rPr>
        <w:t>DEMO_MODE=1</w:t>
      </w:r>
      <w:r>
        <w:rPr/>
        <w:t>,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there. Without it a credential whose variable is unset matches nothing,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 no demo books are seeded, the demo signing key is never trusted, and </w:t>
      </w:r>
      <w:r>
        <w:rPr>
          <w:rFonts w:ascii="Courier New" w:hAnsi="Courier New"/>
          <w:sz w:val="18"/>
        </w:rPr>
        <w:t>/docs</w:t>
      </w:r>
      <w:r>
        <w:rPr/>
        <w:t xml:space="preserve"> and </w:t>
      </w:r>
      <w:r>
        <w:rPr>
          <w:rFonts w:ascii="Courier New" w:hAnsi="Courier New"/>
          <w:sz w:val="18"/>
        </w:rPr>
        <w:t>/openapi.json</w:t>
      </w:r>
      <w:r>
        <w:rPr/>
        <w:t xml:space="preserve"> are not served. The Compose deployment sets </w:t>
      </w:r>
      <w:r>
        <w:rPr>
          <w:rFonts w:ascii="Courier New" w:hAnsi="Courier New"/>
          <w:sz w:val="18"/>
        </w:rPr>
        <w:t>DEMO_MODE=0</w:t>
      </w:r>
      <w:r>
        <w:rPr/>
        <w:t xml:space="preserve"> explicitly.</w:t>
      </w:r>
    </w:p>
    <w:p>
      <w:pPr>
        <w:pStyle w:val="ListBullet2"/>
        <w:tabs>
          <w:tab w:pos="792" w:val="left"/>
        </w:tabs>
        <w:ind w:left="792" w:hanging="288"/>
      </w:pPr>
      <w:r>
        <w:rPr>
          <w:b/>
        </w:rPr>
        <w:t>The agent's chat sees only its own amounts</w:t>
      </w:r>
      <w:r>
        <w:rPr/>
        <w:t xml:space="preserve"> (R-11, the owner's decision of 16 Oct). An agent-key turn on </w:t>
      </w:r>
      <w:r>
        <w:rPr>
          <w:rFonts w:ascii="Courier New" w:hAnsi="Courier New"/>
          <w:sz w:val="18"/>
        </w:rPr>
        <w:t>/nl</w:t>
      </w:r>
      <w:r>
        <w:rPr/>
        <w:t xml:space="preserve"> is answered from an allow-list (</w:t>
      </w:r>
      <w:r>
        <w:rPr>
          <w:rFonts w:ascii="Courier New" w:hAnsi="Courier New"/>
          <w:sz w:val="18"/>
        </w:rPr>
        <w:t>app/api/agent_view.py</w:t>
      </w:r>
      <w:r>
        <w:rPr/>
        <w:t>): the intent, the operation steps, the outcome, what ran or was queued, refusal reasons in words, and the amounts of its own operations; a pure read answers "This needs the owner's sign-in." Every text in it passes the egress guard.</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rPr/>
        <w:t xml:space="preserve">, SEC-08); the executor also refuses a decision the log already holds, even if the approval row is put back to pending (owner-approved, merged after </w:t>
      </w:r>
      <w:r>
        <w:rPr>
          <w:rFonts w:ascii="Courier New" w:hAnsi="Courier New"/>
          <w:sz w:val="18"/>
        </w:rPr>
        <w:t>719c9dcf</w:t>
      </w:r>
      <w:r>
        <w:rPr/>
        <w:t>). The chain covers the operations log only, and its head is not anchored outside the system (R-13 in the Security Self-Assessment).</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 It also reads less common spellings (30,0000; 3,00,000; 0.3m; 3e5; 30w; 千; ‰; points; a ratio written as a percentage; SEC-22). Derived values (the break-even rate, the counter cap, the shortfall) are not in the protected set, by the owner's decision of 17 Oct: the counter cap sits close to FLOW's own counter-offer, so the guard would block 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rPr/>
        <w:t xml:space="preserve"> on, off and unset.</w:t>
      </w:r>
    </w:p>
    <w:p>
      <w:pPr>
        <w:pStyle w:val="ListBullet2"/>
        <w:tabs>
          <w:tab w:pos="792" w:val="left"/>
        </w:tabs>
        <w:ind w:left="792" w:hanging="288"/>
      </w:pPr>
      <w:r>
        <w:rPr/>
        <w:t>The agent key's chat replies carry only the amounts of its own operations (R-11); a keyed buyer has a daily budget of 5 offers or messages (R-10).</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b/>
        </w:rPr>
        <w:t>Web and API hardening.</w:t>
      </w:r>
      <w:r>
        <w:rP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rPr/>
        <w:t xml:space="preserve"> and </w:t>
      </w:r>
      <w:r>
        <w:rPr>
          <w:rFonts w:ascii="Courier New" w:hAnsi="Courier New"/>
          <w:sz w:val="18"/>
        </w:rPr>
        <w:t>Retry-After</w:t>
      </w:r>
      <w:r>
        <w:rPr/>
        <w:t xml:space="preserve"> (SEC-12, SEC-20). Behind a proxy every caller shares the proxy's address, so a shared deployment still needs the proxy's own per-client limit.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DEMO_MODE=1 python -m app.security.attacks --report</w:t>
      </w:r>
      <w:r>
        <w:rPr/>
        <w:t xml:space="preserve">; first run 5 Oct 2026, re-run by the independent Security Lead on </w:t>
      </w:r>
      <w:r>
        <w:rPr>
          <w:rFonts w:ascii="Courier New" w:hAnsi="Courier New"/>
          <w:sz w:val="18"/>
        </w:rPr>
        <w:t>dev</w:t>
      </w:r>
      <w:r>
        <w:rPr/>
        <w:t xml:space="preserve"> at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and at </w:t>
      </w:r>
      <w:r>
        <w:rPr>
          <w:rFonts w:ascii="Courier New" w:hAnsi="Courier New"/>
          <w:sz w:val="18"/>
        </w:rPr>
        <w:t>719c9dcf</w:t>
      </w:r>
      <w:r>
        <w:rPr/>
        <w:t xml:space="preserve"> on 17 Oct,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r>
        <w:rPr>
          <w:b/>
        </w:rPr>
        <w:t>An independent Security Lead</w:t>
      </w:r>
      <w:r>
        <w:rPr/>
        <w:t xml:space="preserve"> (14 to 17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rPr/>
        <w:t xml:space="preserve">, </w:t>
      </w:r>
      <w:r>
        <w:rPr>
          <w:rFonts w:ascii="Courier New" w:hAnsi="Courier New"/>
          <w:sz w:val="18"/>
        </w:rPr>
        <w:t>081541d1</w:t>
      </w:r>
      <w:r>
        <w:rPr/>
        <w:t xml:space="preserve">, </w:t>
      </w:r>
      <w:r>
        <w:rPr>
          <w:rFonts w:ascii="Courier New" w:hAnsi="Courier New"/>
          <w:sz w:val="18"/>
        </w:rPr>
        <w:t>b6d1e519</w:t>
      </w:r>
      <w:r>
        <w:rPr/>
        <w:t xml:space="preserve">, </w:t>
      </w:r>
      <w:r>
        <w:rPr>
          <w:rFonts w:ascii="Courier New" w:hAnsi="Courier New"/>
          <w:sz w:val="18"/>
        </w:rPr>
        <w:t>0f92d433</w:t>
      </w:r>
      <w:r>
        <w:rPr/>
        <w:t xml:space="preserve">, </w:t>
      </w:r>
      <w:r>
        <w:rPr>
          <w:rFonts w:ascii="Courier New" w:hAnsi="Courier New"/>
          <w:sz w:val="18"/>
        </w:rPr>
        <w:t>719c9dcf</w:t>
      </w:r>
      <w:r>
        <w:rPr/>
        <w:t xml:space="preserve">; </w:t>
      </w:r>
      <w:r>
        <w:rPr>
          <w:rFonts w:ascii="Courier New" w:hAnsi="Courier New"/>
          <w:sz w:val="18"/>
        </w:rPr>
        <w:t>docs/security/CERTIFICATIONS.md</w:t>
      </w:r>
      <w:r>
        <w:rPr/>
        <w:t xml:space="preserve">).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decisions of 16 Oct on R-10, R-11 and </w:t>
      </w:r>
      <w:r>
        <w:rPr>
          <w:rFonts w:ascii="Courier New" w:hAnsi="Courier New"/>
          <w:sz w:val="18"/>
        </w:rPr>
        <w:t>DEMO_MODE</w:t>
      </w:r>
      <w:r>
        <w:rP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Self-Assessment.</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17, first run 16 Oct (the independent Security Lead, a local throwaway database):</w:t>
      </w:r>
      <w:r>
        <w:rPr/>
        <w:t xml:space="preserve"> the same invariants hold once a startup race is fixed (PG-1: every store re-ran its table and trigger DDL on opening, so two processes opening at once raced on the catalog and one failed to start; fixed on branch </w:t>
      </w:r>
      <w:r>
        <w:rPr>
          <w:rFonts w:ascii="Courier New" w:hAnsi="Courier New"/>
          <w:sz w:val="18"/>
        </w:rPr>
        <w:t>sec/pg-guard-install-lock</w:t>
      </w:r>
      <w:r>
        <w:rPr/>
        <w:t xml:space="preserve">, then 6 of 6 clean runs). Until that fix is merged,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The medium items from the chat attacks, after the owner's decisions of 16 Oct.</w:t>
      </w:r>
      <w:r>
        <w:rP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w:t>
      </w:r>
      <w:r>
        <w:rPr>
          <w:b/>
        </w:rPr>
        <w:t>As committed it does not yet start a working API</w:t>
      </w:r>
      <w:r>
        <w:rPr/>
        <w:t xml:space="preserve"> (SEC-06): it passes no </w:t>
      </w:r>
      <w:r>
        <w:rPr>
          <w:rFonts w:ascii="Courier New" w:hAnsi="Courier New"/>
          <w:sz w:val="18"/>
        </w:rPr>
        <w:t>OWNER_PUBLIC_KEY_HEX</w:t>
      </w:r>
      <w:r>
        <w:rPr/>
        <w:t xml:space="preserve">, nothing provisions the books and the signed mandate into an empty database, and the web image is built against </w:t>
      </w:r>
      <w:r>
        <w:rPr>
          <w:rFonts w:ascii="Courier New" w:hAnsi="Courier New"/>
          <w:sz w:val="18"/>
        </w:rPr>
        <w:t>http://localhost:8000</w:t>
      </w:r>
      <w:r>
        <w:rPr/>
        <w:t xml:space="preserve">. These are listed as production blockers in the Security Self-Assessment.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since 17 Oct no session setting lifts them (F-11, SEC-08), and </w:t>
      </w:r>
      <w:r>
        <w:rPr>
          <w:rFonts w:ascii="Courier New" w:hAnsi="Courier New"/>
          <w:sz w:val="18"/>
        </w:rPr>
        <w:t>/demo/reset</w:t>
      </w:r>
      <w:r>
        <w:rPr/>
        <w:t xml:space="preserve"> is owner-only and refused on a persistent store outside demo mode, but still erases the log in demo mode (F-05). The independent Security Lead audit of 14 to 16 Oct adds production blockers (no runnable production configuration, the chain head not anchored, one process only) and certifies the local demo only (latest: </w:t>
      </w:r>
      <w:r>
        <w:rPr>
          <w:rFonts w:ascii="Courier New" w:hAnsi="Courier New"/>
          <w:sz w:val="18"/>
        </w:rPr>
        <w:t>719c9dcf</w:t>
      </w:r>
      <w:r>
        <w:rPr/>
        <w:t>, 17 Oct).</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exercised locally, not in CI.</w:t>
      </w:r>
      <w:r>
        <w:rP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