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REVOLVING CREDIT LINE AGREEMENT</w:t>
      </w:r>
    </w:p>
    <w:p>
      <w:r>
        <w:t>Agreement No. MB-CL-2026-031</w:t>
      </w:r>
    </w:p>
    <w:p>
      <w:r>
        <w:t>Synthetic demonstration document, written to match the TermsLedger demo scenario. It is not a real agreement and binds no one.</w:t>
      </w:r>
    </w:p>
    <w:p>
      <w:r>
        <w:t>This Agreement is made on 25 August 2026 between Pearl River Commercial Bank, Foshan Branch (the "Bank") and Lingnan Homeware Manufacturing Co., Ltd. (the "Borrower").</w:t>
      </w:r>
    </w:p>
    <w:p>
      <w:pPr>
        <w:pStyle w:val="Heading2"/>
      </w:pPr>
      <w:r>
        <w:t>1. THE FACILITY</w:t>
      </w:r>
    </w:p>
    <w:p>
      <w:r>
        <w:t>1.1 The Bank makes available to the Borrower a revolving working-capital credit line with a facility limit of RMB 150,000.</w:t>
      </w:r>
    </w:p>
    <w:p>
      <w:r>
        <w:t>1.2 The Borrower shall use each drawing for its general working capital.</w:t>
      </w:r>
    </w:p>
    <w:p>
      <w:pPr>
        <w:pStyle w:val="Heading2"/>
      </w:pPr>
      <w:r>
        <w:t>2. DRAWDOWN</w:t>
      </w:r>
    </w:p>
    <w:p>
      <w:r>
        <w:t>2.1 Drawdowns are funded on the same day as the drawdown request.</w:t>
      </w:r>
    </w:p>
    <w:p>
      <w:r>
        <w:t>2.2 The Borrower may repay and redraw any part of the credit line during its availability.</w:t>
      </w:r>
    </w:p>
    <w:p>
      <w:pPr>
        <w:pStyle w:val="Heading2"/>
      </w:pPr>
      <w:r>
        <w:t>3. INTEREST AND FEES</w:t>
      </w:r>
    </w:p>
    <w:p>
      <w:r>
        <w:t>3.1 The interest rate is 6.4% per annum, accruing daily on the amount drawn.</w:t>
      </w:r>
    </w:p>
    <w:p>
      <w:r>
        <w:t>3.2 No arrangement fee, commitment fee or other fee is payable for the credit line.</w:t>
      </w:r>
    </w:p>
    <w:p>
      <w:pPr>
        <w:pStyle w:val="Heading2"/>
      </w:pPr>
      <w:r>
        <w:t>4. REPAYMENT</w:t>
      </w:r>
    </w:p>
    <w:p>
      <w:r>
        <w:t>4.1 Each drawing is repaid in a single bullet payment at the end of its interest period, and may be redrawn.</w:t>
      </w:r>
    </w:p>
    <w:p>
      <w:pPr>
        <w:pStyle w:val="Heading2"/>
      </w:pPr>
      <w:r>
        <w:t>5. FINANCIAL COVENANTS</w:t>
      </w:r>
    </w:p>
    <w:p>
      <w:r>
        <w:t>5.1 Debt service coverage: the Borrower shall maintain a debt service coverage ratio (DSCR) of at least 1.25 times in each month.</w:t>
      </w:r>
    </w:p>
    <w:p>
      <w:r>
        <w:t>5.2 Leverage: the total debt of the Borrower shall not exceed 2.5 times its annual EBITDA.</w:t>
      </w:r>
    </w:p>
    <w:p>
      <w:r>
        <w:t>5.3 Clean-down: the outstanding balance of the credit line shall be reduced to zero for at least thirty (30) consecutive days in each year.</w:t>
      </w:r>
    </w:p>
    <w:p>
      <w:pPr>
        <w:pStyle w:val="Heading2"/>
      </w:pPr>
      <w:r>
        <w:t>6. SECURITY</w:t>
      </w:r>
    </w:p>
    <w:p>
      <w:r>
        <w:t>6.1 No personal guarantee, collateral or pledge is required under this Agreement.</w:t>
      </w:r>
    </w:p>
    <w:p>
      <w:pPr>
        <w:pStyle w:val="Heading2"/>
      </w:pPr>
      <w:r>
        <w:t>7. GOVERNING LAW</w:t>
      </w:r>
    </w:p>
    <w:p>
      <w:r>
        <w:t>7.1 This Agreement is governed by the laws of the People's Republic of China.</w:t>
      </w:r>
    </w:p>
    <w:p>
      <w:r>
        <w:t>Signed for the Bank: Zhou Min, Relationship Manager. Date: 25 August 2026.</w:t>
      </w:r>
    </w:p>
    <w:p>
      <w:r>
        <w:t>Signed for the Borrower: Chen Wei, Director. Date: 25 August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mb-cl-2026-031-credit-line-agreement</dc:title>
  <dc:subject/>
  <dc:creator>TermsLedger demo</dc:creator>
  <cp:keywords/>
  <dc:description>Synthetic demonstration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