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w:t>
            </w:r>
            <w:r>
              <w:rPr>
                <w:rFonts w:ascii="Courier New" w:hAnsi="Courier New"/>
                <w:sz w:val="18"/>
              </w:rPr>
              <w:t>0004_approval_decided_day</w:t>
            </w:r>
            <w:r>
              <w:rPr>
                <w:sz w:val="18"/>
              </w:rPr>
              <w:t xml:space="preserve">, </w:t>
            </w:r>
            <w:r>
              <w:rPr>
                <w:rFonts w:ascii="Courier New" w:hAnsi="Courier New"/>
                <w:sz w:val="18"/>
              </w:rPr>
              <w:t>0005_contract_records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ingest/</w:t>
            </w:r>
            <w:r>
              <w:rPr>
                <w:sz w:val="18"/>
              </w:rPr>
              <w:t xml:space="preserve">, </w:t>
            </w:r>
            <w:r>
              <w:rPr>
                <w:rFonts w:ascii="Courier New" w:hAnsi="Courier New"/>
                <w:sz w:val="18"/>
              </w:rPr>
              <w:t>contracts/</w:t>
            </w:r>
            <w:r>
              <w:rPr>
                <w:sz w:val="18"/>
              </w:rPr>
              <w:t xml:space="preserve">, </w:t>
            </w:r>
            <w:r>
              <w:rPr>
                <w:rFonts w:ascii="Courier New" w:hAnsi="Courier New"/>
                <w:sz w:val="18"/>
              </w:rPr>
              <w:t>deals/</w:t>
            </w:r>
          </w:p>
        </w:tc>
        <w:tc>
          <w:tcPr>
            <w:tcW w:type="dxa" w:w="3293"/>
          </w:tcPr>
          <w:p>
            <w:r>
              <w:rPr>
                <w:sz w:val="18"/>
              </w:rPr>
              <w:t>Contract ingestion: text from a Word file or a PDF with a text layer (scans refused); a contract record per uploaded document (the reading, its flags, the hash of the text, PROPOSED until the owner confirms or rejects it); the deal card, which sets a confirmed contract beside the live books. A document never writes the books</w:t>
            </w:r>
          </w:p>
        </w:tc>
        <w:tc>
          <w:tcPr>
            <w:tcW w:type="dxa" w:w="3293"/>
          </w:tcPr>
          <w:p>
            <w:r>
              <w:rPr>
                <w:sz w:val="18"/>
              </w:rPr>
              <w:t>Trusted, deterministic; the reading inside is untrusted model output</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the deal card and the documents the agent has read, approvals waiting, alerts with "Let the agent fix this", recent agent actions), Mandate, Inbox, Documents (upload, the review screen with every clause highlighted beside its term, confirm or reject),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r>
        <w:tc>
          <w:tcPr>
            <w:tcW w:type="dxa" w:w="4939"/>
          </w:tcPr>
          <w:p>
            <w:r>
              <w:rPr>
                <w:sz w:val="18"/>
              </w:rPr>
              <w:t>Contracts (owner token)</w:t>
            </w:r>
          </w:p>
        </w:tc>
        <w:tc>
          <w:tcPr>
            <w:tcW w:type="dxa" w:w="4939"/>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home page opens on the deal card.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and the document and deal routes) require the owner token.</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python -m app.security.attacks --report</w:t>
      </w:r>
      <w:r>
        <w:rPr/>
        <w:t xml:space="preserve">, 5 Oct 2026).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5,702</w:t>
      </w:r>
      <w:r>
        <w:rPr/>
        <w:t xml:space="preserve"> API tests (8 Oct 2026, with contract ingestion):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964</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888</w:t>
            </w:r>
          </w:p>
        </w:tc>
        <w:tc>
          <w:tcPr>
            <w:tcW w:type="dxa" w:w="2469"/>
          </w:tcPr>
          <w:p>
            <w:r>
              <w:rPr>
                <w:sz w:val="18"/>
              </w:rPr>
              <w:t>capex</w:t>
            </w:r>
          </w:p>
        </w:tc>
        <w:tc>
          <w:tcPr>
            <w:tcW w:type="dxa" w:w="2469"/>
          </w:tcPr>
          <w:p>
            <w:r>
              <w:rPr>
                <w:sz w:val="18"/>
              </w:rPr>
              <w:t>51</w:t>
            </w:r>
          </w:p>
        </w:tc>
      </w:tr>
      <w:tr>
        <w:tc>
          <w:tcPr>
            <w:tcW w:type="dxa" w:w="2469"/>
          </w:tcPr>
          <w:p>
            <w:r>
              <w:rPr>
                <w:sz w:val="18"/>
              </w:rPr>
              <w:t>compiler</w:t>
            </w:r>
          </w:p>
        </w:tc>
        <w:tc>
          <w:tcPr>
            <w:tcW w:type="dxa" w:w="2469"/>
          </w:tcPr>
          <w:p>
            <w:r>
              <w:rPr>
                <w:sz w:val="18"/>
              </w:rPr>
              <w:t>684</w:t>
            </w:r>
          </w:p>
        </w:tc>
        <w:tc>
          <w:tcPr>
            <w:tcW w:type="dxa" w:w="2469"/>
          </w:tcPr>
          <w:p>
            <w:r>
              <w:rPr>
                <w:sz w:val="18"/>
              </w:rPr>
              <w:t>what-if</w:t>
            </w:r>
          </w:p>
        </w:tc>
        <w:tc>
          <w:tcPr>
            <w:tcW w:type="dxa" w:w="2469"/>
          </w:tcPr>
          <w:p>
            <w:r>
              <w:rPr>
                <w:sz w:val="18"/>
              </w:rPr>
              <w:t>45</w:t>
            </w:r>
          </w:p>
        </w:tc>
      </w:tr>
      <w:tr>
        <w:tc>
          <w:tcPr>
            <w:tcW w:type="dxa" w:w="2469"/>
          </w:tcPr>
          <w:p>
            <w:r>
              <w:rPr>
                <w:sz w:val="18"/>
              </w:rPr>
              <w:t>operations (executor)</w:t>
            </w:r>
          </w:p>
        </w:tc>
        <w:tc>
          <w:tcPr>
            <w:tcW w:type="dxa" w:w="2469"/>
          </w:tcPr>
          <w:p>
            <w:r>
              <w:rPr>
                <w:sz w:val="18"/>
              </w:rPr>
              <w:t>395</w:t>
            </w:r>
          </w:p>
        </w:tc>
        <w:tc>
          <w:tcPr>
            <w:tcW w:type="dxa" w:w="2469"/>
          </w:tcPr>
          <w:p>
            <w:r>
              <w:rPr>
                <w:sz w:val="18"/>
              </w:rPr>
              <w:t>certification</w:t>
            </w:r>
          </w:p>
        </w:tc>
        <w:tc>
          <w:tcPr>
            <w:tcW w:type="dxa" w:w="2469"/>
          </w:tcPr>
          <w:p>
            <w:r>
              <w:rPr>
                <w:sz w:val="18"/>
              </w:rPr>
              <w:t>41</w:t>
            </w:r>
          </w:p>
        </w:tc>
      </w:tr>
      <w:tr>
        <w:tc>
          <w:tcPr>
            <w:tcW w:type="dxa" w:w="2469"/>
          </w:tcPr>
          <w:p>
            <w:r>
              <w:rPr>
                <w:sz w:val="18"/>
              </w:rPr>
              <w:t>verifier</w:t>
            </w:r>
          </w:p>
        </w:tc>
        <w:tc>
          <w:tcPr>
            <w:tcW w:type="dxa" w:w="2469"/>
          </w:tcPr>
          <w:p>
            <w:r>
              <w:rPr>
                <w:sz w:val="18"/>
              </w:rPr>
              <w:t>258</w:t>
            </w:r>
          </w:p>
        </w:tc>
        <w:tc>
          <w:tcPr>
            <w:tcW w:type="dxa" w:w="2469"/>
          </w:tcPr>
          <w:p>
            <w:r>
              <w:rPr>
                <w:sz w:val="18"/>
              </w:rPr>
              <w:t>covenants</w:t>
            </w:r>
          </w:p>
        </w:tc>
        <w:tc>
          <w:tcPr>
            <w:tcW w:type="dxa" w:w="2469"/>
          </w:tcPr>
          <w:p>
            <w:r>
              <w:rPr>
                <w:sz w:val="18"/>
              </w:rPr>
              <w:t>38</w:t>
            </w:r>
          </w:p>
        </w:tc>
      </w:tr>
      <w:tr>
        <w:tc>
          <w:tcPr>
            <w:tcW w:type="dxa" w:w="2469"/>
          </w:tcPr>
          <w:p>
            <w:r>
              <w:rPr>
                <w:sz w:val="18"/>
              </w:rPr>
              <w:t>security (attacks, fuzzers, metrics)</w:t>
            </w:r>
          </w:p>
        </w:tc>
        <w:tc>
          <w:tcPr>
            <w:tcW w:type="dxa" w:w="2469"/>
          </w:tcPr>
          <w:p>
            <w:r>
              <w:rPr>
                <w:sz w:val="18"/>
              </w:rPr>
              <w:t>240</w:t>
            </w:r>
          </w:p>
        </w:tc>
        <w:tc>
          <w:tcPr>
            <w:tcW w:type="dxa" w:w="2469"/>
          </w:tcPr>
          <w:p>
            <w:r>
              <w:rPr>
                <w:sz w:val="18"/>
              </w:rPr>
              <w:t>concurrency</w:t>
            </w:r>
          </w:p>
        </w:tc>
        <w:tc>
          <w:tcPr>
            <w:tcW w:type="dxa" w:w="2469"/>
          </w:tcPr>
          <w:p>
            <w:r>
              <w:rPr>
                <w:sz w:val="18"/>
              </w:rPr>
              <w:t>30</w:t>
            </w:r>
          </w:p>
        </w:tc>
      </w:tr>
      <w:tr>
        <w:tc>
          <w:tcPr>
            <w:tcW w:type="dxa" w:w="2469"/>
          </w:tcPr>
          <w:p>
            <w:r>
              <w:rPr>
                <w:sz w:val="18"/>
              </w:rPr>
              <w:t>financial engine</w:t>
            </w:r>
          </w:p>
        </w:tc>
        <w:tc>
          <w:tcPr>
            <w:tcW w:type="dxa" w:w="2469"/>
          </w:tcPr>
          <w:p>
            <w:r>
              <w:rPr>
                <w:sz w:val="18"/>
              </w:rPr>
              <w:t>195</w:t>
            </w:r>
          </w:p>
        </w:tc>
        <w:tc>
          <w:tcPr>
            <w:tcW w:type="dxa" w:w="2469"/>
          </w:tcPr>
          <w:p>
            <w:r>
              <w:rPr>
                <w:sz w:val="18"/>
              </w:rPr>
              <w:t>document text extraction</w:t>
            </w:r>
          </w:p>
        </w:tc>
        <w:tc>
          <w:tcPr>
            <w:tcW w:type="dxa" w:w="2469"/>
          </w:tcPr>
          <w:p>
            <w:r>
              <w:rPr>
                <w:sz w:val="18"/>
              </w:rPr>
              <w:t>29</w:t>
            </w:r>
          </w:p>
        </w:tc>
      </w:tr>
      <w:tr>
        <w:tc>
          <w:tcPr>
            <w:tcW w:type="dxa" w:w="2469"/>
          </w:tcPr>
          <w:p>
            <w:r>
              <w:rPr>
                <w:sz w:val="18"/>
              </w:rPr>
              <w:t>api</w:t>
            </w:r>
          </w:p>
        </w:tc>
        <w:tc>
          <w:tcPr>
            <w:tcW w:type="dxa" w:w="2469"/>
          </w:tcPr>
          <w:p>
            <w:r>
              <w:rPr>
                <w:sz w:val="18"/>
              </w:rPr>
              <w:t>112</w:t>
            </w:r>
          </w:p>
        </w:tc>
        <w:tc>
          <w:tcPr>
            <w:tcW w:type="dxa" w:w="2469"/>
          </w:tcPr>
          <w:p>
            <w:r>
              <w:rPr>
                <w:sz w:val="18"/>
              </w:rPr>
              <w:t>borrower file</w:t>
            </w:r>
          </w:p>
        </w:tc>
        <w:tc>
          <w:tcPr>
            <w:tcW w:type="dxa" w:w="2469"/>
          </w:tcPr>
          <w:p>
            <w:r>
              <w:rPr>
                <w:sz w:val="18"/>
              </w:rPr>
              <w:t>29</w:t>
            </w:r>
          </w:p>
        </w:tc>
      </w:tr>
      <w:tr>
        <w:tc>
          <w:tcPr>
            <w:tcW w:type="dxa" w:w="2469"/>
          </w:tcPr>
          <w:p>
            <w:r>
              <w:rPr>
                <w:sz w:val="18"/>
              </w:rPr>
              <w:t>persistence</w:t>
            </w:r>
          </w:p>
        </w:tc>
        <w:tc>
          <w:tcPr>
            <w:tcW w:type="dxa" w:w="2469"/>
          </w:tcPr>
          <w:p>
            <w:r>
              <w:rPr>
                <w:sz w:val="18"/>
              </w:rPr>
              <w:t>104</w:t>
            </w:r>
          </w:p>
        </w:tc>
        <w:tc>
          <w:tcPr>
            <w:tcW w:type="dxa" w:w="2469"/>
          </w:tcPr>
          <w:p>
            <w:r>
              <w:rPr>
                <w:sz w:val="18"/>
              </w:rPr>
              <w:t>evaluation harness</w:t>
            </w:r>
          </w:p>
        </w:tc>
        <w:tc>
          <w:tcPr>
            <w:tcW w:type="dxa" w:w="2469"/>
          </w:tcPr>
          <w:p>
            <w:r>
              <w:rPr>
                <w:sz w:val="18"/>
              </w:rPr>
              <w:t>24</w:t>
            </w:r>
          </w:p>
        </w:tc>
      </w:tr>
      <w:tr>
        <w:tc>
          <w:tcPr>
            <w:tcW w:type="dxa" w:w="2469"/>
          </w:tcPr>
          <w:p>
            <w:r>
              <w:rPr>
                <w:sz w:val="18"/>
              </w:rPr>
              <w:t>commitments</w:t>
            </w:r>
          </w:p>
        </w:tc>
        <w:tc>
          <w:tcPr>
            <w:tcW w:type="dxa" w:w="2469"/>
          </w:tcPr>
          <w:p>
            <w:r>
              <w:rPr>
                <w:sz w:val="18"/>
              </w:rPr>
              <w:t>90</w:t>
            </w:r>
          </w:p>
        </w:tc>
        <w:tc>
          <w:tcPr>
            <w:tcW w:type="dxa" w:w="2469"/>
          </w:tcPr>
          <w:p>
            <w:r>
              <w:rPr>
                <w:sz w:val="18"/>
              </w:rPr>
              <w:t>money and fixtures</w:t>
            </w:r>
          </w:p>
        </w:tc>
        <w:tc>
          <w:tcPr>
            <w:tcW w:type="dxa" w:w="2469"/>
          </w:tcPr>
          <w:p>
            <w:r>
              <w:rPr>
                <w:sz w:val="18"/>
              </w:rPr>
              <w:t>11</w:t>
            </w:r>
          </w:p>
        </w:tc>
      </w:tr>
      <w:tr>
        <w:tc>
          <w:tcPr>
            <w:tcW w:type="dxa" w:w="2469"/>
          </w:tcPr>
          <w:p>
            <w:r>
              <w:rPr>
                <w:sz w:val="18"/>
              </w:rPr>
              <w:t>books</w:t>
            </w:r>
          </w:p>
        </w:tc>
        <w:tc>
          <w:tcPr>
            <w:tcW w:type="dxa" w:w="2469"/>
          </w:tcPr>
          <w:p>
            <w:r>
              <w:rPr>
                <w:sz w:val="18"/>
              </w:rPr>
              <w:t>83</w:t>
            </w:r>
          </w:p>
        </w:tc>
        <w:tc>
          <w:tcPr>
            <w:tcW w:type="dxa" w:w="2469"/>
          </w:tcPr>
          <w:p>
            <w:r>
              <w:rPr>
                <w:sz w:val="18"/>
              </w:rPr>
              <w:t>contract records (golden equality, held-out scorer)</w:t>
            </w:r>
          </w:p>
        </w:tc>
        <w:tc>
          <w:tcPr>
            <w:tcW w:type="dxa" w:w="2469"/>
          </w:tcPr>
          <w:p>
            <w:r>
              <w:rPr>
                <w:sz w:val="18"/>
              </w:rPr>
              <w:t>9</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w:t>
      </w:r>
      <w:r>
        <w:rPr>
          <w:b/>
        </w:rPr>
        <w:t>5,669 passed, 33 skipped, 0 failed</w:t>
      </w:r>
      <w:r>
        <w:rPr/>
        <w:t xml:space="preserve"> on 8 Oct 2026 with contract ingestion (branch </w:t>
      </w:r>
      <w:r>
        <w:rPr>
          <w:rFonts w:ascii="Courier New" w:hAnsi="Courier New"/>
          <w:sz w:val="18"/>
        </w:rPr>
        <w:t>feat/contract-ingestion</w:t>
      </w:r>
      <w:r>
        <w:rPr/>
        <w:t xml:space="preserve">; about 21 minutes in one run on a quiet machine). The run before it, on 3 Oct 2026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8 Oct 2026, with contract ingestion):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and </w:t>
      </w:r>
      <w:r>
        <w:rPr>
          <w:rFonts w:ascii="Courier New" w:hAnsi="Courier New"/>
          <w:sz w:val="18"/>
        </w:rPr>
        <w:t>pnpm test:unit</w:t>
      </w:r>
      <w:r>
        <w:rPr/>
        <w:t xml:space="preserve"> (17) pass; the mock-mode Playwright run passed </w:t>
      </w:r>
      <w:r>
        <w:rPr>
          <w:b/>
        </w:rPr>
        <w:t>45 tests</w:t>
      </w:r>
      <w:r>
        <w:rPr/>
        <w:t xml:space="preserve"> (1 skipped, a live-only test) and the live project </w:t>
      </w:r>
      <w:r>
        <w:rPr>
          <w:b/>
        </w:rPr>
        <w:t>40</w:t>
      </w:r>
      <w:r>
        <w:rPr/>
        <w:t xml:space="preserve"> (2 skipped, mock-only). They cover the demo walk with the golden numbers (including the two-step day-34 cure and the day-37 landing), the owner home with the deal and documents cards, the documents page (read, review, confirm, reject, upload, in English and Chinese), the chat panel, owner sign-in, the Tier-2 approval queue, phone layouts, and the adapter contract.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