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(build </w:t>
      </w:r>
      <w:r>
        <w:rPr>
          <w:rFonts w:ascii="Courier New" w:hAnsi="Courier New"/>
          <w:b/>
          <w:sz w:val="18"/>
        </w:rPr>
        <w:t>dev</w:t>
      </w:r>
      <w:r>
        <w:rPr>
          <w:b/>
          <w:sz w:val="20"/>
        </w:rPr>
        <w:t xml:space="preserve"> at </w:t>
      </w:r>
      <w:r>
        <w:rPr>
          <w:rFonts w:ascii="Courier New" w:hAnsi="Courier New"/>
          <w:b/>
          <w:sz w:val="18"/>
        </w:rPr>
        <w:t>975e082f</w:t>
      </w:r>
      <w:r>
        <w:rPr>
          <w:b/>
          <w:sz w:val="20"/>
        </w:rPr>
        <w:t>, 17 October 2026, offline; see Table 13 for each source).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336"/>
            <w:shd w:val="clear" w:color="auto" w:fill="E8EEFB"/>
          </w:tcPr>
          <w:p>
            <w:pPr>
              <w:keepNext/>
              <w:spacing w:before="20" w:after="20" w:line="240" w:lineRule="auto"/>
            </w:pPr>
            <w:r>
              <w:rPr>
                <w:b/>
                <w:sz w:val="18"/>
              </w:rPr>
              <w:t>What</w:t>
            </w:r>
          </w:p>
        </w:tc>
        <w:tc>
          <w:tcPr>
            <w:tcW w:type="dxa" w:w="8024"/>
            <w:shd w:val="clear" w:color="auto" w:fill="E8EEFB"/>
          </w:tcPr>
          <w:p>
            <w:pPr>
              <w:keepNext/>
              <w:spacing w:before="20" w:after="20" w:line="240" w:lineRule="auto"/>
            </w:pPr>
            <w:r>
              <w:rPr>
                <w:b/>
                <w:sz w:val="18"/>
              </w:rPr>
              <w:t>Result</w:t>
            </w:r>
          </w:p>
        </w:tc>
      </w:tr>
      <w:tr>
        <w:trPr>
          <w:cantSplit w:val="true"/>
        </w:trPr>
        <w:tc>
          <w:tcPr>
            <w:tcW w:type="dxa" w:w="1336"/>
          </w:tcPr>
          <w:p>
            <w:pPr>
              <w:spacing w:before="20" w:after="20" w:line="240" w:lineRule="auto"/>
            </w:pPr>
            <w:r>
              <w:rPr>
                <w:sz w:val="18"/>
              </w:rPr>
              <w:t>Decisions</w:t>
            </w:r>
          </w:p>
        </w:tc>
        <w:tc>
          <w:tcPr>
            <w:tcW w:type="dxa" w:w="8024"/>
          </w:tcPr>
          <w:p>
            <w:pPr>
              <w:spacing w:before="20" w:after="20" w:line="240" w:lineRule="auto"/>
            </w:pPr>
            <w:r>
              <w:rPr>
                <w:sz w:val="18"/>
              </w:rPr>
              <w:t>Six verdicts (accept, counter, reject, no deal, needs the owner, no verdict), each with the failing rule, the figures and its formula</w:t>
            </w:r>
          </w:p>
        </w:tc>
      </w:tr>
      <w:tr>
        <w:trPr>
          <w:cantSplit w:val="true"/>
        </w:trPr>
        <w:tc>
          <w:tcPr>
            <w:tcW w:type="dxa" w:w="1336"/>
          </w:tcPr>
          <w:p>
            <w:pPr>
              <w:spacing w:before="20" w:after="20" w:line="240" w:lineRule="auto"/>
            </w:pPr>
            <w:r>
              <w:rPr>
                <w:sz w:val="18"/>
              </w:rPr>
              <w:t>Engine correctness</w:t>
            </w:r>
          </w:p>
        </w:tc>
        <w:tc>
          <w:tcPr>
            <w:tcW w:type="dxa" w:w="8024"/>
          </w:tcPr>
          <w:p>
            <w:pPr>
              <w:spacing w:before="20" w:after="20" w:line="240" w:lineRule="auto"/>
            </w:pPr>
            <w:r>
              <w:rPr>
                <w:sz w:val="18"/>
              </w:rPr>
              <w:t>Financial values exact to the fen against an independent oracle: 67/67. Covenant and capex values: 27/27</w:t>
            </w:r>
          </w:p>
        </w:tc>
      </w:tr>
      <w:tr>
        <w:trPr>
          <w:cantSplit w:val="true"/>
        </w:trPr>
        <w:tc>
          <w:tcPr>
            <w:tcW w:type="dxa" w:w="1336"/>
          </w:tcPr>
          <w:p>
            <w:pPr>
              <w:spacing w:before="20" w:after="20" w:line="240" w:lineRule="auto"/>
            </w:pPr>
            <w:r>
              <w:rPr>
                <w:sz w:val="18"/>
              </w:rPr>
              <w:t>Funding router</w:t>
            </w:r>
          </w:p>
        </w:tc>
        <w:tc>
          <w:tcPr>
            <w:tcW w:type="dxa" w:w="8024"/>
          </w:tcPr>
          <w:p>
            <w:pPr>
              <w:spacing w:before="20" w:after="20" w:line="240" w:lineRule="auto"/>
            </w:pPr>
            <w:r>
              <w:rPr>
                <w:sz w:val="18"/>
              </w:rPr>
              <w:t>Optimal against an exhaustive brute force on 26/26 scenarios</w:t>
            </w:r>
          </w:p>
        </w:tc>
      </w:tr>
      <w:tr>
        <w:trPr>
          <w:cantSplit w:val="true"/>
        </w:trPr>
        <w:tc>
          <w:tcPr>
            <w:tcW w:type="dxa" w:w="1336"/>
          </w:tcPr>
          <w:p>
            <w:pPr>
              <w:spacing w:before="20" w:after="20" w:line="240" w:lineRule="auto"/>
            </w:pPr>
            <w:r>
              <w:rPr>
                <w:sz w:val="18"/>
              </w:rPr>
              <w:t>Safety</w:t>
            </w:r>
          </w:p>
        </w:tc>
        <w:tc>
          <w:tcPr>
            <w:tcW w:type="dxa" w:w="8024"/>
          </w:tcPr>
          <w:p>
            <w:pPr>
              <w:spacing w:before="20" w:after="20" w:line="240" w:lineRule="auto"/>
            </w:pPr>
            <w:r>
              <w:rPr>
                <w:sz w:val="18"/>
              </w:rPr>
              <w:t>0 wrong autonomous accepts on two held-out sets (115 buyer messages)</w:t>
            </w:r>
          </w:p>
        </w:tc>
      </w:tr>
      <w:tr>
        <w:trPr>
          <w:cantSplit w:val="true"/>
        </w:trPr>
        <w:tc>
          <w:tcPr>
            <w:tcW w:type="dxa" w:w="1336"/>
          </w:tcPr>
          <w:p>
            <w:pPr>
              <w:spacing w:before="20" w:after="20" w:line="240" w:lineRule="auto"/>
            </w:pPr>
            <w:r>
              <w:rPr>
                <w:sz w:val="18"/>
              </w:rPr>
              <w:t>Usefulness</w:t>
            </w:r>
          </w:p>
        </w:tc>
        <w:tc>
          <w:tcPr>
            <w:tcW w:type="dxa" w:w="8024"/>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7)</w:t>
            </w:r>
          </w:p>
        </w:tc>
      </w:tr>
      <w:tr>
        <w:trPr>
          <w:cantSplit w:val="true"/>
        </w:trPr>
        <w:tc>
          <w:tcPr>
            <w:tcW w:type="dxa" w:w="1336"/>
          </w:tcPr>
          <w:p>
            <w:pPr>
              <w:spacing w:before="20" w:after="20" w:line="240" w:lineRule="auto"/>
            </w:pPr>
            <w:r>
              <w:rPr>
                <w:sz w:val="18"/>
              </w:rPr>
              <w:t>Security</w:t>
            </w:r>
          </w:p>
        </w:tc>
        <w:tc>
          <w:tcPr>
            <w:tcW w:type="dxa" w:w="8024"/>
          </w:tcPr>
          <w:p>
            <w:pPr>
              <w:spacing w:before="20" w:after="20" w:line="240" w:lineRule="auto"/>
            </w:pPr>
            <w:r>
              <w:rPr>
                <w:sz w:val="18"/>
              </w:rPr>
              <w:t>260 stored attack cases through the API and chat: 0 violations of the defined harm oracles in each specified run. Reviewed and certified by the team's Security Lead, an AI agent in a separate session (an internal review, not external accreditation)</w:t>
            </w:r>
          </w:p>
        </w:tc>
      </w:tr>
      <w:tr>
        <w:trPr>
          <w:cantSplit w:val="true"/>
        </w:trPr>
        <w:tc>
          <w:tcPr>
            <w:tcW w:type="dxa" w:w="1336"/>
          </w:tcPr>
          <w:p>
            <w:pPr>
              <w:spacing w:before="20" w:after="20" w:line="240" w:lineRule="auto"/>
            </w:pPr>
            <w:r>
              <w:rPr>
                <w:sz w:val="18"/>
              </w:rPr>
              <w:t>Agent tasks</w:t>
            </w:r>
          </w:p>
        </w:tc>
        <w:tc>
          <w:tcPr>
            <w:tcW w:type="dxa" w:w="8024"/>
          </w:tcPr>
          <w:p>
            <w:pPr>
              <w:spacing w:before="20" w:after="20" w:line="240" w:lineRule="auto"/>
            </w:pPr>
            <w:r>
              <w:rPr>
                <w:sz w:val="18"/>
              </w:rPr>
              <w:t>49/49 scripted conversations completed, each with a verifiable evidence chain</w:t>
            </w:r>
          </w:p>
        </w:tc>
      </w:tr>
      <w:tr>
        <w:trPr>
          <w:cantSplit w:val="true"/>
        </w:trPr>
        <w:tc>
          <w:tcPr>
            <w:tcW w:type="dxa" w:w="1336"/>
          </w:tcPr>
          <w:p>
            <w:pPr>
              <w:spacing w:before="20" w:after="20" w:line="240" w:lineRule="auto"/>
            </w:pPr>
            <w:r>
              <w:rPr>
                <w:sz w:val="18"/>
              </w:rPr>
              <w:t>Tests</w:t>
            </w:r>
          </w:p>
        </w:tc>
        <w:tc>
          <w:tcPr>
            <w:tcW w:type="dxa" w:w="8024"/>
          </w:tcPr>
          <w:p>
            <w:pPr>
              <w:spacing w:before="20" w:after="20" w:line="240" w:lineRule="auto"/>
            </w:pPr>
            <w:r>
              <w:rPr>
                <w:sz w:val="18"/>
              </w:rPr>
              <w:t>9,085 API tests (9,040 passed, 1 known machine-specific hash failure, the rest skipped by design), 169 web unit tests, 445 mock and 139 live browser tests</w:t>
            </w:r>
          </w:p>
        </w:tc>
      </w:tr>
      <w:tr>
        <w:trPr>
          <w:cantSplit w:val="true"/>
        </w:trPr>
        <w:tc>
          <w:tcPr>
            <w:tcW w:type="dxa" w:w="1336"/>
          </w:tcPr>
          <w:p>
            <w:pPr>
              <w:spacing w:before="20" w:after="20" w:line="240" w:lineRule="auto"/>
            </w:pPr>
            <w:r>
              <w:rPr>
                <w:sz w:val="18"/>
              </w:rPr>
              <w:t>Languages</w:t>
            </w:r>
          </w:p>
        </w:tc>
        <w:tc>
          <w:tcPr>
            <w:tcW w:type="dxa" w:w="8024"/>
          </w:tcPr>
          <w:p>
            <w:pPr>
              <w:spacing w:before="20" w:after="20" w:line="240" w:lineRule="auto"/>
            </w:pPr>
            <w:r>
              <w:rPr>
                <w:sz w:val="18"/>
              </w:rPr>
              <w:t>Every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063"/>
            <w:shd w:val="clear" w:color="auto" w:fill="E8EEFB"/>
          </w:tcPr>
          <w:p>
            <w:pPr>
              <w:keepNext/>
              <w:spacing w:before="20" w:after="20" w:line="240" w:lineRule="auto"/>
            </w:pPr>
            <w:r>
              <w:rPr>
                <w:b/>
                <w:sz w:val="18"/>
              </w:rPr>
              <w:t>Product</w:t>
            </w:r>
          </w:p>
        </w:tc>
        <w:tc>
          <w:tcPr>
            <w:tcW w:type="dxa" w:w="3432"/>
            <w:shd w:val="clear" w:color="auto" w:fill="E8EEFB"/>
          </w:tcPr>
          <w:p>
            <w:pPr>
              <w:keepNext/>
              <w:spacing w:before="20" w:after="20" w:line="240" w:lineRule="auto"/>
            </w:pPr>
            <w:r>
              <w:rPr>
                <w:b/>
                <w:sz w:val="18"/>
              </w:rPr>
              <w:t>What it does</w:t>
            </w:r>
          </w:p>
        </w:tc>
        <w:tc>
          <w:tcPr>
            <w:tcW w:type="dxa" w:w="3865"/>
            <w:shd w:val="clear" w:color="auto" w:fill="E8EEFB"/>
          </w:tcPr>
          <w:p>
            <w:pPr>
              <w:keepNext/>
              <w:spacing w:before="20" w:after="20" w:line="240" w:lineRule="auto"/>
            </w:pPr>
            <w:r>
              <w:rPr>
                <w:b/>
                <w:sz w:val="18"/>
              </w:rPr>
              <w:t>How FLOW differs</w:t>
            </w:r>
          </w:p>
        </w:tc>
      </w:tr>
      <w:tr>
        <w:trPr>
          <w:cantSplit w:val="true"/>
        </w:trPr>
        <w:tc>
          <w:tcPr>
            <w:tcW w:type="dxa" w:w="2063"/>
          </w:tcPr>
          <w:p>
            <w:pPr>
              <w:spacing w:before="20" w:after="20" w:line="240" w:lineRule="auto"/>
            </w:pPr>
            <w:r>
              <w:rPr>
                <w:sz w:val="18"/>
              </w:rPr>
              <w:t>Pactum</w:t>
            </w:r>
          </w:p>
        </w:tc>
        <w:tc>
          <w:tcPr>
            <w:tcW w:type="dxa" w:w="3432"/>
          </w:tcPr>
          <w:p>
            <w:pPr>
              <w:spacing w:before="20" w:after="20" w:line="240" w:lineRule="auto"/>
            </w:pPr>
            <w:r>
              <w:rPr>
                <w:sz w:val="18"/>
              </w:rPr>
              <w:t>Buyer-side agents that negotiate payment days, discounts and rebates</w:t>
            </w:r>
          </w:p>
        </w:tc>
        <w:tc>
          <w:tcPr>
            <w:tcW w:type="dxa" w:w="3865"/>
          </w:tcPr>
          <w:p>
            <w:pPr>
              <w:spacing w:before="20" w:after="20" w:line="240" w:lineRule="auto"/>
            </w:pPr>
            <w:r>
              <w:rPr>
                <w:sz w:val="18"/>
              </w:rPr>
              <w:t>FLOW sits on the other side of the table</w:t>
            </w:r>
          </w:p>
        </w:tc>
      </w:tr>
      <w:tr>
        <w:trPr>
          <w:cantSplit w:val="true"/>
        </w:trPr>
        <w:tc>
          <w:tcPr>
            <w:tcW w:type="dxa" w:w="2063"/>
          </w:tcPr>
          <w:p>
            <w:pPr>
              <w:spacing w:before="20" w:after="20" w:line="240" w:lineRule="auto"/>
            </w:pPr>
            <w:r>
              <w:rPr>
                <w:sz w:val="18"/>
              </w:rPr>
              <w:t>MYbank 百灵 / AI票据管家</w:t>
            </w:r>
          </w:p>
        </w:tc>
        <w:tc>
          <w:tcPr>
            <w:tcW w:type="dxa" w:w="3432"/>
          </w:tcPr>
          <w:p>
            <w:pPr>
              <w:spacing w:before="20" w:after="20" w:line="240" w:lineRule="auto"/>
            </w:pPr>
            <w:r>
              <w:rPr>
                <w:sz w:val="18"/>
              </w:rPr>
              <w:t>Lender agents that tailor the bank's own credit and bill products</w:t>
            </w:r>
          </w:p>
        </w:tc>
        <w:tc>
          <w:tcPr>
            <w:tcW w:type="dxa" w:w="3865"/>
          </w:tcPr>
          <w:p>
            <w:pPr>
              <w:spacing w:before="20" w:after="20" w:line="240" w:lineRule="auto"/>
            </w:pPr>
            <w:r>
              <w:rPr>
                <w:sz w:val="18"/>
              </w:rPr>
              <w:t>FLOW is supplier-owned and compares several sources, starting from the trade terms that cause the need</w:t>
            </w:r>
          </w:p>
        </w:tc>
      </w:tr>
      <w:tr>
        <w:trPr>
          <w:cantSplit w:val="true"/>
        </w:trPr>
        <w:tc>
          <w:tcPr>
            <w:tcW w:type="dxa" w:w="2063"/>
          </w:tcPr>
          <w:p>
            <w:pPr>
              <w:spacing w:before="20" w:after="20" w:line="240" w:lineRule="auto"/>
            </w:pPr>
            <w:r>
              <w:rPr>
                <w:sz w:val="18"/>
              </w:rPr>
              <w:t>Xero JAX Cash Flow Actions</w:t>
            </w:r>
          </w:p>
        </w:tc>
        <w:tc>
          <w:tcPr>
            <w:tcW w:type="dxa" w:w="3432"/>
          </w:tcPr>
          <w:p>
            <w:pPr>
              <w:spacing w:before="20" w:after="20" w:line="240" w:lineRule="auto"/>
            </w:pPr>
            <w:r>
              <w:rPr>
                <w:sz w:val="18"/>
              </w:rPr>
              <w:t>Ledger-side cash-gap detection and suggested plans</w:t>
            </w:r>
          </w:p>
        </w:tc>
        <w:tc>
          <w:tcPr>
            <w:tcW w:type="dxa" w:w="3865"/>
          </w:tcPr>
          <w:p>
            <w:pPr>
              <w:spacing w:before="20" w:after="20" w:line="240" w:lineRule="auto"/>
            </w:pPr>
            <w:r>
              <w:rPr>
                <w:sz w:val="18"/>
              </w:rPr>
              <w:t>FLOW reads incoming offers and decides them inside a signed mandate and covenants</w:t>
            </w:r>
          </w:p>
        </w:tc>
      </w:tr>
      <w:tr>
        <w:trPr>
          <w:cantSplit w:val="true"/>
        </w:trPr>
        <w:tc>
          <w:tcPr>
            <w:tcW w:type="dxa" w:w="2063"/>
          </w:tcPr>
          <w:p>
            <w:pPr>
              <w:spacing w:before="20" w:after="20" w:line="240" w:lineRule="auto"/>
            </w:pPr>
            <w:r>
              <w:rPr>
                <w:sz w:val="18"/>
              </w:rPr>
              <w:t>Cerebro Capital, Capitalise, Codat, Lendio</w:t>
            </w:r>
          </w:p>
        </w:tc>
        <w:tc>
          <w:tcPr>
            <w:tcW w:type="dxa" w:w="3432"/>
          </w:tcPr>
          <w:p>
            <w:pPr>
              <w:spacing w:before="20" w:after="20" w:line="240" w:lineRule="auto"/>
            </w:pPr>
            <w:r>
              <w:rPr>
                <w:sz w:val="18"/>
              </w:rPr>
              <w:t>Lender marketplaces and debt-capacity tools for banks or mid-market firms</w:t>
            </w:r>
          </w:p>
        </w:tc>
        <w:tc>
          <w:tcPr>
            <w:tcW w:type="dxa" w:w="3865"/>
          </w:tcPr>
          <w:p>
            <w:pPr>
              <w:spacing w:before="20" w:after="20" w:line="240" w:lineRule="auto"/>
            </w:pPr>
            <w:r>
              <w:rPr>
                <w:sz w:val="18"/>
              </w:rPr>
              <w:t>FLOW starts before the owner decides to borrow, at the request that creates the need</w:t>
            </w:r>
          </w:p>
        </w:tc>
      </w:tr>
    </w:tbl>
    <w:p>
      <w:pPr>
        <w:spacing w:after="40"/>
      </w:pP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3. The four roles in the pipeline.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34"/>
            <w:shd w:val="clear" w:color="auto" w:fill="E8EEFB"/>
          </w:tcPr>
          <w:p>
            <w:pPr>
              <w:keepNext/>
              <w:spacing w:before="20" w:after="20" w:line="240" w:lineRule="auto"/>
            </w:pPr>
            <w:r>
              <w:rPr>
                <w:b/>
                <w:sz w:val="18"/>
              </w:rPr>
              <w:t>Role</w:t>
            </w:r>
          </w:p>
        </w:tc>
        <w:tc>
          <w:tcPr>
            <w:tcW w:type="dxa" w:w="2637"/>
            <w:shd w:val="clear" w:color="auto" w:fill="E8EEFB"/>
          </w:tcPr>
          <w:p>
            <w:pPr>
              <w:keepNext/>
              <w:spacing w:before="20" w:after="20" w:line="240" w:lineRule="auto"/>
            </w:pPr>
            <w:r>
              <w:rPr>
                <w:b/>
                <w:sz w:val="18"/>
              </w:rPr>
              <w:t>Code</w:t>
            </w:r>
          </w:p>
        </w:tc>
        <w:tc>
          <w:tcPr>
            <w:tcW w:type="dxa" w:w="2709"/>
            <w:shd w:val="clear" w:color="auto" w:fill="E8EEFB"/>
          </w:tcPr>
          <w:p>
            <w:pPr>
              <w:keepNext/>
              <w:spacing w:before="20" w:after="20" w:line="240" w:lineRule="auto"/>
            </w:pPr>
            <w:r>
              <w:rPr>
                <w:b/>
                <w:sz w:val="18"/>
              </w:rPr>
              <w:t>May</w:t>
            </w:r>
          </w:p>
        </w:tc>
        <w:tc>
          <w:tcPr>
            <w:tcW w:type="dxa" w:w="2579"/>
            <w:shd w:val="clear" w:color="auto" w:fill="E8EEFB"/>
          </w:tcPr>
          <w:p>
            <w:pPr>
              <w:keepNext/>
              <w:spacing w:before="20" w:after="20" w:line="240" w:lineRule="auto"/>
            </w:pPr>
            <w:r>
              <w:rPr>
                <w:b/>
                <w:sz w:val="18"/>
              </w:rPr>
              <w:t>May not</w:t>
            </w:r>
          </w:p>
        </w:tc>
      </w:tr>
      <w:tr>
        <w:trPr>
          <w:cantSplit w:val="true"/>
        </w:trPr>
        <w:tc>
          <w:tcPr>
            <w:tcW w:type="dxa" w:w="1434"/>
          </w:tcPr>
          <w:p>
            <w:pPr>
              <w:spacing w:before="20" w:after="20" w:line="240" w:lineRule="auto"/>
            </w:pPr>
            <w:r>
              <w:rPr>
                <w:b/>
                <w:sz w:val="18"/>
              </w:rPr>
              <w:t>Compiler</w:t>
            </w:r>
            <w:r>
              <w:rPr>
                <w:sz w:val="18"/>
              </w:rPr>
              <w:t xml:space="preserve"> (the only model-backed role, untrusted)</w:t>
            </w:r>
          </w:p>
        </w:tc>
        <w:tc>
          <w:tcPr>
            <w:tcW w:type="dxa" w:w="2637"/>
          </w:tcPr>
          <w:p>
            <w:pPr>
              <w:spacing w:before="20" w:after="20" w:line="240" w:lineRule="auto"/>
            </w:pPr>
            <w:r>
              <w:rPr>
                <w:rFonts w:ascii="Courier New" w:hAnsi="Courier New"/>
                <w:sz w:val="18"/>
              </w:rPr>
              <w:t>compiler/</w:t>
            </w:r>
          </w:p>
        </w:tc>
        <w:tc>
          <w:tcPr>
            <w:tcW w:type="dxa" w:w="270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579"/>
          </w:tcPr>
          <w:p>
            <w:pPr>
              <w:spacing w:before="20" w:after="20" w:line="240" w:lineRule="auto"/>
            </w:pPr>
            <w:r>
              <w:rPr>
                <w:sz w:val="18"/>
              </w:rPr>
              <w:t>See the books, the mandate, the funding options or a buyer's limits. Emit an operation, a tier or a reply</w:t>
            </w:r>
          </w:p>
        </w:tc>
      </w:tr>
      <w:tr>
        <w:trPr>
          <w:cantSplit w:val="true"/>
        </w:trPr>
        <w:tc>
          <w:tcPr>
            <w:tcW w:type="dxa" w:w="1434"/>
          </w:tcPr>
          <w:p>
            <w:pPr>
              <w:spacing w:before="20" w:after="20" w:line="240" w:lineRule="auto"/>
            </w:pPr>
            <w:r>
              <w:rPr>
                <w:b/>
                <w:sz w:val="18"/>
              </w:rPr>
              <w:t>Verifier</w:t>
            </w:r>
          </w:p>
        </w:tc>
        <w:tc>
          <w:tcPr>
            <w:tcW w:type="dxa" w:w="2637"/>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709"/>
          </w:tcPr>
          <w:p>
            <w:pPr>
              <w:spacing w:before="20" w:after="20" w:line="240" w:lineRule="auto"/>
            </w:pPr>
            <w:r>
              <w:rPr>
                <w:sz w:val="18"/>
              </w:rPr>
              <w:t>Project the cash trajectory, test the mandate and covenants, return a verdict with formulas and priced counters</w:t>
            </w:r>
          </w:p>
        </w:tc>
        <w:tc>
          <w:tcPr>
            <w:tcW w:type="dxa" w:w="2579"/>
          </w:tcPr>
          <w:p>
            <w:pPr>
              <w:spacing w:before="20" w:after="20" w:line="240" w:lineRule="auto"/>
            </w:pPr>
            <w:r>
              <w:rPr>
                <w:sz w:val="18"/>
              </w:rPr>
              <w:t>Read free text (enforced by a test on its imports)</w:t>
            </w:r>
          </w:p>
        </w:tc>
      </w:tr>
      <w:tr>
        <w:trPr>
          <w:cantSplit w:val="true"/>
        </w:trPr>
        <w:tc>
          <w:tcPr>
            <w:tcW w:type="dxa" w:w="1434"/>
          </w:tcPr>
          <w:p>
            <w:pPr>
              <w:spacing w:before="20" w:after="20" w:line="240" w:lineRule="auto"/>
            </w:pPr>
            <w:r>
              <w:rPr>
                <w:b/>
                <w:sz w:val="18"/>
              </w:rPr>
              <w:t>Negotiator</w:t>
            </w:r>
          </w:p>
        </w:tc>
        <w:tc>
          <w:tcPr>
            <w:tcW w:type="dxa" w:w="2637"/>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709"/>
          </w:tcPr>
          <w:p>
            <w:pPr>
              <w:spacing w:before="20" w:after="20" w:line="240" w:lineRule="auto"/>
            </w:pPr>
            <w:r>
              <w:rPr>
                <w:sz w:val="18"/>
              </w:rPr>
              <w:t>Price counters from the marginal cost of funds, run bounded rounds with the buyer, fill outbound templates</w:t>
            </w:r>
          </w:p>
        </w:tc>
        <w:tc>
          <w:tcPr>
            <w:tcW w:type="dxa" w:w="2579"/>
          </w:tcPr>
          <w:p>
            <w:pPr>
              <w:spacing w:before="20" w:after="20" w:line="240" w:lineRule="auto"/>
            </w:pPr>
            <w:r>
              <w:rPr>
                <w:sz w:val="18"/>
              </w:rPr>
              <w:t>Reveal the reserve, caps, funding options or limits</w:t>
            </w:r>
          </w:p>
        </w:tc>
      </w:tr>
      <w:tr>
        <w:trPr>
          <w:cantSplit w:val="true"/>
        </w:trPr>
        <w:tc>
          <w:tcPr>
            <w:tcW w:type="dxa" w:w="1434"/>
          </w:tcPr>
          <w:p>
            <w:pPr>
              <w:spacing w:before="20" w:after="20" w:line="240" w:lineRule="auto"/>
            </w:pPr>
            <w:r>
              <w:rPr>
                <w:b/>
                <w:sz w:val="18"/>
              </w:rPr>
              <w:t>Treasurer</w:t>
            </w:r>
          </w:p>
        </w:tc>
        <w:tc>
          <w:tcPr>
            <w:tcW w:type="dxa" w:w="2637"/>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709"/>
          </w:tcPr>
          <w:p>
            <w:pPr>
              <w:spacing w:before="20" w:after="20" w:line="240" w:lineRule="auto"/>
            </w:pPr>
            <w:r>
              <w:rPr>
                <w:sz w:val="18"/>
              </w:rPr>
              <w:t>Find the cheapest admissible funding plan and execute typed operations through the permission gates</w:t>
            </w:r>
          </w:p>
        </w:tc>
        <w:tc>
          <w:tcPr>
            <w:tcW w:type="dxa" w:w="257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two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spacing w:before="0" w:after="60" w:line="259" w:lineRule="auto"/>
      </w:pPr>
      <w:r>
        <w:rPr>
          <w:sz w:val="20"/>
        </w:rPr>
        <w:t>The model never decides, prices, negotiates or executes.</w:t>
      </w:r>
    </w:p>
    <w:p>
      <w:pPr>
        <w:spacing w:before="0" w:after="60" w:line="259" w:lineRule="auto"/>
      </w:pPr>
      <w:r>
        <w:rPr>
          <w:b/>
          <w:sz w:val="20"/>
        </w:rPr>
        <w:t>Table 4. Model backends.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31"/>
            <w:shd w:val="clear" w:color="auto" w:fill="E8EEFB"/>
          </w:tcPr>
          <w:p>
            <w:pPr>
              <w:keepNext/>
              <w:spacing w:before="20" w:after="20" w:line="240" w:lineRule="auto"/>
            </w:pPr>
            <w:r>
              <w:rPr>
                <w:b/>
                <w:sz w:val="18"/>
              </w:rPr>
              <w:t>Backend</w:t>
            </w:r>
          </w:p>
        </w:tc>
        <w:tc>
          <w:tcPr>
            <w:tcW w:type="dxa" w:w="4042"/>
            <w:shd w:val="clear" w:color="auto" w:fill="E8EEFB"/>
          </w:tcPr>
          <w:p>
            <w:pPr>
              <w:keepNext/>
              <w:spacing w:before="20" w:after="20" w:line="240" w:lineRule="auto"/>
            </w:pPr>
            <w:r>
              <w:rPr>
                <w:b/>
                <w:sz w:val="18"/>
              </w:rPr>
              <w:t>Model</w:t>
            </w:r>
          </w:p>
        </w:tc>
        <w:tc>
          <w:tcPr>
            <w:tcW w:type="dxa" w:w="3587"/>
            <w:shd w:val="clear" w:color="auto" w:fill="E8EEFB"/>
          </w:tcPr>
          <w:p>
            <w:pPr>
              <w:keepNext/>
              <w:spacing w:before="20" w:after="20" w:line="240" w:lineRule="auto"/>
            </w:pPr>
            <w:r>
              <w:rPr>
                <w:b/>
                <w:sz w:val="18"/>
              </w:rPr>
              <w:t>Used for</w:t>
            </w:r>
          </w:p>
        </w:tc>
      </w:tr>
      <w:tr>
        <w:trPr>
          <w:cantSplit w:val="true"/>
        </w:trPr>
        <w:tc>
          <w:tcPr>
            <w:tcW w:type="dxa" w:w="1731"/>
          </w:tcPr>
          <w:p>
            <w:pPr>
              <w:spacing w:before="20" w:after="20" w:line="240" w:lineRule="auto"/>
            </w:pPr>
            <w:r>
              <w:rPr>
                <w:sz w:val="18"/>
              </w:rPr>
              <w:t>Cache (default)</w:t>
            </w:r>
          </w:p>
        </w:tc>
        <w:tc>
          <w:tcPr>
            <w:tcW w:type="dxa" w:w="4042"/>
          </w:tcPr>
          <w:p>
            <w:pPr>
              <w:spacing w:before="20" w:after="20" w:line="240" w:lineRule="auto"/>
            </w:pPr>
            <w:r>
              <w:rPr>
                <w:sz w:val="18"/>
              </w:rPr>
              <w:t>Recorded outputs keyed by a hash of the documents and the prompt version</w:t>
            </w:r>
          </w:p>
        </w:tc>
        <w:tc>
          <w:tcPr>
            <w:tcW w:type="dxa" w:w="3587"/>
          </w:tcPr>
          <w:p>
            <w:pPr>
              <w:spacing w:before="20" w:after="20" w:line="240" w:lineRule="auto"/>
            </w:pPr>
            <w:r>
              <w:rPr>
                <w:sz w:val="18"/>
              </w:rPr>
              <w:t>Tests, the demo, the scenario runner and the offline evaluation. No network. A message not in the cache goes to the rules grammar</w:t>
            </w:r>
          </w:p>
        </w:tc>
      </w:tr>
      <w:tr>
        <w:trPr>
          <w:cantSplit w:val="true"/>
        </w:trPr>
        <w:tc>
          <w:tcPr>
            <w:tcW w:type="dxa" w:w="1731"/>
          </w:tcPr>
          <w:p>
            <w:pPr>
              <w:spacing w:before="20" w:after="20" w:line="240" w:lineRule="auto"/>
            </w:pPr>
            <w:r>
              <w:rPr>
                <w:sz w:val="18"/>
              </w:rPr>
              <w:t>DeepSeek (live, opt-in)</w:t>
            </w:r>
          </w:p>
        </w:tc>
        <w:tc>
          <w:tcPr>
            <w:tcW w:type="dxa" w:w="4042"/>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587"/>
          </w:tcPr>
          <w:p>
            <w:pPr>
              <w:spacing w:before="20" w:after="20" w:line="240" w:lineRule="auto"/>
            </w:pPr>
            <w:r>
              <w:rPr>
                <w:sz w:val="18"/>
              </w:rPr>
              <w:t>A backend reachable from mainland China. Used for the live accuracy runs in section 03</w:t>
            </w:r>
          </w:p>
        </w:tc>
      </w:tr>
      <w:tr>
        <w:trPr>
          <w:cantSplit w:val="true"/>
        </w:trPr>
        <w:tc>
          <w:tcPr>
            <w:tcW w:type="dxa" w:w="1731"/>
          </w:tcPr>
          <w:p>
            <w:pPr>
              <w:spacing w:before="20" w:after="20" w:line="240" w:lineRule="auto"/>
            </w:pPr>
            <w:r>
              <w:rPr>
                <w:sz w:val="18"/>
              </w:rPr>
              <w:t>Claude (live, opt-in)</w:t>
            </w:r>
          </w:p>
        </w:tc>
        <w:tc>
          <w:tcPr>
            <w:tcW w:type="dxa" w:w="4042"/>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587"/>
          </w:tcPr>
          <w:p>
            <w:pPr>
              <w:spacing w:before="20" w:after="20" w:line="240" w:lineRule="auto"/>
            </w:pPr>
            <w:r>
              <w:rPr>
                <w:sz w:val="18"/>
              </w:rPr>
              <w:t>Alternative live backend</w:t>
            </w:r>
          </w:p>
        </w:tc>
      </w:tr>
      <w:tr>
        <w:trPr>
          <w:cantSplit w:val="true"/>
        </w:trPr>
        <w:tc>
          <w:tcPr>
            <w:tcW w:type="dxa" w:w="1731"/>
          </w:tcPr>
          <w:p>
            <w:pPr>
              <w:spacing w:before="20" w:after="20" w:line="240" w:lineRule="auto"/>
            </w:pPr>
            <w:r>
              <w:rPr>
                <w:sz w:val="18"/>
              </w:rPr>
              <w:t>Rules grammar</w:t>
            </w:r>
          </w:p>
        </w:tc>
        <w:tc>
          <w:tcPr>
            <w:tcW w:type="dxa" w:w="4042"/>
          </w:tcPr>
          <w:p>
            <w:pPr>
              <w:spacing w:before="20" w:after="20" w:line="240" w:lineRule="auto"/>
            </w:pPr>
            <w:r>
              <w:rPr>
                <w:sz w:val="18"/>
              </w:rPr>
              <w:t>Deterministic regular expressions and lexicon, Chinese and English</w:t>
            </w:r>
          </w:p>
        </w:tc>
        <w:tc>
          <w:tcPr>
            <w:tcW w:type="dxa" w:w="3587"/>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They cover:</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w:t>
      </w:r>
    </w:p>
    <w:p>
      <w:pPr>
        <w:pStyle w:val="ListBullet2"/>
        <w:tabs>
          <w:tab w:pos="792" w:val="left"/>
        </w:tabs>
        <w:spacing w:before="0" w:after="60" w:line="259" w:lineRule="auto"/>
        <w:ind w:left="792" w:hanging="288"/>
      </w:pPr>
      <w:r>
        <w:rPr>
          <w:sz w:val="20"/>
        </w:rPr>
        <w:t>the funding router, capex and the borrower file;</w:t>
      </w:r>
    </w:p>
    <w:p>
      <w:pPr>
        <w:pStyle w:val="ListBullet2"/>
        <w:tabs>
          <w:tab w:pos="792" w:val="left"/>
        </w:tabs>
        <w:spacing w:before="0" w:after="60" w:line="259" w:lineRule="auto"/>
        <w:ind w:left="792" w:hanging="288"/>
      </w:pPr>
      <w:r>
        <w:rPr>
          <w:sz w:val="20"/>
        </w:rPr>
        <w:t>execution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and deals;</w:t>
      </w:r>
    </w:p>
    <w:p>
      <w:pPr>
        <w:pStyle w:val="ListBullet2"/>
        <w:tabs>
          <w:tab w:pos="792" w:val="left"/>
        </w:tabs>
        <w:spacing w:before="0" w:after="60" w:line="259" w:lineRule="auto"/>
        <w:ind w:left="792" w:hanging="288"/>
      </w:pPr>
      <w:r>
        <w:rPr>
          <w:sz w:val="20"/>
        </w:rPr>
        <w:t>read views.</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Test suites.</w:t>
      </w:r>
      <w:r>
        <w:rPr>
          <w:sz w:val="20"/>
        </w:rPr>
        <w:t xml:space="preserve"> The 260-case attack catalogue and the 49 scripted agent tasks.</w:t>
      </w:r>
    </w:p>
    <w:p>
      <w:pPr>
        <w:spacing w:before="0" w:after="60" w:line="259" w:lineRule="auto"/>
      </w:pPr>
      <w:r>
        <w:rPr>
          <w:b/>
          <w:sz w:val="20"/>
        </w:rPr>
        <w:t>Table 5. The demo company's funding options (synthetic; only the owner can add to them).</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4437"/>
            <w:shd w:val="clear" w:color="auto" w:fill="E8EEFB"/>
          </w:tcPr>
          <w:p>
            <w:pPr>
              <w:keepNext/>
              <w:spacing w:before="20" w:after="20" w:line="240" w:lineRule="auto"/>
            </w:pPr>
            <w:r>
              <w:rPr>
                <w:b/>
                <w:sz w:val="18"/>
              </w:rPr>
              <w:t>Facility</w:t>
            </w:r>
          </w:p>
        </w:tc>
        <w:tc>
          <w:tcPr>
            <w:tcW w:type="dxa" w:w="2233"/>
            <w:shd w:val="clear" w:color="auto" w:fill="E8EEFB"/>
          </w:tcPr>
          <w:p>
            <w:pPr>
              <w:keepNext/>
              <w:spacing w:before="20" w:after="20" w:line="240" w:lineRule="auto"/>
            </w:pPr>
            <w:r>
              <w:rPr>
                <w:b/>
                <w:sz w:val="18"/>
              </w:rPr>
              <w:t>Status</w:t>
            </w:r>
          </w:p>
        </w:tc>
        <w:tc>
          <w:tcPr>
            <w:tcW w:type="dxa" w:w="1400"/>
            <w:shd w:val="clear" w:color="auto" w:fill="E8EEFB"/>
          </w:tcPr>
          <w:p>
            <w:pPr>
              <w:keepNext/>
              <w:spacing w:before="20" w:after="20" w:line="240" w:lineRule="auto"/>
            </w:pPr>
            <w:r>
              <w:rPr>
                <w:b/>
                <w:sz w:val="18"/>
              </w:rPr>
              <w:t>Price</w:t>
            </w:r>
          </w:p>
        </w:tc>
        <w:tc>
          <w:tcPr>
            <w:tcW w:type="dxa" w:w="1290"/>
            <w:shd w:val="clear" w:color="auto" w:fill="E8EEFB"/>
          </w:tcPr>
          <w:p>
            <w:pPr>
              <w:keepNext/>
              <w:spacing w:before="20" w:after="20" w:line="240" w:lineRule="auto"/>
            </w:pPr>
            <w:r>
              <w:rPr>
                <w:b/>
                <w:sz w:val="18"/>
              </w:rPr>
              <w:t>Time to cash</w:t>
            </w:r>
          </w:p>
        </w:tc>
      </w:tr>
      <w:tr>
        <w:trPr>
          <w:cantSplit w:val="true"/>
        </w:trPr>
        <w:tc>
          <w:tcPr>
            <w:tcW w:type="dxa" w:w="4437"/>
          </w:tcPr>
          <w:p>
            <w:pPr>
              <w:spacing w:before="20" w:after="20" w:line="240" w:lineRule="auto"/>
            </w:pPr>
            <w:r>
              <w:rPr>
                <w:sz w:val="18"/>
              </w:rPr>
              <w:t>Bank credit line, ¥150,000 limit, 30-day clean-down</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6.4% simple</w:t>
            </w:r>
          </w:p>
        </w:tc>
        <w:tc>
          <w:tcPr>
            <w:tcW w:type="dxa" w:w="1290"/>
          </w:tcPr>
          <w:p>
            <w:pPr>
              <w:spacing w:before="20" w:after="20" w:line="240" w:lineRule="auto"/>
            </w:pPr>
            <w:r>
              <w:rPr>
                <w:sz w:val="18"/>
              </w:rPr>
              <w:t>same day</w:t>
            </w:r>
          </w:p>
        </w:tc>
      </w:tr>
      <w:tr>
        <w:trPr>
          <w:cantSplit w:val="true"/>
        </w:trPr>
        <w:tc>
          <w:tcPr>
            <w:tcW w:type="dxa" w:w="4437"/>
          </w:tcPr>
          <w:p>
            <w:pPr>
              <w:spacing w:before="20" w:after="20" w:line="240" w:lineRule="auto"/>
            </w:pPr>
            <w:r>
              <w:rPr>
                <w:sz w:val="18"/>
              </w:rPr>
              <w:t>Invoice financing, ¥350,000 limit</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7.8% + 0.25% per 30 days (10.84% all-in)</w:t>
            </w:r>
          </w:p>
        </w:tc>
        <w:tc>
          <w:tcPr>
            <w:tcW w:type="dxa" w:w="1290"/>
          </w:tcPr>
          <w:p>
            <w:pPr>
              <w:spacing w:before="20" w:after="20" w:line="240" w:lineRule="auto"/>
            </w:pPr>
            <w:r>
              <w:rPr>
                <w:sz w:val="18"/>
              </w:rPr>
              <w:t>3 days</w:t>
            </w:r>
          </w:p>
        </w:tc>
      </w:tr>
      <w:tr>
        <w:trPr>
          <w:cantSplit w:val="true"/>
        </w:trPr>
        <w:tc>
          <w:tcPr>
            <w:tcW w:type="dxa" w:w="4437"/>
          </w:tcPr>
          <w:p>
            <w:pPr>
              <w:spacing w:before="20" w:after="20" w:line="240" w:lineRule="auto"/>
            </w:pPr>
            <w:r>
              <w:rPr>
                <w:sz w:val="18"/>
              </w:rPr>
              <w:t>Buyer early-payment offer</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1.2% discount</w:t>
            </w:r>
          </w:p>
        </w:tc>
        <w:tc>
          <w:tcPr>
            <w:tcW w:type="dxa" w:w="1290"/>
          </w:tcPr>
          <w:p>
            <w:pPr>
              <w:spacing w:before="20" w:after="20" w:line="240" w:lineRule="auto"/>
            </w:pPr>
            <w:r>
              <w:rPr>
                <w:sz w:val="18"/>
              </w:rPr>
              <w:t>2 days</w:t>
            </w:r>
          </w:p>
        </w:tc>
      </w:tr>
      <w:tr>
        <w:trPr>
          <w:cantSplit w:val="true"/>
        </w:trPr>
        <w:tc>
          <w:tcPr>
            <w:tcW w:type="dxa" w:w="4437"/>
          </w:tcPr>
          <w:p>
            <w:pPr>
              <w:spacing w:before="20" w:after="20" w:line="240" w:lineRule="auto"/>
            </w:pPr>
            <w:r>
              <w:rPr>
                <w:sz w:val="18"/>
              </w:rPr>
              <w:t>Bank acceptance-bill discounting</w:t>
            </w:r>
          </w:p>
        </w:tc>
        <w:tc>
          <w:tcPr>
            <w:tcW w:type="dxa" w:w="2233"/>
          </w:tcPr>
          <w:p>
            <w:pPr>
              <w:spacing w:before="20" w:after="20" w:line="240" w:lineRule="auto"/>
            </w:pPr>
            <w:r>
              <w:rPr>
                <w:sz w:val="18"/>
              </w:rPr>
              <w:t>Committed (no bill held at the start)</w:t>
            </w:r>
          </w:p>
        </w:tc>
        <w:tc>
          <w:tcPr>
            <w:tcW w:type="dxa" w:w="1400"/>
          </w:tcPr>
          <w:p>
            <w:pPr>
              <w:spacing w:before="20" w:after="20" w:line="240" w:lineRule="auto"/>
            </w:pPr>
            <w:r>
              <w:rPr>
                <w:sz w:val="18"/>
              </w:rPr>
              <w:t>0.58% a year</w:t>
            </w:r>
          </w:p>
        </w:tc>
        <w:tc>
          <w:tcPr>
            <w:tcW w:type="dxa" w:w="1290"/>
          </w:tcPr>
          <w:p>
            <w:pPr>
              <w:spacing w:before="20" w:after="20" w:line="240" w:lineRule="auto"/>
            </w:pPr>
            <w:r>
              <w:rPr>
                <w:sz w:val="18"/>
              </w:rPr>
              <w:t>1 day</w:t>
            </w:r>
          </w:p>
        </w:tc>
      </w:tr>
      <w:tr>
        <w:trPr>
          <w:cantSplit w:val="true"/>
        </w:trPr>
        <w:tc>
          <w:tcPr>
            <w:tcW w:type="dxa" w:w="4437"/>
          </w:tcPr>
          <w:p>
            <w:pPr>
              <w:spacing w:before="20" w:after="20" w:line="240" w:lineRule="auto"/>
            </w:pPr>
            <w:r>
              <w:rPr>
                <w:sz w:val="18"/>
              </w:rPr>
              <w:t>Government-guaranteed working-capital loan</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5.0% all-in</w:t>
            </w:r>
          </w:p>
        </w:tc>
        <w:tc>
          <w:tcPr>
            <w:tcW w:type="dxa" w:w="1290"/>
          </w:tcPr>
          <w:p>
            <w:pPr>
              <w:spacing w:before="20" w:after="20" w:line="240" w:lineRule="auto"/>
            </w:pPr>
            <w:r>
              <w:rPr>
                <w:sz w:val="18"/>
              </w:rPr>
              <w:t>21 days</w:t>
            </w:r>
          </w:p>
        </w:tc>
      </w:tr>
      <w:tr>
        <w:trPr>
          <w:cantSplit w:val="true"/>
        </w:trPr>
        <w:tc>
          <w:tcPr>
            <w:tcW w:type="dxa" w:w="4437"/>
          </w:tcPr>
          <w:p>
            <w:pPr>
              <w:spacing w:before="20" w:after="20" w:line="240" w:lineRule="auto"/>
            </w:pPr>
            <w:r>
              <w:rPr>
                <w:sz w:val="18"/>
              </w:rPr>
              <w:t>Equipment loan, 36 months / equipment lease, 48 months</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5.6% / 7.2%</w:t>
            </w:r>
          </w:p>
        </w:tc>
        <w:tc>
          <w:tcPr>
            <w:tcW w:type="dxa" w:w="1290"/>
          </w:tcPr>
          <w:p>
            <w:pPr>
              <w:spacing w:before="20" w:after="20" w:line="240" w:lineRule="auto"/>
            </w:pPr>
            <w:r>
              <w:rPr>
                <w:sz w:val="18"/>
              </w:rPr>
              <w:t>14 / 10 days</w:t>
            </w:r>
          </w:p>
        </w:tc>
      </w:tr>
      <w:tr>
        <w:trPr>
          <w:cantSplit w:val="true"/>
        </w:trPr>
        <w:tc>
          <w:tcPr>
            <w:tcW w:type="dxa" w:w="4437"/>
          </w:tcPr>
          <w:p>
            <w:pPr>
              <w:spacing w:before="20" w:after="20" w:line="240" w:lineRule="auto"/>
            </w:pPr>
            <w:r>
              <w:rPr>
                <w:sz w:val="18"/>
              </w:rPr>
              <w:t>Equity</w:t>
            </w:r>
          </w:p>
        </w:tc>
        <w:tc>
          <w:tcPr>
            <w:tcW w:type="dxa" w:w="2233"/>
          </w:tcPr>
          <w:p>
            <w:pPr>
              <w:spacing w:before="20" w:after="20" w:line="240" w:lineRule="auto"/>
            </w:pPr>
            <w:r>
              <w:rPr>
                <w:sz w:val="18"/>
              </w:rPr>
              <w:t>Reference only (Tier 3)</w:t>
            </w:r>
          </w:p>
        </w:tc>
        <w:tc>
          <w:tcPr>
            <w:tcW w:type="dxa" w:w="1400"/>
          </w:tcPr>
          <w:p>
            <w:pPr>
              <w:spacing w:before="20" w:after="20" w:line="240" w:lineRule="auto"/>
            </w:pPr>
            <w:r>
              <w:rPr>
                <w:sz w:val="18"/>
              </w:rPr>
              <w:t>n/a</w:t>
            </w:r>
          </w:p>
        </w:tc>
        <w:tc>
          <w:tcPr>
            <w:tcW w:type="dxa" w:w="1290"/>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22 intents</w:t>
      </w:r>
      <w:r>
        <w:rPr>
          <w:sz w:val="20"/>
        </w:rPr>
        <w:t xml:space="preserve"> and fills typed slots. Examples: evaluate an offer, negotiate, speed up a receipt, fund a gap, show status, compare financing, explain, what-if, approve, reject, out of scope.</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6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6. The EX01 request, every figure in one place (golden books, day 0, books version 1, reserve ¥300,000).</w:t>
      </w:r>
    </w:p>
    <w:tbl>
      <w:tblPr>
        <w:tblStyle w:val="TableGrid"/>
        <w:tblW w:type="auto" w:w="0"/>
        <w:tblLayout w:type="fixed"/>
        <w:tblLook w:firstColumn="1" w:firstRow="1" w:lastColumn="0" w:lastRow="0" w:noHBand="0" w:noVBand="1" w:val="04A0"/>
      </w:tblPr>
      <w:tblGrid>
        <w:gridCol w:w="1098"/>
        <w:gridCol w:w="1098"/>
        <w:gridCol w:w="1098"/>
        <w:gridCol w:w="1098"/>
        <w:gridCol w:w="1098"/>
        <w:gridCol w:w="1098"/>
        <w:gridCol w:w="1098"/>
        <w:gridCol w:w="1098"/>
        <w:gridCol w:w="1098"/>
      </w:tblGrid>
      <w:tr>
        <w:trPr>
          <w:cantSplit w:val="true"/>
          <w:tblHeader w:val="true"/>
        </w:trPr>
        <w:tc>
          <w:tcPr>
            <w:tcW w:type="dxa" w:w="1322"/>
            <w:shd w:val="clear" w:color="auto" w:fill="E8EEFB"/>
          </w:tcPr>
          <w:p>
            <w:pPr>
              <w:keepNext/>
              <w:spacing w:before="20" w:after="20" w:line="240" w:lineRule="auto"/>
            </w:pPr>
            <w:r>
              <w:rPr>
                <w:b/>
                <w:sz w:val="16"/>
              </w:rPr>
              <w:t>Scenario</w:t>
            </w:r>
          </w:p>
        </w:tc>
        <w:tc>
          <w:tcPr>
            <w:tcW w:type="dxa" w:w="1068"/>
            <w:shd w:val="clear" w:color="auto" w:fill="E8EEFB"/>
          </w:tcPr>
          <w:p>
            <w:pPr>
              <w:keepNext/>
              <w:spacing w:before="20" w:after="20" w:line="240" w:lineRule="auto"/>
            </w:pPr>
            <w:r>
              <w:rPr>
                <w:b/>
                <w:sz w:val="16"/>
              </w:rPr>
              <w:t>Funding</w:t>
            </w:r>
          </w:p>
        </w:tc>
        <w:tc>
          <w:tcPr>
            <w:tcW w:type="dxa" w:w="984"/>
            <w:shd w:val="clear" w:color="auto" w:fill="E8EEFB"/>
          </w:tcPr>
          <w:p>
            <w:pPr>
              <w:keepNext/>
              <w:spacing w:before="20" w:after="20" w:line="240" w:lineRule="auto"/>
            </w:pPr>
            <w:r>
              <w:rPr>
                <w:b/>
                <w:sz w:val="16"/>
              </w:rPr>
              <w:t>Lowest cash</w:t>
            </w:r>
          </w:p>
        </w:tc>
        <w:tc>
          <w:tcPr>
            <w:tcW w:type="dxa" w:w="899"/>
            <w:shd w:val="clear" w:color="auto" w:fill="E8EEFB"/>
          </w:tcPr>
          <w:p>
            <w:pPr>
              <w:keepNext/>
              <w:spacing w:before="20" w:after="20" w:line="240" w:lineRule="auto"/>
            </w:pPr>
            <w:r>
              <w:rPr>
                <w:b/>
                <w:sz w:val="16"/>
              </w:rPr>
              <w:t>Breach</w:t>
            </w:r>
          </w:p>
        </w:tc>
        <w:tc>
          <w:tcPr>
            <w:tcW w:type="dxa" w:w="984"/>
            <w:shd w:val="clear" w:color="auto" w:fill="E8EEFB"/>
          </w:tcPr>
          <w:p>
            <w:pPr>
              <w:keepNext/>
              <w:spacing w:before="20" w:after="20" w:line="240" w:lineRule="auto"/>
            </w:pPr>
            <w:r>
              <w:rPr>
                <w:b/>
                <w:sz w:val="16"/>
              </w:rPr>
              <w:t>Discount</w:t>
            </w:r>
          </w:p>
        </w:tc>
        <w:tc>
          <w:tcPr>
            <w:tcW w:type="dxa" w:w="984"/>
            <w:shd w:val="clear" w:color="auto" w:fill="E8EEFB"/>
          </w:tcPr>
          <w:p>
            <w:pPr>
              <w:keepNext/>
              <w:spacing w:before="20" w:after="20" w:line="240" w:lineRule="auto"/>
            </w:pPr>
            <w:r>
              <w:rPr>
                <w:b/>
                <w:sz w:val="16"/>
              </w:rPr>
              <w:t>Funding cost</w:t>
            </w:r>
          </w:p>
        </w:tc>
        <w:tc>
          <w:tcPr>
            <w:tcW w:type="dxa" w:w="1153"/>
            <w:shd w:val="clear" w:color="auto" w:fill="E8EEFB"/>
          </w:tcPr>
          <w:p>
            <w:pPr>
              <w:keepNext/>
              <w:spacing w:before="20" w:after="20" w:line="240" w:lineRule="auto"/>
            </w:pPr>
            <w:r>
              <w:rPr>
                <w:b/>
                <w:sz w:val="16"/>
              </w:rPr>
              <w:t>Future concessions</w:t>
            </w:r>
          </w:p>
        </w:tc>
        <w:tc>
          <w:tcPr>
            <w:tcW w:type="dxa" w:w="815"/>
            <w:shd w:val="clear" w:color="auto" w:fill="E8EEFB"/>
          </w:tcPr>
          <w:p>
            <w:pPr>
              <w:keepNext/>
              <w:spacing w:before="20" w:after="20" w:line="240" w:lineRule="auto"/>
            </w:pPr>
            <w:r>
              <w:rPr>
                <w:b/>
                <w:sz w:val="16"/>
              </w:rPr>
              <w:t>Can run today?</w:t>
            </w:r>
          </w:p>
        </w:tc>
        <w:tc>
          <w:tcPr>
            <w:tcW w:type="dxa" w:w="1153"/>
            <w:shd w:val="clear" w:color="auto" w:fill="E8EEFB"/>
          </w:tcPr>
          <w:p>
            <w:pPr>
              <w:keepNext/>
              <w:spacing w:before="20" w:after="20" w:line="240" w:lineRule="auto"/>
            </w:pPr>
            <w:r>
              <w:rPr>
                <w:b/>
                <w:sz w:val="16"/>
              </w:rPr>
              <w:t>Who decides</w:t>
            </w:r>
          </w:p>
        </w:tc>
      </w:tr>
      <w:tr>
        <w:trPr>
          <w:cantSplit w:val="true"/>
        </w:trPr>
        <w:tc>
          <w:tcPr>
            <w:tcW w:type="dxa" w:w="1322"/>
          </w:tcPr>
          <w:p>
            <w:pPr>
              <w:spacing w:before="20" w:after="20" w:line="240" w:lineRule="auto"/>
            </w:pPr>
            <w:r>
              <w:rPr>
                <w:sz w:val="16"/>
              </w:rPr>
              <w:t>Today's books, no request</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−¥105,000 (day 30)</w:t>
            </w:r>
          </w:p>
        </w:tc>
        <w:tc>
          <w:tcPr>
            <w:tcW w:type="dxa" w:w="899"/>
          </w:tcPr>
          <w:p>
            <w:pPr>
              <w:spacing w:before="20" w:after="20" w:line="240" w:lineRule="auto"/>
            </w:pPr>
            <w:r>
              <w:rPr>
                <w:sz w:val="16"/>
              </w:rPr>
              <w:t>¥405,000 short, days 12–31</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Today's books + FLOW's standing plan</w:t>
            </w:r>
          </w:p>
        </w:tc>
        <w:tc>
          <w:tcPr>
            <w:tcW w:type="dxa" w:w="1068"/>
          </w:tcPr>
          <w:p>
            <w:pPr>
              <w:spacing w:before="20" w:after="20" w:line="240" w:lineRule="auto"/>
            </w:pPr>
            <w:r>
              <w:rPr>
                <w:sz w:val="16"/>
              </w:rPr>
              <w:t>line ¥150,000 + invoice financing ¥255,000</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b/>
                <w:sz w:val="16"/>
              </w:rPr>
              <w:t>¥3,113.93</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Tier 1</w:t>
            </w:r>
          </w:p>
        </w:tc>
      </w:tr>
      <w:tr>
        <w:trPr>
          <w:cantSplit w:val="true"/>
        </w:trPr>
        <w:tc>
          <w:tcPr>
            <w:tcW w:type="dxa" w:w="1322"/>
          </w:tcPr>
          <w:p>
            <w:pPr>
              <w:spacing w:before="20" w:after="20" w:line="240" w:lineRule="auto"/>
            </w:pPr>
            <w:r>
              <w:rPr>
                <w:b/>
                <w:sz w:val="16"/>
              </w:rPr>
              <w:t>EX01 as asked</w:t>
            </w:r>
            <w:r>
              <w:rPr>
                <w:sz w:val="16"/>
              </w:rPr>
              <w:t xml:space="preserve"> (1.2% early pay, 60-day terms, rebate), no new funding</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¥164,960 (day 60)</w:t>
            </w:r>
          </w:p>
        </w:tc>
        <w:tc>
          <w:tcPr>
            <w:tcW w:type="dxa" w:w="899"/>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w:t>
            </w:r>
          </w:p>
        </w:tc>
        <w:tc>
          <w:tcPr>
            <w:tcW w:type="dxa" w:w="1153"/>
          </w:tcPr>
          <w:p>
            <w:pPr>
              <w:spacing w:before="20" w:after="20" w:line="240" w:lineRule="auto"/>
            </w:pPr>
            <w:r>
              <w:rPr>
                <w:b/>
                <w:sz w:val="16"/>
              </w:rPr>
              <w:t>¥28,326.92</w:t>
            </w:r>
            <w:r>
              <w:rPr>
                <w:sz w:val="16"/>
              </w:rPr>
              <w:t xml:space="preserve"> (terms ¥24,326.92 + rebate ¥4,000), against a ¥5,000 cap</w:t>
            </w:r>
          </w:p>
        </w:tc>
        <w:tc>
          <w:tcPr>
            <w:tcW w:type="dxa" w:w="815"/>
          </w:tcPr>
          <w:p>
            <w:pPr>
              <w:spacing w:before="20" w:after="20" w:line="240" w:lineRule="auto"/>
            </w:pPr>
            <w:r>
              <w:rPr>
                <w:sz w:val="16"/>
              </w:rPr>
              <w:t>—</w:t>
            </w:r>
          </w:p>
        </w:tc>
        <w:tc>
          <w:tcPr>
            <w:tcW w:type="dxa" w:w="1153"/>
          </w:tcPr>
          <w:p>
            <w:pPr>
              <w:spacing w:before="20" w:after="20" w:line="240" w:lineRule="auto"/>
            </w:pPr>
            <w:r>
              <w:rPr>
                <w:b/>
                <w:sz w:val="16"/>
              </w:rPr>
              <w:t>Rejected</w:t>
            </w:r>
            <w:r>
              <w:rPr>
                <w:sz w:val="16"/>
              </w:rPr>
              <w:t>: concession cap, reserve, above break-even, dearer than the plan</w:t>
            </w:r>
          </w:p>
        </w:tc>
      </w:tr>
      <w:tr>
        <w:trPr>
          <w:cantSplit w:val="true"/>
        </w:trPr>
        <w:tc>
          <w:tcPr>
            <w:tcW w:type="dxa" w:w="1322"/>
          </w:tcPr>
          <w:p>
            <w:pPr>
              <w:spacing w:before="20" w:after="20" w:line="240" w:lineRule="auto"/>
            </w:pPr>
            <w:r>
              <w:rPr>
                <w:sz w:val="16"/>
              </w:rPr>
              <w:t>EX01 + its cheapest cure</w:t>
            </w:r>
          </w:p>
        </w:tc>
        <w:tc>
          <w:tcPr>
            <w:tcW w:type="dxa" w:w="1068"/>
          </w:tcPr>
          <w:p>
            <w:pPr>
              <w:spacing w:before="20" w:after="20" w:line="240" w:lineRule="auto"/>
            </w:pPr>
            <w:r>
              <w:rPr>
                <w:sz w:val="16"/>
              </w:rPr>
              <w:t>invoice financing ¥135,040 on an invoice issued on day 32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¥2,406.67</w:t>
            </w:r>
          </w:p>
        </w:tc>
        <w:tc>
          <w:tcPr>
            <w:tcW w:type="dxa" w:w="1153"/>
          </w:tcPr>
          <w:p>
            <w:pPr>
              <w:spacing w:before="20" w:after="20" w:line="240" w:lineRule="auto"/>
            </w:pPr>
            <w:r>
              <w:rPr>
                <w:sz w:val="16"/>
              </w:rPr>
              <w:t>¥28,326.92</w:t>
            </w:r>
          </w:p>
        </w:tc>
        <w:tc>
          <w:tcPr>
            <w:tcW w:type="dxa" w:w="815"/>
          </w:tcPr>
          <w:p>
            <w:pPr>
              <w:spacing w:before="20" w:after="20" w:line="240" w:lineRule="auto"/>
            </w:pPr>
            <w:r>
              <w:rPr>
                <w:b/>
                <w:sz w:val="16"/>
              </w:rPr>
              <w:t>no</w:t>
            </w:r>
            <w:r>
              <w:rPr>
                <w:sz w:val="16"/>
              </w:rPr>
              <w:t>: the invoice does not exist yet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EX01 + the plan that can run</w:t>
            </w:r>
          </w:p>
        </w:tc>
        <w:tc>
          <w:tcPr>
            <w:tcW w:type="dxa" w:w="1068"/>
          </w:tcPr>
          <w:p>
            <w:pPr>
              <w:spacing w:before="20" w:after="20" w:line="240" w:lineRule="auto"/>
            </w:pPr>
            <w:r>
              <w:rPr>
                <w:sz w:val="16"/>
              </w:rPr>
              <w:t>credit line ¥135,040, repaid day 62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¥1,468.05</w:t>
            </w:r>
          </w:p>
        </w:tc>
        <w:tc>
          <w:tcPr>
            <w:tcW w:type="dxa" w:w="1153"/>
          </w:tcPr>
          <w:p>
            <w:pPr>
              <w:spacing w:before="20" w:after="20" w:line="240" w:lineRule="auto"/>
            </w:pPr>
            <w:r>
              <w:rPr>
                <w:sz w:val="16"/>
              </w:rPr>
              <w:t>¥28,326.92</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Early-payment test inside the verdict</w:t>
            </w:r>
          </w:p>
        </w:tc>
        <w:tc>
          <w:tcPr>
            <w:tcW w:type="dxa" w:w="1068"/>
          </w:tcPr>
          <w:p>
            <w:pPr>
              <w:spacing w:before="20" w:after="20" w:line="240" w:lineRule="auto"/>
            </w:pPr>
            <w:r>
              <w:rPr>
                <w:sz w:val="16"/>
              </w:rPr>
              <w:t>with the early payment: ¥6,508.05; without it (same terms): ¥3,873.58</w:t>
            </w:r>
          </w:p>
        </w:tc>
        <w:tc>
          <w:tcPr>
            <w:tcW w:type="dxa" w:w="984"/>
          </w:tcPr>
          <w:p>
            <w:pPr>
              <w:spacing w:before="20" w:after="20" w:line="240" w:lineRule="auto"/>
            </w:pPr>
            <w:r>
              <w:rPr>
                <w:sz w:val="16"/>
              </w:rPr>
              <w:t>—</w:t>
            </w:r>
          </w:p>
        </w:tc>
        <w:tc>
          <w:tcPr>
            <w:tcW w:type="dxa" w:w="899"/>
          </w:tcPr>
          <w:p>
            <w:pPr>
              <w:spacing w:before="20" w:after="20" w:line="240" w:lineRule="auto"/>
            </w:pPr>
            <w:r>
              <w:rPr>
                <w:sz w:val="16"/>
              </w:rPr>
              <w:t>—</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w:t>
            </w:r>
          </w:p>
        </w:tc>
        <w:tc>
          <w:tcPr>
            <w:tcW w:type="dxa" w:w="815"/>
          </w:tcPr>
          <w:p>
            <w:pPr>
              <w:spacing w:before="20" w:after="20" w:line="240" w:lineRule="auto"/>
            </w:pPr>
            <w:r>
              <w:rPr>
                <w:sz w:val="16"/>
              </w:rPr>
              <w:t>—</w:t>
            </w:r>
          </w:p>
        </w:tc>
        <w:tc>
          <w:tcPr>
            <w:tcW w:type="dxa" w:w="1153"/>
          </w:tcPr>
          <w:p>
            <w:pPr>
              <w:spacing w:before="20" w:after="20" w:line="240" w:lineRule="auto"/>
            </w:pPr>
            <w:r>
              <w:rPr>
                <w:sz w:val="16"/>
              </w:rPr>
              <w:t>the early payment is dearer, so countered</w:t>
            </w:r>
          </w:p>
        </w:tc>
      </w:tr>
      <w:tr>
        <w:trPr>
          <w:cantSplit w:val="true"/>
        </w:trPr>
        <w:tc>
          <w:tcPr>
            <w:tcW w:type="dxa" w:w="1322"/>
          </w:tcPr>
          <w:p>
            <w:pPr>
              <w:spacing w:before="20" w:after="20" w:line="240" w:lineRule="auto"/>
            </w:pPr>
            <w:r>
              <w:rPr>
                <w:b/>
                <w:sz w:val="16"/>
              </w:rPr>
              <w:t>Option A</w:t>
            </w:r>
            <w:r>
              <w:rPr>
                <w:sz w:val="16"/>
              </w:rPr>
              <w:t xml:space="preserve"> (FLOW's counter)</w:t>
            </w:r>
          </w:p>
        </w:tc>
        <w:tc>
          <w:tcPr>
            <w:tcW w:type="dxa" w:w="1068"/>
          </w:tcPr>
          <w:p>
            <w:pPr>
              <w:spacing w:before="20" w:after="20" w:line="240" w:lineRule="auto"/>
            </w:pPr>
            <w:r>
              <w:rPr>
                <w:sz w:val="16"/>
              </w:rPr>
              <w:t>credit line ¥147,210</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¥2,210.00 on ¥260,000 at 0.85%</w:t>
            </w:r>
          </w:p>
        </w:tc>
        <w:tc>
          <w:tcPr>
            <w:tcW w:type="dxa" w:w="984"/>
          </w:tcPr>
          <w:p>
            <w:pPr>
              <w:spacing w:before="20" w:after="20" w:line="240" w:lineRule="auto"/>
            </w:pPr>
            <w:r>
              <w:rPr>
                <w:sz w:val="16"/>
              </w:rPr>
              <w:t xml:space="preserve">¥825.99; total </w:t>
            </w:r>
            <w:r>
              <w:rPr>
                <w:b/>
                <w:sz w:val="16"/>
              </w:rPr>
              <w:t>¥3,035.99</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b/>
                <w:sz w:val="16"/>
              </w:rPr>
              <w:t>Accept, Tier 1</w:t>
            </w:r>
          </w:p>
        </w:tc>
      </w:tr>
      <w:tr>
        <w:trPr>
          <w:cantSplit w:val="true"/>
        </w:trPr>
        <w:tc>
          <w:tcPr>
            <w:tcW w:type="dxa" w:w="1322"/>
          </w:tcPr>
          <w:p>
            <w:pPr>
              <w:spacing w:before="20" w:after="20" w:line="240" w:lineRule="auto"/>
            </w:pPr>
            <w:r>
              <w:rPr>
                <w:sz w:val="16"/>
              </w:rPr>
              <w:t>Option B (FLOW's counter)</w:t>
            </w:r>
          </w:p>
        </w:tc>
        <w:tc>
          <w:tcPr>
            <w:tcW w:type="dxa" w:w="1068"/>
          </w:tcPr>
          <w:p>
            <w:pPr>
              <w:spacing w:before="20" w:after="20" w:line="240" w:lineRule="auto"/>
            </w:pPr>
            <w:r>
              <w:rPr>
                <w:sz w:val="16"/>
              </w:rPr>
              <w:t>—</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55 days + 0.30% price rise ≈ ¥0 net over 12 months</w:t>
            </w:r>
          </w:p>
        </w:tc>
        <w:tc>
          <w:tcPr>
            <w:tcW w:type="dxa" w:w="815"/>
          </w:tcPr>
          <w:p>
            <w:pPr>
              <w:spacing w:before="20" w:after="20" w:line="240" w:lineRule="auto"/>
            </w:pPr>
            <w:r>
              <w:rPr>
                <w:sz w:val="16"/>
              </w:rPr>
              <w:t>—</w:t>
            </w:r>
          </w:p>
        </w:tc>
        <w:tc>
          <w:tcPr>
            <w:tcW w:type="dxa" w:w="1153"/>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13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7 shows both sides: how often FLOW was right to act alone, and how often it bothered the owner unnecessarily.</w:t>
      </w:r>
    </w:p>
    <w:p>
      <w:pPr>
        <w:spacing w:before="0" w:after="60" w:line="259" w:lineRule="auto"/>
      </w:pPr>
      <w:r>
        <w:rPr>
          <w:b/>
          <w:sz w:val="20"/>
        </w:rPr>
        <w:t>Table 7. Autonomy on two held-out sets of buyer messages (115 messages, rules path, 17 Oct 2026).</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6353"/>
            <w:shd w:val="clear" w:color="auto" w:fill="E8EEFB"/>
          </w:tcPr>
          <w:p>
            <w:pPr>
              <w:keepNext/>
              <w:spacing w:before="20" w:after="20" w:line="240" w:lineRule="auto"/>
            </w:pPr>
            <w:r>
              <w:rPr>
                <w:b/>
                <w:sz w:val="18"/>
              </w:rPr>
              <w:t>Step</w:t>
            </w:r>
          </w:p>
        </w:tc>
        <w:tc>
          <w:tcPr>
            <w:tcW w:type="dxa" w:w="1100"/>
            <w:shd w:val="clear" w:color="auto" w:fill="E8EEFB"/>
          </w:tcPr>
          <w:p>
            <w:pPr>
              <w:keepNext/>
              <w:spacing w:before="20" w:after="20" w:line="240" w:lineRule="auto"/>
            </w:pPr>
            <w:r>
              <w:rPr>
                <w:b/>
                <w:sz w:val="18"/>
              </w:rPr>
              <w:t>Held-out 3</w:t>
            </w:r>
          </w:p>
        </w:tc>
        <w:tc>
          <w:tcPr>
            <w:tcW w:type="dxa" w:w="1100"/>
            <w:shd w:val="clear" w:color="auto" w:fill="E8EEFB"/>
          </w:tcPr>
          <w:p>
            <w:pPr>
              <w:keepNext/>
              <w:spacing w:before="20" w:after="20" w:line="240" w:lineRule="auto"/>
            </w:pPr>
            <w:r>
              <w:rPr>
                <w:b/>
                <w:sz w:val="18"/>
              </w:rPr>
              <w:t>Held-out 2</w:t>
            </w:r>
          </w:p>
        </w:tc>
        <w:tc>
          <w:tcPr>
            <w:tcW w:type="dxa" w:w="807"/>
            <w:shd w:val="clear" w:color="auto" w:fill="E8EEFB"/>
          </w:tcPr>
          <w:p>
            <w:pPr>
              <w:keepNext/>
              <w:spacing w:before="20" w:after="20" w:line="240" w:lineRule="auto"/>
            </w:pPr>
            <w:r>
              <w:rPr>
                <w:b/>
                <w:sz w:val="18"/>
              </w:rPr>
              <w:t>Both</w:t>
            </w:r>
          </w:p>
        </w:tc>
      </w:tr>
      <w:tr>
        <w:trPr>
          <w:cantSplit w:val="true"/>
        </w:trPr>
        <w:tc>
          <w:tcPr>
            <w:tcW w:type="dxa" w:w="6353"/>
          </w:tcPr>
          <w:p>
            <w:pPr>
              <w:spacing w:before="20" w:after="20" w:line="240" w:lineRule="auto"/>
            </w:pPr>
            <w:r>
              <w:rPr>
                <w:sz w:val="18"/>
              </w:rPr>
              <w:t>Buyer messages</w:t>
            </w:r>
          </w:p>
        </w:tc>
        <w:tc>
          <w:tcPr>
            <w:tcW w:type="dxa" w:w="1100"/>
          </w:tcPr>
          <w:p>
            <w:pPr>
              <w:spacing w:before="20" w:after="20" w:line="240" w:lineRule="auto"/>
            </w:pPr>
            <w:r>
              <w:rPr>
                <w:sz w:val="18"/>
              </w:rPr>
              <w:t>66</w:t>
            </w:r>
          </w:p>
        </w:tc>
        <w:tc>
          <w:tcPr>
            <w:tcW w:type="dxa" w:w="1100"/>
          </w:tcPr>
          <w:p>
            <w:pPr>
              <w:spacing w:before="20" w:after="20" w:line="240" w:lineRule="auto"/>
            </w:pPr>
            <w:r>
              <w:rPr>
                <w:sz w:val="18"/>
              </w:rPr>
              <w:t>49</w:t>
            </w:r>
          </w:p>
        </w:tc>
        <w:tc>
          <w:tcPr>
            <w:tcW w:type="dxa" w:w="807"/>
          </w:tcPr>
          <w:p>
            <w:pPr>
              <w:spacing w:before="20" w:after="20" w:line="240" w:lineRule="auto"/>
            </w:pPr>
            <w:r>
              <w:rPr>
                <w:sz w:val="18"/>
              </w:rPr>
              <w:t>115</w:t>
            </w:r>
          </w:p>
        </w:tc>
      </w:tr>
      <w:tr>
        <w:trPr>
          <w:cantSplit w:val="true"/>
        </w:trPr>
        <w:tc>
          <w:tcPr>
            <w:tcW w:type="dxa" w:w="6353"/>
          </w:tcPr>
          <w:p>
            <w:pPr>
              <w:spacing w:before="20" w:after="20" w:line="240" w:lineRule="auto"/>
            </w:pPr>
            <w:r>
              <w:rPr>
                <w:sz w:val="18"/>
              </w:rPr>
              <w:t>Genuinely acceptable as asked today (pure early payment, cheaper than the plan)</w:t>
            </w:r>
          </w:p>
        </w:tc>
        <w:tc>
          <w:tcPr>
            <w:tcW w:type="dxa" w:w="1100"/>
          </w:tcPr>
          <w:p>
            <w:pPr>
              <w:spacing w:before="20" w:after="20" w:line="240" w:lineRule="auto"/>
            </w:pPr>
            <w:r>
              <w:rPr>
                <w:sz w:val="18"/>
              </w:rPr>
              <w:t>10</w:t>
            </w:r>
          </w:p>
        </w:tc>
        <w:tc>
          <w:tcPr>
            <w:tcW w:type="dxa" w:w="1100"/>
          </w:tcPr>
          <w:p>
            <w:pPr>
              <w:spacing w:before="20" w:after="20" w:line="240" w:lineRule="auto"/>
            </w:pPr>
            <w:r>
              <w:rPr>
                <w:sz w:val="18"/>
              </w:rPr>
              <w:t>4</w:t>
            </w:r>
          </w:p>
        </w:tc>
        <w:tc>
          <w:tcPr>
            <w:tcW w:type="dxa" w:w="807"/>
          </w:tcPr>
          <w:p>
            <w:pPr>
              <w:spacing w:before="20" w:after="20" w:line="240" w:lineRule="auto"/>
            </w:pPr>
            <w:r>
              <w:rPr>
                <w:b/>
                <w:sz w:val="18"/>
              </w:rPr>
              <w:t>14</w:t>
            </w:r>
          </w:p>
        </w:tc>
      </w:tr>
      <w:tr>
        <w:trPr>
          <w:cantSplit w:val="true"/>
        </w:trPr>
        <w:tc>
          <w:tcPr>
            <w:tcW w:type="dxa" w:w="6353"/>
          </w:tcPr>
          <w:p>
            <w:pPr>
              <w:spacing w:before="20" w:after="20" w:line="240" w:lineRule="auto"/>
            </w:pPr>
            <w:r>
              <w:rPr>
                <w:sz w:val="18"/>
              </w:rPr>
              <w:t>… handled by FLOW alone, correctly</w:t>
            </w:r>
          </w:p>
        </w:tc>
        <w:tc>
          <w:tcPr>
            <w:tcW w:type="dxa" w:w="1100"/>
          </w:tcPr>
          <w:p>
            <w:pPr>
              <w:spacing w:before="20" w:after="20" w:line="240" w:lineRule="auto"/>
            </w:pPr>
            <w:r>
              <w:rPr>
                <w:sz w:val="18"/>
              </w:rPr>
              <w:t>1</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3</w:t>
            </w:r>
          </w:p>
        </w:tc>
      </w:tr>
      <w:tr>
        <w:trPr>
          <w:cantSplit w:val="true"/>
        </w:trPr>
        <w:tc>
          <w:tcPr>
            <w:tcW w:type="dxa" w:w="6353"/>
          </w:tcPr>
          <w:p>
            <w:pPr>
              <w:spacing w:before="20" w:after="20" w:line="240" w:lineRule="auto"/>
            </w:pPr>
            <w:r>
              <w:rPr>
                <w:sz w:val="18"/>
              </w:rPr>
              <w:t>… sent to the owner unnecessarily</w:t>
            </w:r>
          </w:p>
        </w:tc>
        <w:tc>
          <w:tcPr>
            <w:tcW w:type="dxa" w:w="1100"/>
          </w:tcPr>
          <w:p>
            <w:pPr>
              <w:spacing w:before="20" w:after="20" w:line="240" w:lineRule="auto"/>
            </w:pPr>
            <w:r>
              <w:rPr>
                <w:sz w:val="18"/>
              </w:rPr>
              <w:t>9</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11</w:t>
            </w:r>
          </w:p>
        </w:tc>
      </w:tr>
      <w:tr>
        <w:trPr>
          <w:cantSplit w:val="true"/>
        </w:trPr>
        <w:tc>
          <w:tcPr>
            <w:tcW w:type="dxa" w:w="6353"/>
          </w:tcPr>
          <w:p>
            <w:pPr>
              <w:spacing w:before="20" w:after="20" w:line="240" w:lineRule="auto"/>
            </w:pPr>
            <w:r>
              <w:rPr>
                <w:sz w:val="18"/>
              </w:rPr>
              <w:t>Not acceptable, and FLOW answered alone (counter or reject at Tier 1)</w:t>
            </w:r>
          </w:p>
        </w:tc>
        <w:tc>
          <w:tcPr>
            <w:tcW w:type="dxa" w:w="1100"/>
          </w:tcPr>
          <w:p>
            <w:pPr>
              <w:spacing w:before="20" w:after="20" w:line="240" w:lineRule="auto"/>
            </w:pPr>
            <w:r>
              <w:rPr>
                <w:sz w:val="18"/>
              </w:rPr>
              <w:t>29</w:t>
            </w:r>
          </w:p>
        </w:tc>
        <w:tc>
          <w:tcPr>
            <w:tcW w:type="dxa" w:w="1100"/>
          </w:tcPr>
          <w:p>
            <w:pPr>
              <w:spacing w:before="20" w:after="20" w:line="240" w:lineRule="auto"/>
            </w:pPr>
            <w:r>
              <w:rPr>
                <w:sz w:val="18"/>
              </w:rPr>
              <w:t>25</w:t>
            </w:r>
          </w:p>
        </w:tc>
        <w:tc>
          <w:tcPr>
            <w:tcW w:type="dxa" w:w="807"/>
          </w:tcPr>
          <w:p>
            <w:pPr>
              <w:spacing w:before="20" w:after="20" w:line="240" w:lineRule="auto"/>
            </w:pPr>
            <w:r>
              <w:rPr>
                <w:sz w:val="18"/>
              </w:rPr>
              <w:t>54</w:t>
            </w:r>
          </w:p>
        </w:tc>
      </w:tr>
      <w:tr>
        <w:trPr>
          <w:cantSplit w:val="true"/>
        </w:trPr>
        <w:tc>
          <w:tcPr>
            <w:tcW w:type="dxa" w:w="6353"/>
          </w:tcPr>
          <w:p>
            <w:pPr>
              <w:spacing w:before="20" w:after="20" w:line="240" w:lineRule="auto"/>
            </w:pPr>
            <w:r>
              <w:rPr>
                <w:sz w:val="18"/>
              </w:rPr>
              <w:t>Not acceptable, and FLOW asked the owner (correctly)</w:t>
            </w:r>
          </w:p>
        </w:tc>
        <w:tc>
          <w:tcPr>
            <w:tcW w:type="dxa" w:w="1100"/>
          </w:tcPr>
          <w:p>
            <w:pPr>
              <w:spacing w:before="20" w:after="20" w:line="240" w:lineRule="auto"/>
            </w:pPr>
            <w:r>
              <w:rPr>
                <w:sz w:val="18"/>
              </w:rPr>
              <w:t>27</w:t>
            </w:r>
          </w:p>
        </w:tc>
        <w:tc>
          <w:tcPr>
            <w:tcW w:type="dxa" w:w="1100"/>
          </w:tcPr>
          <w:p>
            <w:pPr>
              <w:spacing w:before="20" w:after="20" w:line="240" w:lineRule="auto"/>
            </w:pPr>
            <w:r>
              <w:rPr>
                <w:sz w:val="18"/>
              </w:rPr>
              <w:t>20</w:t>
            </w:r>
          </w:p>
        </w:tc>
        <w:tc>
          <w:tcPr>
            <w:tcW w:type="dxa" w:w="807"/>
          </w:tcPr>
          <w:p>
            <w:pPr>
              <w:spacing w:before="20" w:after="20" w:line="240" w:lineRule="auto"/>
            </w:pPr>
            <w:r>
              <w:rPr>
                <w:sz w:val="18"/>
              </w:rPr>
              <w:t>47</w:t>
            </w:r>
          </w:p>
        </w:tc>
      </w:tr>
      <w:tr>
        <w:trPr>
          <w:cantSplit w:val="true"/>
        </w:trPr>
        <w:tc>
          <w:tcPr>
            <w:tcW w:type="dxa" w:w="6353"/>
          </w:tcPr>
          <w:p>
            <w:pPr>
              <w:spacing w:before="20" w:after="20" w:line="240" w:lineRule="auto"/>
            </w:pPr>
            <w:r>
              <w:rPr>
                <w:b/>
                <w:sz w:val="18"/>
              </w:rPr>
              <w:t>Wrong autonomous accepts</w:t>
            </w:r>
          </w:p>
        </w:tc>
        <w:tc>
          <w:tcPr>
            <w:tcW w:type="dxa" w:w="1100"/>
          </w:tcPr>
          <w:p>
            <w:pPr>
              <w:spacing w:before="20" w:after="20" w:line="240" w:lineRule="auto"/>
            </w:pPr>
            <w:r>
              <w:rPr>
                <w:b/>
                <w:sz w:val="18"/>
              </w:rPr>
              <w:t>0</w:t>
            </w:r>
          </w:p>
        </w:tc>
        <w:tc>
          <w:tcPr>
            <w:tcW w:type="dxa" w:w="1100"/>
          </w:tcPr>
          <w:p>
            <w:pPr>
              <w:spacing w:before="20" w:after="20" w:line="240" w:lineRule="auto"/>
            </w:pPr>
            <w:r>
              <w:rPr>
                <w:b/>
                <w:sz w:val="18"/>
              </w:rPr>
              <w:t>0</w:t>
            </w:r>
          </w:p>
        </w:tc>
        <w:tc>
          <w:tcPr>
            <w:tcW w:type="dxa" w:w="807"/>
          </w:tcPr>
          <w:p>
            <w:pPr>
              <w:spacing w:before="20" w:after="20" w:line="240" w:lineRule="auto"/>
            </w:pPr>
            <w:r>
              <w:rPr>
                <w:b/>
                <w:sz w:val="18"/>
              </w:rPr>
              <w:t>0</w:t>
            </w:r>
          </w:p>
        </w:tc>
      </w:tr>
      <w:tr>
        <w:trPr>
          <w:cantSplit w:val="true"/>
        </w:trPr>
        <w:tc>
          <w:tcPr>
            <w:tcW w:type="dxa" w:w="6353"/>
          </w:tcPr>
          <w:p>
            <w:pPr>
              <w:spacing w:before="20" w:after="20" w:line="240" w:lineRule="auto"/>
            </w:pPr>
            <w:r>
              <w:rPr>
                <w:sz w:val="18"/>
              </w:rPr>
              <w:t>Owner interactions needed</w:t>
            </w:r>
          </w:p>
        </w:tc>
        <w:tc>
          <w:tcPr>
            <w:tcW w:type="dxa" w:w="1100"/>
          </w:tcPr>
          <w:p>
            <w:pPr>
              <w:spacing w:before="20" w:after="20" w:line="240" w:lineRule="auto"/>
            </w:pPr>
            <w:r>
              <w:rPr>
                <w:sz w:val="18"/>
              </w:rPr>
              <w:t>36</w:t>
            </w:r>
          </w:p>
        </w:tc>
        <w:tc>
          <w:tcPr>
            <w:tcW w:type="dxa" w:w="1100"/>
          </w:tcPr>
          <w:p>
            <w:pPr>
              <w:spacing w:before="20" w:after="20" w:line="240" w:lineRule="auto"/>
            </w:pPr>
            <w:r>
              <w:rPr>
                <w:sz w:val="18"/>
              </w:rPr>
              <w:t>22</w:t>
            </w:r>
          </w:p>
        </w:tc>
        <w:tc>
          <w:tcPr>
            <w:tcW w:type="dxa" w:w="807"/>
          </w:tcPr>
          <w:p>
            <w:pPr>
              <w:spacing w:before="20" w:after="20" w:line="240" w:lineRule="auto"/>
            </w:pPr>
            <w:r>
              <w:rPr>
                <w:sz w:val="18"/>
              </w:rPr>
              <w:t>58 (50%)</w:t>
            </w:r>
          </w:p>
        </w:tc>
      </w:tr>
    </w:tbl>
    <w:p>
      <w:pPr>
        <w:spacing w:after="40"/>
      </w:pPr>
    </w:p>
    <w:p>
      <w:pPr>
        <w:spacing w:before="0" w:after="60" w:line="259" w:lineRule="auto"/>
      </w:pPr>
      <w:r>
        <w:rPr>
          <w:b/>
          <w:sz w:val="20"/>
        </w:rPr>
        <w:t>What Table 7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8. Compiler accuracy on the held-out sets.</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559"/>
            <w:shd w:val="clear" w:color="auto" w:fill="E8EEFB"/>
          </w:tcPr>
          <w:p>
            <w:pPr>
              <w:keepNext/>
              <w:spacing w:before="20" w:after="20" w:line="240" w:lineRule="auto"/>
            </w:pPr>
            <w:r>
              <w:rPr>
                <w:b/>
                <w:sz w:val="16"/>
              </w:rPr>
              <w:t>Set and run</w:t>
            </w:r>
          </w:p>
        </w:tc>
        <w:tc>
          <w:tcPr>
            <w:tcW w:type="dxa" w:w="1853"/>
            <w:shd w:val="clear" w:color="auto" w:fill="E8EEFB"/>
          </w:tcPr>
          <w:p>
            <w:pPr>
              <w:keepNext/>
              <w:spacing w:before="20" w:after="20" w:line="240" w:lineRule="auto"/>
            </w:pPr>
            <w:r>
              <w:rPr>
                <w:b/>
                <w:sz w:val="16"/>
              </w:rPr>
              <w:t>Independence</w:t>
            </w:r>
          </w:p>
        </w:tc>
        <w:tc>
          <w:tcPr>
            <w:tcW w:type="dxa" w:w="1164"/>
            <w:shd w:val="clear" w:color="auto" w:fill="E8EEFB"/>
          </w:tcPr>
          <w:p>
            <w:pPr>
              <w:keepNext/>
              <w:spacing w:before="20" w:after="20" w:line="240" w:lineRule="auto"/>
            </w:pPr>
            <w:r>
              <w:rPr>
                <w:b/>
                <w:sz w:val="16"/>
              </w:rPr>
              <w:t>Path</w:t>
            </w:r>
          </w:p>
        </w:tc>
        <w:tc>
          <w:tcPr>
            <w:tcW w:type="dxa" w:w="1185"/>
            <w:shd w:val="clear" w:color="auto" w:fill="E8EEFB"/>
          </w:tcPr>
          <w:p>
            <w:pPr>
              <w:keepNext/>
              <w:spacing w:before="20" w:after="20" w:line="240" w:lineRule="auto"/>
            </w:pPr>
            <w:r>
              <w:rPr>
                <w:b/>
                <w:sz w:val="16"/>
              </w:rPr>
              <w:t>Verdict agreement</w:t>
            </w:r>
          </w:p>
        </w:tc>
        <w:tc>
          <w:tcPr>
            <w:tcW w:type="dxa" w:w="1164"/>
            <w:shd w:val="clear" w:color="auto" w:fill="E8EEFB"/>
          </w:tcPr>
          <w:p>
            <w:pPr>
              <w:keepNext/>
              <w:spacing w:before="20" w:after="20" w:line="240" w:lineRule="auto"/>
            </w:pPr>
            <w:r>
              <w:rPr>
                <w:b/>
                <w:sz w:val="16"/>
              </w:rPr>
              <w:t>Material errors</w:t>
            </w:r>
          </w:p>
        </w:tc>
        <w:tc>
          <w:tcPr>
            <w:tcW w:type="dxa" w:w="1043"/>
            <w:shd w:val="clear" w:color="auto" w:fill="E8EEFB"/>
          </w:tcPr>
          <w:p>
            <w:pPr>
              <w:keepNext/>
              <w:spacing w:before="20" w:after="20" w:line="240" w:lineRule="auto"/>
            </w:pPr>
            <w:r>
              <w:rPr>
                <w:b/>
                <w:sz w:val="16"/>
              </w:rPr>
              <w:t>Silent material errors</w:t>
            </w:r>
          </w:p>
        </w:tc>
        <w:tc>
          <w:tcPr>
            <w:tcW w:type="dxa" w:w="1393"/>
            <w:shd w:val="clear" w:color="auto" w:fill="E8EEFB"/>
          </w:tcPr>
          <w:p>
            <w:pPr>
              <w:keepNext/>
              <w:spacing w:before="20" w:after="20" w:line="240" w:lineRule="auto"/>
            </w:pPr>
            <w:r>
              <w:rPr>
                <w:b/>
                <w:sz w:val="16"/>
              </w:rPr>
              <w:t>Wrong autonomous accepts</w:t>
            </w:r>
          </w:p>
        </w:tc>
      </w:tr>
      <w:tr>
        <w:trPr>
          <w:cantSplit w:val="true"/>
        </w:trPr>
        <w:tc>
          <w:tcPr>
            <w:tcW w:type="dxa" w:w="1559"/>
          </w:tcPr>
          <w:p>
            <w:pPr>
              <w:spacing w:before="20" w:after="20" w:line="240" w:lineRule="auto"/>
            </w:pPr>
            <w:r>
              <w:rPr>
                <w:sz w:val="16"/>
              </w:rPr>
              <w:t>Held-out 3, first run (1 Oct, before ADR-0005)</w:t>
            </w:r>
          </w:p>
        </w:tc>
        <w:tc>
          <w:tcPr>
            <w:tcW w:type="dxa" w:w="1853"/>
          </w:tcPr>
          <w:p>
            <w:pPr>
              <w:spacing w:before="20" w:after="20" w:line="240" w:lineRule="auto"/>
            </w:pPr>
            <w:r>
              <w:rPr>
                <w:sz w:val="16"/>
              </w:rPr>
              <w:t>unseen</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33/63 (52%)</w:t>
            </w:r>
          </w:p>
        </w:tc>
        <w:tc>
          <w:tcPr>
            <w:tcW w:type="dxa" w:w="1164"/>
          </w:tcPr>
          <w:p>
            <w:pPr>
              <w:spacing w:before="20" w:after="20" w:line="240" w:lineRule="auto"/>
            </w:pPr>
            <w:r>
              <w:rPr>
                <w:sz w:val="16"/>
              </w:rPr>
              <w:t>4/51</w:t>
            </w:r>
          </w:p>
        </w:tc>
        <w:tc>
          <w:tcPr>
            <w:tcW w:type="dxa" w:w="1043"/>
          </w:tcPr>
          <w:p>
            <w:pPr>
              <w:spacing w:before="20" w:after="20" w:line="240" w:lineRule="auto"/>
            </w:pPr>
            <w:r>
              <w:rPr>
                <w:sz w:val="16"/>
              </w:rPr>
              <w:t>7</w:t>
            </w:r>
          </w:p>
        </w:tc>
        <w:tc>
          <w:tcPr>
            <w:tcW w:type="dxa" w:w="1393"/>
          </w:tcPr>
          <w:p>
            <w:pPr>
              <w:spacing w:before="20" w:after="20" w:line="240" w:lineRule="auto"/>
            </w:pPr>
            <w:r>
              <w:rPr>
                <w:sz w:val="16"/>
              </w:rPr>
              <w:t>4 of 8 accepts</w:t>
            </w:r>
          </w:p>
        </w:tc>
      </w:tr>
      <w:tr>
        <w:trPr>
          <w:cantSplit w:val="true"/>
        </w:trPr>
        <w:tc>
          <w:tcPr>
            <w:tcW w:type="dxa" w:w="1559"/>
          </w:tcPr>
          <w:p>
            <w:pPr>
              <w:spacing w:before="20" w:after="20" w:line="240" w:lineRule="auto"/>
            </w:pPr>
            <w:r>
              <w:rPr>
                <w:sz w:val="16"/>
              </w:rPr>
              <w:t>Held-out 3, today (17 Oct)</w:t>
            </w:r>
          </w:p>
        </w:tc>
        <w:tc>
          <w:tcPr>
            <w:tcW w:type="dxa" w:w="1853"/>
          </w:tcPr>
          <w:p>
            <w:pPr>
              <w:spacing w:before="20" w:after="20" w:line="240" w:lineRule="auto"/>
            </w:pPr>
            <w:r>
              <w:rPr>
                <w:sz w:val="16"/>
              </w:rPr>
              <w:t>its failure classes guided later fixes</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44/63 (70%)</w:t>
            </w:r>
          </w:p>
        </w:tc>
        <w:tc>
          <w:tcPr>
            <w:tcW w:type="dxa" w:w="1164"/>
          </w:tcPr>
          <w:p>
            <w:pPr>
              <w:spacing w:before="20" w:after="20" w:line="240" w:lineRule="auto"/>
            </w:pPr>
            <w:r>
              <w:rPr>
                <w:sz w:val="16"/>
              </w:rPr>
              <w:t>3/51 (5.9%)</w:t>
            </w:r>
          </w:p>
        </w:tc>
        <w:tc>
          <w:tcPr>
            <w:tcW w:type="dxa" w:w="1043"/>
          </w:tcPr>
          <w:p>
            <w:pPr>
              <w:spacing w:before="20" w:after="20" w:line="240" w:lineRule="auto"/>
            </w:pPr>
            <w:r>
              <w:rPr>
                <w:sz w:val="16"/>
              </w:rPr>
              <w:t>4</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3, after round 3 (1 Oct)</w:t>
            </w:r>
          </w:p>
        </w:tc>
        <w:tc>
          <w:tcPr>
            <w:tcW w:type="dxa" w:w="1853"/>
          </w:tcPr>
          <w:p>
            <w:pPr>
              <w:spacing w:before="20" w:after="20" w:line="240" w:lineRule="auto"/>
            </w:pPr>
            <w:r>
              <w:rPr>
                <w:sz w:val="16"/>
              </w:rPr>
              <w:t>prompt not tuned on it; shared gates were</w:t>
            </w:r>
          </w:p>
        </w:tc>
        <w:tc>
          <w:tcPr>
            <w:tcW w:type="dxa" w:w="1164"/>
          </w:tcPr>
          <w:p>
            <w:pPr>
              <w:spacing w:before="20" w:after="20" w:line="240" w:lineRule="auto"/>
            </w:pPr>
            <w:r>
              <w:rPr>
                <w:sz w:val="16"/>
              </w:rPr>
              <w:t>live DeepSeek</w:t>
            </w:r>
          </w:p>
        </w:tc>
        <w:tc>
          <w:tcPr>
            <w:tcW w:type="dxa" w:w="1185"/>
          </w:tcPr>
          <w:p>
            <w:pPr>
              <w:spacing w:before="20" w:after="20" w:line="240" w:lineRule="auto"/>
            </w:pPr>
            <w:r>
              <w:rPr>
                <w:sz w:val="16"/>
              </w:rPr>
              <w:t>42/63 (67%)</w:t>
            </w:r>
          </w:p>
        </w:tc>
        <w:tc>
          <w:tcPr>
            <w:tcW w:type="dxa" w:w="1164"/>
          </w:tcPr>
          <w:p>
            <w:pPr>
              <w:spacing w:before="20" w:after="20" w:line="240" w:lineRule="auto"/>
            </w:pPr>
            <w:r>
              <w:rPr>
                <w:sz w:val="16"/>
              </w:rPr>
              <w:t>3/51</w:t>
            </w:r>
          </w:p>
        </w:tc>
        <w:tc>
          <w:tcPr>
            <w:tcW w:type="dxa" w:w="1043"/>
          </w:tcPr>
          <w:p>
            <w:pPr>
              <w:spacing w:before="20" w:after="20" w:line="240" w:lineRule="auto"/>
            </w:pPr>
            <w:r>
              <w:rPr>
                <w:sz w:val="16"/>
              </w:rPr>
              <w:t>5</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2, today (17 Oct)</w:t>
            </w:r>
          </w:p>
        </w:tc>
        <w:tc>
          <w:tcPr>
            <w:tcW w:type="dxa" w:w="1853"/>
          </w:tcPr>
          <w:p>
            <w:pPr>
              <w:spacing w:before="20" w:after="20" w:line="240" w:lineRule="auto"/>
            </w:pPr>
            <w:r>
              <w:rPr>
                <w:sz w:val="16"/>
              </w:rPr>
              <w:t>guided round 2</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38/47 (81%)</w:t>
            </w:r>
          </w:p>
        </w:tc>
        <w:tc>
          <w:tcPr>
            <w:tcW w:type="dxa" w:w="1164"/>
          </w:tcPr>
          <w:p>
            <w:pPr>
              <w:spacing w:before="20" w:after="20" w:line="240" w:lineRule="auto"/>
            </w:pPr>
            <w:r>
              <w:rPr>
                <w:sz w:val="16"/>
              </w:rPr>
              <w:t>0/37</w:t>
            </w:r>
          </w:p>
        </w:tc>
        <w:tc>
          <w:tcPr>
            <w:tcW w:type="dxa" w:w="1043"/>
          </w:tcPr>
          <w:p>
            <w:pPr>
              <w:spacing w:before="20" w:after="20" w:line="240" w:lineRule="auto"/>
            </w:pPr>
            <w:r>
              <w:rPr>
                <w:sz w:val="16"/>
              </w:rPr>
              <w:t>0</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Form baseline (labels typed in, today)</w:t>
            </w:r>
          </w:p>
        </w:tc>
        <w:tc>
          <w:tcPr>
            <w:tcW w:type="dxa" w:w="1853"/>
          </w:tcPr>
          <w:p>
            <w:pPr>
              <w:spacing w:before="20" w:after="20" w:line="240" w:lineRule="auto"/>
            </w:pPr>
            <w:r>
              <w:rPr>
                <w:sz w:val="16"/>
              </w:rPr>
              <w:t>—</w:t>
            </w:r>
          </w:p>
        </w:tc>
        <w:tc>
          <w:tcPr>
            <w:tcW w:type="dxa" w:w="1164"/>
          </w:tcPr>
          <w:p>
            <w:pPr>
              <w:spacing w:before="20" w:after="20" w:line="240" w:lineRule="auto"/>
            </w:pPr>
            <w:r>
              <w:rPr>
                <w:sz w:val="16"/>
              </w:rPr>
              <w:t>no compiler</w:t>
            </w:r>
          </w:p>
        </w:tc>
        <w:tc>
          <w:tcPr>
            <w:tcW w:type="dxa" w:w="1185"/>
          </w:tcPr>
          <w:p>
            <w:pPr>
              <w:spacing w:before="20" w:after="20" w:line="240" w:lineRule="auto"/>
            </w:pPr>
            <w:r>
              <w:rPr>
                <w:sz w:val="16"/>
              </w:rPr>
              <w:t>56/63 (89%)</w:t>
            </w:r>
          </w:p>
        </w:tc>
        <w:tc>
          <w:tcPr>
            <w:tcW w:type="dxa" w:w="1164"/>
          </w:tcPr>
          <w:p>
            <w:pPr>
              <w:spacing w:before="20" w:after="20" w:line="240" w:lineRule="auto"/>
            </w:pPr>
            <w:r>
              <w:rPr>
                <w:sz w:val="16"/>
              </w:rPr>
              <w:t>—</w:t>
            </w:r>
          </w:p>
        </w:tc>
        <w:tc>
          <w:tcPr>
            <w:tcW w:type="dxa" w:w="1043"/>
          </w:tcPr>
          <w:p>
            <w:pPr>
              <w:spacing w:before="20" w:after="20" w:line="240" w:lineRule="auto"/>
            </w:pPr>
            <w:r>
              <w:rPr>
                <w:sz w:val="16"/>
              </w:rPr>
              <w:t>—</w:t>
            </w:r>
          </w:p>
        </w:tc>
        <w:tc>
          <w:tcPr>
            <w:tcW w:type="dxa" w:w="1393"/>
          </w:tcPr>
          <w:p>
            <w:pPr>
              <w:spacing w:before="20" w:after="20" w:line="240" w:lineRule="auto"/>
            </w:pPr>
            <w:r>
              <w:rPr>
                <w:sz w:val="16"/>
              </w:rPr>
              <w:t>—</w:t>
            </w:r>
          </w:p>
        </w:tc>
      </w:tr>
    </w:tbl>
    <w:p>
      <w:pPr>
        <w:spacing w:after="40"/>
      </w:pPr>
    </w:p>
    <w:p>
      <w:pPr>
        <w:spacing w:before="0" w:after="60" w:line="259" w:lineRule="auto"/>
      </w:pPr>
      <w:r>
        <w:rPr>
          <w:b/>
          <w:sz w:val="20"/>
        </w:rPr>
        <w:t>Reading Table 8.</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9. Other evaluation results (offline, 17 Oct 2026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32"/>
            <w:shd w:val="clear" w:color="auto" w:fill="E8EEFB"/>
          </w:tcPr>
          <w:p>
            <w:pPr>
              <w:keepNext/>
              <w:spacing w:before="20" w:after="20" w:line="240" w:lineRule="auto"/>
            </w:pPr>
            <w:r>
              <w:rPr>
                <w:b/>
                <w:sz w:val="18"/>
              </w:rPr>
              <w:t>Question</w:t>
            </w:r>
          </w:p>
        </w:tc>
        <w:tc>
          <w:tcPr>
            <w:tcW w:type="dxa" w:w="6528"/>
            <w:shd w:val="clear" w:color="auto" w:fill="E8EEFB"/>
          </w:tcPr>
          <w:p>
            <w:pPr>
              <w:keepNext/>
              <w:spacing w:before="20" w:after="20" w:line="240" w:lineRule="auto"/>
            </w:pPr>
            <w:r>
              <w:rPr>
                <w:b/>
                <w:sz w:val="18"/>
              </w:rPr>
              <w:t>Result</w:t>
            </w:r>
          </w:p>
        </w:tc>
      </w:tr>
      <w:tr>
        <w:trPr>
          <w:cantSplit w:val="true"/>
        </w:trPr>
        <w:tc>
          <w:tcPr>
            <w:tcW w:type="dxa" w:w="2832"/>
          </w:tcPr>
          <w:p>
            <w:pPr>
              <w:spacing w:before="20" w:after="20" w:line="240" w:lineRule="auto"/>
            </w:pPr>
            <w:r>
              <w:rPr>
                <w:sz w:val="18"/>
              </w:rPr>
              <w:t>Is the engine exact?</w:t>
            </w:r>
          </w:p>
        </w:tc>
        <w:tc>
          <w:tcPr>
            <w:tcW w:type="dxa" w:w="6528"/>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rPr>
          <w:cantSplit w:val="true"/>
        </w:trPr>
        <w:tc>
          <w:tcPr>
            <w:tcW w:type="dxa" w:w="2832"/>
          </w:tcPr>
          <w:p>
            <w:pPr>
              <w:spacing w:before="20" w:after="20" w:line="240" w:lineRule="auto"/>
            </w:pPr>
            <w:r>
              <w:rPr>
                <w:sz w:val="18"/>
              </w:rPr>
              <w:t>Is the router optimal?</w:t>
            </w:r>
          </w:p>
        </w:tc>
        <w:tc>
          <w:tcPr>
            <w:tcW w:type="dxa" w:w="6528"/>
          </w:tcPr>
          <w:p>
            <w:pPr>
              <w:spacing w:before="20" w:after="20" w:line="240" w:lineRule="auto"/>
            </w:pPr>
            <w:r>
              <w:rPr>
                <w:sz w:val="18"/>
              </w:rPr>
              <w:t>Within ¥1 of the brute force on 26/26 scenarios; no committed plan relies on an uncommitted facility</w:t>
            </w:r>
          </w:p>
        </w:tc>
      </w:tr>
      <w:tr>
        <w:tc>
          <w:tcPr>
            <w:tcW w:type="dxa" w:w="2832"/>
          </w:tcPr>
          <w:p>
            <w:pPr>
              <w:spacing w:before="20" w:after="20" w:line="240" w:lineRule="auto"/>
            </w:pPr>
            <w:r>
              <w:rPr>
                <w:sz w:val="18"/>
              </w:rPr>
              <w:t>Is the router worth it, against a fair baseline?</w:t>
            </w:r>
          </w:p>
        </w:tc>
        <w:tc>
          <w:tcPr>
            <w:tcW w:type="dxa" w:w="6528"/>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rPr>
          <w:cantSplit w:val="true"/>
        </w:trPr>
        <w:tc>
          <w:tcPr>
            <w:tcW w:type="dxa" w:w="2832"/>
          </w:tcPr>
          <w:p>
            <w:pPr>
              <w:spacing w:before="20" w:after="20" w:line="240" w:lineRule="auto"/>
            </w:pPr>
            <w:r>
              <w:rPr>
                <w:sz w:val="18"/>
              </w:rPr>
              <w:t>Can every plan run today?</w:t>
            </w:r>
          </w:p>
        </w:tc>
        <w:tc>
          <w:tcPr>
            <w:tcW w:type="dxa" w:w="6528"/>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rPr>
          <w:cantSplit w:val="true"/>
        </w:trPr>
        <w:tc>
          <w:tcPr>
            <w:tcW w:type="dxa" w:w="2832"/>
          </w:tcPr>
          <w:p>
            <w:pPr>
              <w:spacing w:before="20" w:after="20" w:line="240" w:lineRule="auto"/>
            </w:pPr>
            <w:r>
              <w:rPr>
                <w:sz w:val="18"/>
              </w:rPr>
              <w:t>Does it walk away honestly?</w:t>
            </w:r>
          </w:p>
        </w:tc>
        <w:tc>
          <w:tcPr>
            <w:tcW w:type="dxa" w:w="6528"/>
          </w:tcPr>
          <w:p>
            <w:pPr>
              <w:spacing w:before="20" w:after="20" w:line="240" w:lineRule="auto"/>
            </w:pPr>
            <w:r>
              <w:rPr>
                <w:sz w:val="18"/>
              </w:rPr>
              <w:t>A hard-line buyer ends in NO DEAL within 3 rounds and the gap is still funded; 7/7 checks</w:t>
            </w:r>
          </w:p>
        </w:tc>
      </w:tr>
      <w:tr>
        <w:trPr>
          <w:cantSplit w:val="true"/>
        </w:trPr>
        <w:tc>
          <w:tcPr>
            <w:tcW w:type="dxa" w:w="2832"/>
          </w:tcPr>
          <w:p>
            <w:pPr>
              <w:spacing w:before="20" w:after="20" w:line="240" w:lineRule="auto"/>
            </w:pPr>
            <w:r>
              <w:rPr>
                <w:sz w:val="18"/>
              </w:rPr>
              <w:t>Does the agent complete tasks?</w:t>
            </w:r>
          </w:p>
        </w:tc>
        <w:tc>
          <w:tcPr>
            <w:tcW w:type="dxa" w:w="6528"/>
          </w:tcPr>
          <w:p>
            <w:pPr>
              <w:spacing w:before="20" w:after="20" w:line="240" w:lineRule="auto"/>
            </w:pPr>
            <w:r>
              <w:rPr>
                <w:sz w:val="18"/>
              </w:rPr>
              <w:t>49/49 scripted chat tasks (87 turns); every evidence chain verifies, and a tampered copy is rejected</w:t>
            </w:r>
          </w:p>
        </w:tc>
      </w:tr>
      <w:tr>
        <w:trPr>
          <w:cantSplit w:val="true"/>
        </w:trPr>
        <w:tc>
          <w:tcPr>
            <w:tcW w:type="dxa" w:w="2832"/>
          </w:tcPr>
          <w:p>
            <w:pPr>
              <w:spacing w:before="20" w:after="20" w:line="240" w:lineRule="auto"/>
            </w:pPr>
            <w:r>
              <w:rPr>
                <w:sz w:val="18"/>
              </w:rPr>
              <w:t>How fast is it?</w:t>
            </w:r>
          </w:p>
        </w:tc>
        <w:tc>
          <w:tcPr>
            <w:tcW w:type="dxa" w:w="6528"/>
          </w:tcPr>
          <w:p>
            <w:pPr>
              <w:spacing w:before="20" w:after="20" w:line="240" w:lineRule="auto"/>
            </w:pPr>
            <w:r>
              <w:rPr>
                <w:sz w:val="18"/>
              </w:rPr>
              <w:t>Router p50 81 ms, p95 238 ms. Chat turn p50 9 ms, p95 567 ms. Full Scene 1 (read, decide, negotiate, execute) p50 1.08 s. All in process, cache mode</w:t>
            </w:r>
          </w:p>
        </w:tc>
      </w:tr>
      <w:tr>
        <w:trPr>
          <w:cantSplit w:val="true"/>
        </w:trPr>
        <w:tc>
          <w:tcPr>
            <w:tcW w:type="dxa" w:w="2832"/>
          </w:tcPr>
          <w:p>
            <w:pPr>
              <w:spacing w:before="20" w:after="20" w:line="240" w:lineRule="auto"/>
            </w:pPr>
            <w:r>
              <w:rPr>
                <w:sz w:val="18"/>
              </w:rPr>
              <w:t>Does language stay safe at the boundary?</w:t>
            </w:r>
          </w:p>
        </w:tc>
        <w:tc>
          <w:tcPr>
            <w:tcW w:type="dxa" w:w="6528"/>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10. Stress tests on the demo company (read-only copies of the books).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4"/>
            <w:shd w:val="clear" w:color="auto" w:fill="E8EEFB"/>
          </w:tcPr>
          <w:p>
            <w:pPr>
              <w:keepNext/>
              <w:spacing w:before="20" w:after="20" w:line="240" w:lineRule="auto"/>
            </w:pPr>
            <w:r>
              <w:rPr>
                <w:b/>
                <w:sz w:val="18"/>
              </w:rPr>
              <w:t>Stress</w:t>
            </w:r>
          </w:p>
        </w:tc>
        <w:tc>
          <w:tcPr>
            <w:tcW w:type="dxa" w:w="3506"/>
            <w:shd w:val="clear" w:color="auto" w:fill="E8EEFB"/>
          </w:tcPr>
          <w:p>
            <w:pPr>
              <w:keepNext/>
              <w:spacing w:before="20" w:after="20" w:line="240" w:lineRule="auto"/>
            </w:pPr>
            <w:r>
              <w:rPr>
                <w:b/>
                <w:sz w:val="18"/>
              </w:rPr>
              <w:t>Effect on cash</w:t>
            </w:r>
          </w:p>
        </w:tc>
        <w:tc>
          <w:tcPr>
            <w:tcW w:type="dxa" w:w="4160"/>
            <w:shd w:val="clear" w:color="auto" w:fill="E8EEFB"/>
          </w:tcPr>
          <w:p>
            <w:pPr>
              <w:keepNext/>
              <w:spacing w:before="20" w:after="20" w:line="240" w:lineRule="auto"/>
            </w:pPr>
            <w:r>
              <w:rPr>
                <w:b/>
                <w:sz w:val="18"/>
              </w:rPr>
              <w:t>What FLOW does</w:t>
            </w:r>
          </w:p>
        </w:tc>
      </w:tr>
      <w:tr>
        <w:trPr>
          <w:cantSplit w:val="true"/>
        </w:trPr>
        <w:tc>
          <w:tcPr>
            <w:tcW w:type="dxa" w:w="1694"/>
          </w:tcPr>
          <w:p>
            <w:pPr>
              <w:spacing w:before="20" w:after="20" w:line="240" w:lineRule="auto"/>
            </w:pPr>
            <w:r>
              <w:rPr>
                <w:sz w:val="18"/>
              </w:rPr>
              <w:t>Foshan pays 10 days late</w:t>
            </w:r>
          </w:p>
        </w:tc>
        <w:tc>
          <w:tcPr>
            <w:tcW w:type="dxa" w:w="3506"/>
          </w:tcPr>
          <w:p>
            <w:pPr>
              <w:spacing w:before="20" w:after="20" w:line="240" w:lineRule="auto"/>
            </w:pPr>
            <w:r>
              <w:rPr>
                <w:sz w:val="18"/>
              </w:rPr>
              <w:t>Same lowest point (day 30); 30 days below the reserve instead of 20</w:t>
            </w:r>
          </w:p>
        </w:tc>
        <w:tc>
          <w:tcPr>
            <w:tcW w:type="dxa" w:w="4160"/>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rPr>
          <w:cantSplit w:val="true"/>
        </w:trPr>
        <w:tc>
          <w:tcPr>
            <w:tcW w:type="dxa" w:w="1694"/>
          </w:tcPr>
          <w:p>
            <w:pPr>
              <w:spacing w:before="20" w:after="20" w:line="240" w:lineRule="auto"/>
            </w:pPr>
            <w:r>
              <w:rPr>
                <w:sz w:val="18"/>
              </w:rPr>
              <w:t>Foshan pays only half</w:t>
            </w:r>
          </w:p>
        </w:tc>
        <w:tc>
          <w:tcPr>
            <w:tcW w:type="dxa" w:w="3506"/>
          </w:tcPr>
          <w:p>
            <w:pPr>
              <w:spacing w:before="20" w:after="20" w:line="240" w:lineRule="auto"/>
            </w:pPr>
            <w:r>
              <w:rPr>
                <w:sz w:val="18"/>
              </w:rPr>
              <w:t>35 days below the reserve</w:t>
            </w:r>
          </w:p>
        </w:tc>
        <w:tc>
          <w:tcPr>
            <w:tcW w:type="dxa" w:w="4160"/>
          </w:tcPr>
          <w:p>
            <w:pPr>
              <w:spacing w:before="20" w:after="20" w:line="240" w:lineRule="auto"/>
            </w:pPr>
            <w:r>
              <w:rPr>
                <w:sz w:val="18"/>
              </w:rPr>
              <w:t xml:space="preserve">Its cheapest cover needs a buyer early payment on a future invoice, so it is labelled </w:t>
            </w:r>
            <w:r>
              <w:rPr>
                <w:b/>
                <w:sz w:val="18"/>
              </w:rPr>
              <w:t>cannot run today</w:t>
            </w:r>
          </w:p>
        </w:tc>
      </w:tr>
      <w:tr>
        <w:trPr>
          <w:cantSplit w:val="true"/>
        </w:trPr>
        <w:tc>
          <w:tcPr>
            <w:tcW w:type="dxa" w:w="1694"/>
          </w:tcPr>
          <w:p>
            <w:pPr>
              <w:spacing w:before="20" w:after="20" w:line="240" w:lineRule="auto"/>
            </w:pPr>
            <w:r>
              <w:rPr>
                <w:sz w:val="18"/>
              </w:rPr>
              <w:t>EBITDA 20% lower</w:t>
            </w:r>
          </w:p>
        </w:tc>
        <w:tc>
          <w:tcPr>
            <w:tcW w:type="dxa" w:w="3506"/>
          </w:tcPr>
          <w:p>
            <w:pPr>
              <w:spacing w:before="20" w:after="20" w:line="240" w:lineRule="auto"/>
            </w:pPr>
            <w:r>
              <w:rPr>
                <w:sz w:val="18"/>
              </w:rPr>
              <w:t>Cash unchanged</w:t>
            </w:r>
          </w:p>
        </w:tc>
        <w:tc>
          <w:tcPr>
            <w:tcW w:type="dxa" w:w="4160"/>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11. Credentials and what each confers.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400"/>
            <w:shd w:val="clear" w:color="auto" w:fill="E8EEFB"/>
          </w:tcPr>
          <w:p>
            <w:pPr>
              <w:keepNext/>
              <w:spacing w:before="20" w:after="20" w:line="240" w:lineRule="auto"/>
            </w:pPr>
            <w:r>
              <w:rPr>
                <w:b/>
                <w:sz w:val="18"/>
              </w:rPr>
              <w:t>Credential</w:t>
            </w:r>
          </w:p>
        </w:tc>
        <w:tc>
          <w:tcPr>
            <w:tcW w:type="dxa" w:w="7960"/>
            <w:shd w:val="clear" w:color="auto" w:fill="E8EEFB"/>
          </w:tcPr>
          <w:p>
            <w:pPr>
              <w:keepNext/>
              <w:spacing w:before="20" w:after="20" w:line="240" w:lineRule="auto"/>
            </w:pPr>
            <w:r>
              <w:rPr>
                <w:b/>
                <w:sz w:val="18"/>
              </w:rPr>
              <w:t>Confers</w:t>
            </w:r>
          </w:p>
        </w:tc>
      </w:tr>
      <w:tr>
        <w:trPr>
          <w:cantSplit w:val="true"/>
        </w:trPr>
        <w:tc>
          <w:tcPr>
            <w:tcW w:type="dxa" w:w="1400"/>
          </w:tcPr>
          <w:p>
            <w:pPr>
              <w:spacing w:before="20" w:after="20" w:line="240" w:lineRule="auto"/>
            </w:pPr>
            <w:r>
              <w:rPr>
                <w:sz w:val="18"/>
              </w:rPr>
              <w:t>Owner token</w:t>
            </w:r>
          </w:p>
        </w:tc>
        <w:tc>
          <w:tcPr>
            <w:tcW w:type="dxa" w:w="7960"/>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rPr>
          <w:cantSplit w:val="true"/>
        </w:trPr>
        <w:tc>
          <w:tcPr>
            <w:tcW w:type="dxa" w:w="1400"/>
          </w:tcPr>
          <w:p>
            <w:pPr>
              <w:spacing w:before="20" w:after="20" w:line="240" w:lineRule="auto"/>
            </w:pPr>
            <w:r>
              <w:rPr>
                <w:sz w:val="18"/>
              </w:rPr>
              <w:t>Agent key</w:t>
            </w:r>
          </w:p>
        </w:tc>
        <w:tc>
          <w:tcPr>
            <w:tcW w:type="dxa" w:w="7960"/>
          </w:tcPr>
          <w:p>
            <w:pPr>
              <w:spacing w:before="20" w:after="20" w:line="240" w:lineRule="auto"/>
            </w:pPr>
            <w:r>
              <w:rPr>
                <w:sz w:val="18"/>
              </w:rPr>
              <w:t>The agent's tool channel: Tier 1 inside the mandate; Tier 2 is queued; chat replies show only the amounts of its own operations</w:t>
            </w:r>
          </w:p>
        </w:tc>
      </w:tr>
      <w:tr>
        <w:trPr>
          <w:cantSplit w:val="true"/>
        </w:trPr>
        <w:tc>
          <w:tcPr>
            <w:tcW w:type="dxa" w:w="1400"/>
          </w:tcPr>
          <w:p>
            <w:pPr>
              <w:spacing w:before="20" w:after="20" w:line="240" w:lineRule="auto"/>
            </w:pPr>
            <w:r>
              <w:rPr>
                <w:sz w:val="18"/>
              </w:rPr>
              <w:t>Bank-feed key</w:t>
            </w:r>
          </w:p>
        </w:tc>
        <w:tc>
          <w:tcPr>
            <w:tcW w:type="dxa" w:w="7960"/>
          </w:tcPr>
          <w:p>
            <w:pPr>
              <w:spacing w:before="20" w:after="20" w:line="240" w:lineRule="auto"/>
            </w:pPr>
            <w:r>
              <w:rPr>
                <w:sz w:val="18"/>
              </w:rPr>
              <w:t>Recording a receipt as the bank (Tier 1)</w:t>
            </w:r>
          </w:p>
        </w:tc>
      </w:tr>
      <w:tr>
        <w:trPr>
          <w:cantSplit w:val="true"/>
        </w:trPr>
        <w:tc>
          <w:tcPr>
            <w:tcW w:type="dxa" w:w="1400"/>
          </w:tcPr>
          <w:p>
            <w:pPr>
              <w:spacing w:before="20" w:after="20" w:line="240" w:lineRule="auto"/>
            </w:pPr>
            <w:r>
              <w:rPr>
                <w:sz w:val="18"/>
              </w:rPr>
              <w:t>Buyer channel key</w:t>
            </w:r>
          </w:p>
        </w:tc>
        <w:tc>
          <w:tcPr>
            <w:tcW w:type="dxa" w:w="7960"/>
          </w:tcPr>
          <w:p>
            <w:pPr>
              <w:spacing w:before="20" w:after="20" w:line="240" w:lineRule="auto"/>
            </w:pPr>
            <w:r>
              <w:rPr>
                <w:sz w:val="18"/>
              </w:rPr>
              <w:t>That a message comes from that registered buyer; 5 messages a simulated day, then refused</w:t>
            </w:r>
          </w:p>
        </w:tc>
      </w:tr>
      <w:tr>
        <w:trPr>
          <w:cantSplit w:val="true"/>
        </w:trPr>
        <w:tc>
          <w:tcPr>
            <w:tcW w:type="dxa" w:w="1400"/>
          </w:tcPr>
          <w:p>
            <w:pPr>
              <w:spacing w:before="20" w:after="20" w:line="240" w:lineRule="auto"/>
            </w:pPr>
            <w:r>
              <w:rPr>
                <w:sz w:val="18"/>
              </w:rPr>
              <w:t>None</w:t>
            </w:r>
          </w:p>
        </w:tc>
        <w:tc>
          <w:tcPr>
            <w:tcW w:type="dxa" w:w="7960"/>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A confirmed document never changes the books. After confirming, FLOW says what was saved, under which customer, and that the forecast is unchanged.</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All 100 routes are tested</w:t>
      </w:r>
      <w:r>
        <w:rPr>
          <w:sz w:val="20"/>
        </w:rPr>
        <w:t xml:space="preserve"> by a route-policy test that calls every method and route as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260 stored cases through the API and chat, by class. None violated the defined harm oracles. Every case reached the path it targets; of the 127 API cases, 119 were stopped by the control they name and 8 by another control.</w:t>
      </w:r>
    </w:p>
    <w:p>
      <w:pPr>
        <w:spacing w:before="0" w:after="60" w:line="259" w:lineRule="auto"/>
      </w:pPr>
      <w:r>
        <w:rPr>
          <w:b/>
          <w:sz w:val="20"/>
        </w:rPr>
        <w:t>Table 12. Attack results (260 stored cases: 127 through the API, 133 through chat; each in a fresh in-memory runtime, offline, with recorded or scripted model answers).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782"/>
            <w:shd w:val="clear" w:color="auto" w:fill="E8EEFB"/>
          </w:tcPr>
          <w:p>
            <w:pPr>
              <w:keepNext/>
              <w:spacing w:before="20" w:after="20" w:line="240" w:lineRule="auto"/>
            </w:pPr>
            <w:r>
              <w:rPr>
                <w:b/>
                <w:sz w:val="18"/>
              </w:rPr>
              <w:t>Measure</w:t>
            </w:r>
          </w:p>
        </w:tc>
        <w:tc>
          <w:tcPr>
            <w:tcW w:type="dxa" w:w="4578"/>
            <w:shd w:val="clear" w:color="auto" w:fill="E8EEFB"/>
          </w:tcPr>
          <w:p>
            <w:pPr>
              <w:keepNext/>
              <w:spacing w:before="20" w:after="20" w:line="240" w:lineRule="auto"/>
            </w:pPr>
            <w:r>
              <w:rPr>
                <w:b/>
                <w:sz w:val="18"/>
              </w:rPr>
              <w:t>Result</w:t>
            </w:r>
          </w:p>
        </w:tc>
      </w:tr>
      <w:tr>
        <w:trPr>
          <w:cantSplit w:val="true"/>
        </w:trPr>
        <w:tc>
          <w:tcPr>
            <w:tcW w:type="dxa" w:w="4782"/>
          </w:tcPr>
          <w:p>
            <w:pPr>
              <w:spacing w:before="20" w:after="20" w:line="240" w:lineRule="auto"/>
            </w:pPr>
            <w:r>
              <w:rPr>
                <w:sz w:val="18"/>
              </w:rPr>
              <w:t>Harm-oracle violations, in each specified run</w:t>
            </w:r>
          </w:p>
        </w:tc>
        <w:tc>
          <w:tcPr>
            <w:tcW w:type="dxa" w:w="4578"/>
          </w:tcPr>
          <w:p>
            <w:pPr>
              <w:spacing w:before="20" w:after="20" w:line="240" w:lineRule="auto"/>
            </w:pPr>
            <w:r>
              <w:rPr>
                <w:sz w:val="18"/>
              </w:rPr>
              <w:t>0 of 260</w:t>
            </w:r>
          </w:p>
        </w:tc>
      </w:tr>
      <w:tr>
        <w:trPr>
          <w:cantSplit w:val="true"/>
        </w:trPr>
        <w:tc>
          <w:tcPr>
            <w:tcW w:type="dxa" w:w="4782"/>
          </w:tcPr>
          <w:p>
            <w:pPr>
              <w:spacing w:before="20" w:after="20" w:line="240" w:lineRule="auto"/>
            </w:pPr>
            <w:r>
              <w:rPr>
                <w:sz w:val="18"/>
              </w:rPr>
              <w:t>Unauthorised operations executed / money moved by attacks</w:t>
            </w:r>
          </w:p>
        </w:tc>
        <w:tc>
          <w:tcPr>
            <w:tcW w:type="dxa" w:w="4578"/>
          </w:tcPr>
          <w:p>
            <w:pPr>
              <w:spacing w:before="20" w:after="20" w:line="240" w:lineRule="auto"/>
            </w:pPr>
            <w:r>
              <w:rPr>
                <w:sz w:val="18"/>
              </w:rPr>
              <w:t>0 / ¥0.00</w:t>
            </w:r>
          </w:p>
        </w:tc>
      </w:tr>
      <w:tr>
        <w:trPr>
          <w:cantSplit w:val="true"/>
        </w:trPr>
        <w:tc>
          <w:tcPr>
            <w:tcW w:type="dxa" w:w="4782"/>
          </w:tcPr>
          <w:p>
            <w:pPr>
              <w:spacing w:before="20" w:after="20" w:line="240" w:lineRule="auto"/>
            </w:pPr>
            <w:r>
              <w:rPr>
                <w:sz w:val="18"/>
              </w:rPr>
              <w:t>Facilities added by non-owners; concessions booked from unproven claims</w:t>
            </w:r>
          </w:p>
        </w:tc>
        <w:tc>
          <w:tcPr>
            <w:tcW w:type="dxa" w:w="4578"/>
          </w:tcPr>
          <w:p>
            <w:pPr>
              <w:spacing w:before="20" w:after="20" w:line="240" w:lineRule="auto"/>
            </w:pPr>
            <w:r>
              <w:rPr>
                <w:sz w:val="18"/>
              </w:rPr>
              <w:t>0; 0</w:t>
            </w:r>
          </w:p>
        </w:tc>
      </w:tr>
      <w:tr>
        <w:trPr>
          <w:cantSplit w:val="true"/>
        </w:trPr>
        <w:tc>
          <w:tcPr>
            <w:tcW w:type="dxa" w:w="4782"/>
          </w:tcPr>
          <w:p>
            <w:pPr>
              <w:spacing w:before="20" w:after="20" w:line="240" w:lineRule="auto"/>
            </w:pPr>
            <w:r>
              <w:rPr>
                <w:sz w:val="18"/>
              </w:rPr>
              <w:t>Integrity failures (partial write, double execution, erased log)</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Protected values disclosed in outbound text or readable without the owner token</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Cases that reached the path they target</w:t>
            </w:r>
          </w:p>
        </w:tc>
        <w:tc>
          <w:tcPr>
            <w:tcW w:type="dxa" w:w="4578"/>
          </w:tcPr>
          <w:p>
            <w:pPr>
              <w:spacing w:before="20" w:after="20" w:line="240" w:lineRule="auto"/>
            </w:pPr>
            <w:r>
              <w:rPr>
                <w:sz w:val="18"/>
              </w:rPr>
              <w:t>260 of 260. A case that never reaches its path no longer counts as defended</w:t>
            </w:r>
          </w:p>
        </w:tc>
      </w:tr>
      <w:tr>
        <w:trPr>
          <w:cantSplit w:val="true"/>
        </w:trPr>
        <w:tc>
          <w:tcPr>
            <w:tcW w:type="dxa" w:w="4782"/>
          </w:tcPr>
          <w:p>
            <w:pPr>
              <w:spacing w:before="20" w:after="20" w:line="240" w:lineRule="auto"/>
            </w:pPr>
            <w:r>
              <w:rPr>
                <w:sz w:val="18"/>
              </w:rPr>
              <w:t>API cases stopped by the control they name</w:t>
            </w:r>
          </w:p>
        </w:tc>
        <w:tc>
          <w:tcPr>
            <w:tcW w:type="dxa" w:w="4578"/>
          </w:tcPr>
          <w:p>
            <w:pPr>
              <w:spacing w:before="20" w:after="20" w:line="240" w:lineRule="auto"/>
            </w:pPr>
            <w:r>
              <w:rPr>
                <w:sz w:val="18"/>
              </w:rPr>
              <w:t>119 of 127. The other 8 were stopped by another control, with no harm (known gaps, SEC-34, each pinned by a test)</w:t>
            </w:r>
          </w:p>
        </w:tc>
      </w:tr>
    </w:tbl>
    <w:p>
      <w:pPr>
        <w:spacing w:after="40"/>
      </w:pPr>
    </w:p>
    <w:p>
      <w:pPr>
        <w:spacing w:before="0" w:after="60" w:line="259" w:lineRule="auto"/>
      </w:pPr>
      <w:r>
        <w:rPr>
          <w:sz w:val="20"/>
        </w:rPr>
        <w:t>This is a test result within a scope, not proof that no exploitable path exists. The catalogue drives part of the 100 routes; a separate route-policy test calls every route as every kind of caller. No running deployment has had a penetration test.</w:t>
      </w:r>
    </w:p>
    <w:p>
      <w:pPr>
        <w:spacing w:before="0" w:after="60" w:line="259" w:lineRule="auto"/>
      </w:pPr>
      <w:r>
        <w:rPr>
          <w:b/>
          <w:sz w:val="20"/>
        </w:rPr>
        <w:t>Assurance.</w:t>
      </w:r>
      <w:r>
        <w:rPr>
          <w:sz w:val="20"/>
        </w:rPr>
        <w:t xml:space="preserve"> Every review was AI-assisted; none was external professional assurance.</w:t>
      </w:r>
    </w:p>
    <w:p>
      <w:pPr>
        <w:pStyle w:val="ListBullet2"/>
        <w:tabs>
          <w:tab w:pos="792" w:val="left"/>
        </w:tabs>
        <w:spacing w:before="0"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pPr>
        <w:pStyle w:val="ListBullet2"/>
        <w:tabs>
          <w:tab w:pos="792" w:val="left"/>
        </w:tabs>
        <w:spacing w:before="0"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pPr>
        <w:pStyle w:val="ListBullet2"/>
        <w:tabs>
          <w:tab w:pos="792" w:val="left"/>
        </w:tabs>
        <w:spacing w:before="0"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pPr>
        <w:pStyle w:val="ListBullet2"/>
        <w:tabs>
          <w:tab w:pos="792" w:val="left"/>
        </w:tabs>
        <w:spacing w:before="0" w:after="60" w:line="259" w:lineRule="auto"/>
        <w:ind w:left="792" w:hanging="288"/>
      </w:pPr>
      <w:r>
        <w:rPr>
          <w:b/>
          <w:sz w:val="20"/>
        </w:rPr>
        <w:t>Verdicts (Security Self-Assessment v3).</w:t>
      </w:r>
    </w:p>
    <w:p>
      <w:pPr>
        <w:pStyle w:val="ListBullet3"/>
        <w:tabs>
          <w:tab w:pos="1152" w:val="left"/>
        </w:tabs>
        <w:spacing w:before="0" w:after="60" w:line="259" w:lineRule="auto"/>
        <w:ind w:left="1152" w:hanging="288"/>
      </w:pPr>
      <w:r>
        <w:rPr>
          <w:sz w:val="20"/>
        </w:rPr>
        <w:t>Local simulation on loopback: GO.</w:t>
      </w:r>
    </w:p>
    <w:p>
      <w:pPr>
        <w:pStyle w:val="ListBullet3"/>
        <w:tabs>
          <w:tab w:pos="1152" w:val="left"/>
        </w:tabs>
        <w:spacing w:before="0" w:after="60" w:line="259" w:lineRule="auto"/>
        <w:ind w:left="1152" w:hanging="288"/>
      </w:pPr>
      <w:r>
        <w:rPr>
          <w:sz w:val="20"/>
        </w:rPr>
        <w:t>A demo over a network: NO-GO until a tested deployment profile exists; we demonstrate the local configuration.</w:t>
      </w:r>
    </w:p>
    <w:p>
      <w:pPr>
        <w:pStyle w:val="ListBullet3"/>
        <w:tabs>
          <w:tab w:pos="1152" w:val="left"/>
        </w:tabs>
        <w:spacing w:before="0" w:after="60" w:line="259" w:lineRule="auto"/>
        <w:ind w:left="1152" w:hanging="288"/>
      </w:pPr>
      <w:r>
        <w:rPr>
          <w:sz w:val="20"/>
        </w:rPr>
        <w:t>Production with real customers, documents or money: NO-GO, because of the items in section 05.</w:t>
      </w:r>
    </w:p>
    <w:p>
      <w:pPr>
        <w:spacing w:before="0" w:after="60" w:line="259" w:lineRule="auto"/>
      </w:pPr>
      <w:r>
        <w:rPr>
          <w:sz w:val="20"/>
        </w:rPr>
        <w:t>The full register is in the Security Self-Assessment, which uses the same build and figures.</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Capex &amp; purchases, Receivables and Activity.</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260 attack cases,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13. Evidence for every headline figure (dev </w:t>
      </w:r>
      <w:r>
        <w:rPr>
          <w:rFonts w:ascii="Courier New" w:hAnsi="Courier New"/>
          <w:b/>
          <w:sz w:val="18"/>
        </w:rPr>
        <w:t>975e082f</w:t>
      </w:r>
      <w:r>
        <w:rPr>
          <w:b/>
          <w:sz w:val="20"/>
        </w:rPr>
        <w:t>, 17 Oct 2026, cache mode, offline, unless noted).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03"/>
            <w:shd w:val="clear" w:color="auto" w:fill="E8EEFB"/>
          </w:tcPr>
          <w:p>
            <w:pPr>
              <w:keepNext/>
              <w:spacing w:before="20" w:after="20" w:line="240" w:lineRule="auto"/>
            </w:pPr>
            <w:r>
              <w:rPr>
                <w:b/>
                <w:sz w:val="18"/>
              </w:rPr>
              <w:t>Claim</w:t>
            </w:r>
          </w:p>
        </w:tc>
        <w:tc>
          <w:tcPr>
            <w:tcW w:type="dxa" w:w="4021"/>
            <w:shd w:val="clear" w:color="auto" w:fill="E8EEFB"/>
          </w:tcPr>
          <w:p>
            <w:pPr>
              <w:keepNext/>
              <w:spacing w:before="20" w:after="20" w:line="240" w:lineRule="auto"/>
            </w:pPr>
            <w:r>
              <w:rPr>
                <w:b/>
                <w:sz w:val="18"/>
              </w:rPr>
              <w:t>Command</w:t>
            </w:r>
          </w:p>
        </w:tc>
        <w:tc>
          <w:tcPr>
            <w:tcW w:type="dxa" w:w="3635"/>
            <w:shd w:val="clear" w:color="auto" w:fill="E8EEFB"/>
          </w:tcPr>
          <w:p>
            <w:pPr>
              <w:keepNext/>
              <w:spacing w:before="20" w:after="20" w:line="240" w:lineRule="auto"/>
            </w:pPr>
            <w:r>
              <w:rPr>
                <w:b/>
                <w:sz w:val="18"/>
              </w:rPr>
              <w:t>Result</w:t>
            </w:r>
          </w:p>
        </w:tc>
      </w:tr>
      <w:tr>
        <w:trPr>
          <w:cantSplit w:val="true"/>
        </w:trPr>
        <w:tc>
          <w:tcPr>
            <w:tcW w:type="dxa" w:w="1703"/>
          </w:tcPr>
          <w:p>
            <w:pPr>
              <w:spacing w:before="20" w:after="20" w:line="240" w:lineRule="auto"/>
            </w:pPr>
            <w:r>
              <w:rPr>
                <w:sz w:val="18"/>
              </w:rPr>
              <w:t>API tests</w:t>
            </w:r>
          </w:p>
        </w:tc>
        <w:tc>
          <w:tcPr>
            <w:tcW w:type="dxa" w:w="4021"/>
          </w:tcPr>
          <w:p>
            <w:pPr>
              <w:spacing w:before="20" w:after="20" w:line="240" w:lineRule="auto"/>
            </w:pPr>
            <w:r>
              <w:rPr>
                <w:rFonts w:ascii="Courier New" w:hAnsi="Courier New"/>
                <w:sz w:val="18"/>
              </w:rPr>
              <w:t>uv run pytest</w:t>
            </w:r>
            <w:r>
              <w:rPr>
                <w:sz w:val="18"/>
              </w:rPr>
              <w:t xml:space="preserve"> (services/api)</w:t>
            </w:r>
          </w:p>
        </w:tc>
        <w:tc>
          <w:tcPr>
            <w:tcW w:type="dxa" w:w="3635"/>
          </w:tcPr>
          <w:p>
            <w:pPr>
              <w:spacing w:before="20" w:after="20" w:line="240" w:lineRule="auto"/>
            </w:pPr>
            <w:r>
              <w:rPr>
                <w:sz w:val="18"/>
              </w:rPr>
              <w:t>9,085 collected; 9,040 passed; 1 known failure (#161, a hash that differs by machine); the rest skipped by design</w:t>
            </w:r>
          </w:p>
        </w:tc>
      </w:tr>
      <w:tr>
        <w:trPr>
          <w:cantSplit w:val="true"/>
        </w:trPr>
        <w:tc>
          <w:tcPr>
            <w:tcW w:type="dxa" w:w="1703"/>
          </w:tcPr>
          <w:p>
            <w:pPr>
              <w:spacing w:before="20" w:after="20" w:line="240" w:lineRule="auto"/>
            </w:pPr>
            <w:r>
              <w:rPr>
                <w:sz w:val="18"/>
              </w:rPr>
              <w:t>Web tests</w:t>
            </w:r>
          </w:p>
        </w:tc>
        <w:tc>
          <w:tcPr>
            <w:tcW w:type="dxa" w:w="4021"/>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635"/>
          </w:tcPr>
          <w:p>
            <w:pPr>
              <w:spacing w:before="20" w:after="20" w:line="240" w:lineRule="auto"/>
            </w:pPr>
            <w:r>
              <w:rPr>
                <w:sz w:val="18"/>
              </w:rPr>
              <w:t>clean; 169 passed</w:t>
            </w:r>
          </w:p>
        </w:tc>
      </w:tr>
      <w:tr>
        <w:trPr>
          <w:cantSplit w:val="true"/>
        </w:trPr>
        <w:tc>
          <w:tcPr>
            <w:tcW w:type="dxa" w:w="1703"/>
          </w:tcPr>
          <w:p>
            <w:pPr>
              <w:spacing w:before="20" w:after="20" w:line="240" w:lineRule="auto"/>
            </w:pPr>
            <w:r>
              <w:rPr>
                <w:sz w:val="18"/>
              </w:rPr>
              <w:t>Browser tests</w:t>
            </w:r>
          </w:p>
        </w:tc>
        <w:tc>
          <w:tcPr>
            <w:tcW w:type="dxa" w:w="4021"/>
          </w:tcPr>
          <w:p>
            <w:pPr>
              <w:spacing w:before="20" w:after="20" w:line="240" w:lineRule="auto"/>
            </w:pPr>
            <w:r>
              <w:rPr>
                <w:rFonts w:ascii="Courier New" w:hAnsi="Courier New"/>
                <w:sz w:val="18"/>
              </w:rPr>
              <w:t>pnpm exec playwright test</w:t>
            </w:r>
            <w:r>
              <w:rPr>
                <w:sz w:val="18"/>
              </w:rPr>
              <w:t xml:space="preserve"> (mock and live projects)</w:t>
            </w:r>
          </w:p>
        </w:tc>
        <w:tc>
          <w:tcPr>
            <w:tcW w:type="dxa" w:w="3635"/>
          </w:tcPr>
          <w:p>
            <w:pPr>
              <w:spacing w:before="20" w:after="20" w:line="240" w:lineRule="auto"/>
            </w:pPr>
            <w:r>
              <w:rPr>
                <w:sz w:val="18"/>
              </w:rPr>
              <w:t>mock 445 passed, 0 failed; live 139 passed, with 2 known write-conflict retry failures (#157)</w:t>
            </w:r>
          </w:p>
        </w:tc>
      </w:tr>
      <w:tr>
        <w:trPr>
          <w:cantSplit w:val="true"/>
        </w:trPr>
        <w:tc>
          <w:tcPr>
            <w:tcW w:type="dxa" w:w="1703"/>
          </w:tcPr>
          <w:p>
            <w:pPr>
              <w:spacing w:before="20" w:after="20" w:line="240" w:lineRule="auto"/>
            </w:pPr>
            <w:r>
              <w:rPr>
                <w:sz w:val="18"/>
              </w:rPr>
              <w:t>Attacks</w:t>
            </w:r>
          </w:p>
        </w:tc>
        <w:tc>
          <w:tcPr>
            <w:tcW w:type="dxa" w:w="4021"/>
          </w:tcPr>
          <w:p>
            <w:pPr>
              <w:spacing w:before="20" w:after="20" w:line="240" w:lineRule="auto"/>
            </w:pPr>
            <w:r>
              <w:rPr>
                <w:rFonts w:ascii="Courier New" w:hAnsi="Courier New"/>
                <w:sz w:val="18"/>
              </w:rPr>
              <w:t>uv run python -m app.security.attacks --report</w:t>
            </w:r>
            <w:r>
              <w:rPr>
                <w:sz w:val="18"/>
              </w:rPr>
              <w:t xml:space="preserve"> (round four, 17 Oct)</w:t>
            </w:r>
          </w:p>
        </w:tc>
        <w:tc>
          <w:tcPr>
            <w:tcW w:type="dxa" w:w="3635"/>
          </w:tcPr>
          <w:p>
            <w:pPr>
              <w:spacing w:before="20" w:after="20" w:line="240" w:lineRule="auto"/>
            </w:pPr>
            <w:r>
              <w:rPr>
                <w:sz w:val="18"/>
              </w:rPr>
              <w:t>260 cases, 0 harm-oracle violations; 260 of 260 reached their path</w:t>
            </w:r>
          </w:p>
        </w:tc>
      </w:tr>
      <w:tr>
        <w:trPr>
          <w:cantSplit w:val="true"/>
        </w:trPr>
        <w:tc>
          <w:tcPr>
            <w:tcW w:type="dxa" w:w="1703"/>
          </w:tcPr>
          <w:p>
            <w:pPr>
              <w:spacing w:before="20" w:after="20" w:line="240" w:lineRule="auto"/>
            </w:pPr>
            <w:r>
              <w:rPr>
                <w:sz w:val="18"/>
              </w:rPr>
              <w:t>Agent tasks</w:t>
            </w:r>
          </w:p>
        </w:tc>
        <w:tc>
          <w:tcPr>
            <w:tcW w:type="dxa" w:w="4021"/>
          </w:tcPr>
          <w:p>
            <w:pPr>
              <w:spacing w:before="20" w:after="20" w:line="240" w:lineRule="auto"/>
            </w:pPr>
            <w:r>
              <w:rPr>
                <w:rFonts w:ascii="Courier New" w:hAnsi="Courier New"/>
                <w:sz w:val="18"/>
              </w:rPr>
              <w:t>scripts/run_scenarios.py --inproc</w:t>
            </w:r>
          </w:p>
        </w:tc>
        <w:tc>
          <w:tcPr>
            <w:tcW w:type="dxa" w:w="3635"/>
          </w:tcPr>
          <w:p>
            <w:pPr>
              <w:spacing w:before="20" w:after="20" w:line="240" w:lineRule="auto"/>
            </w:pPr>
            <w:r>
              <w:rPr>
                <w:sz w:val="18"/>
              </w:rPr>
              <w:t>49/49; all evidence chains verify</w:t>
            </w:r>
          </w:p>
        </w:tc>
      </w:tr>
      <w:tr>
        <w:trPr>
          <w:cantSplit w:val="true"/>
        </w:trPr>
        <w:tc>
          <w:tcPr>
            <w:tcW w:type="dxa" w:w="1703"/>
          </w:tcPr>
          <w:p>
            <w:pPr>
              <w:spacing w:before="20" w:after="20" w:line="240" w:lineRule="auto"/>
            </w:pPr>
            <w:r>
              <w:rPr>
                <w:sz w:val="18"/>
              </w:rPr>
              <w:t>Offline evaluation</w:t>
            </w:r>
          </w:p>
        </w:tc>
        <w:tc>
          <w:tcPr>
            <w:tcW w:type="dxa" w:w="4021"/>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635"/>
          </w:tcPr>
          <w:p>
            <w:pPr>
              <w:spacing w:before="20" w:after="20" w:line="240" w:lineRule="auto"/>
            </w:pPr>
            <w:r>
              <w:rPr>
                <w:sz w:val="18"/>
              </w:rPr>
              <w:t>every target met; figures in Tables 9 and 6</w:t>
            </w:r>
          </w:p>
        </w:tc>
      </w:tr>
      <w:tr>
        <w:trPr>
          <w:cantSplit w:val="true"/>
        </w:trPr>
        <w:tc>
          <w:tcPr>
            <w:tcW w:type="dxa" w:w="1703"/>
          </w:tcPr>
          <w:p>
            <w:pPr>
              <w:spacing w:before="20" w:after="20" w:line="240" w:lineRule="auto"/>
            </w:pPr>
            <w:r>
              <w:rPr>
                <w:sz w:val="18"/>
              </w:rPr>
              <w:t>Autonomy funnel</w:t>
            </w:r>
          </w:p>
        </w:tc>
        <w:tc>
          <w:tcPr>
            <w:tcW w:type="dxa" w:w="4021"/>
          </w:tcPr>
          <w:p>
            <w:pPr>
              <w:spacing w:before="20" w:after="20" w:line="240" w:lineRule="auto"/>
            </w:pPr>
            <w:r>
              <w:rPr>
                <w:rFonts w:ascii="Courier New" w:hAnsi="Courier New"/>
                <w:sz w:val="18"/>
              </w:rPr>
              <w:t>scripts/analysis/autonomy_funnel.py fixtures/heldout3 fixtures/heldout2</w:t>
            </w:r>
          </w:p>
        </w:tc>
        <w:tc>
          <w:tcPr>
            <w:tcW w:type="dxa" w:w="3635"/>
          </w:tcPr>
          <w:p>
            <w:pPr>
              <w:spacing w:before="20" w:after="20" w:line="240" w:lineRule="auto"/>
            </w:pPr>
            <w:r>
              <w:rPr>
                <w:sz w:val="18"/>
              </w:rPr>
              <w:t>Table 7</w:t>
            </w:r>
          </w:p>
        </w:tc>
      </w:tr>
      <w:tr>
        <w:trPr>
          <w:cantSplit w:val="true"/>
        </w:trPr>
        <w:tc>
          <w:tcPr>
            <w:tcW w:type="dxa" w:w="1703"/>
          </w:tcPr>
          <w:p>
            <w:pPr>
              <w:spacing w:before="20" w:after="20" w:line="240" w:lineRule="auto"/>
            </w:pPr>
            <w:r>
              <w:rPr>
                <w:sz w:val="18"/>
              </w:rPr>
              <w:t>Contract reading</w:t>
            </w:r>
          </w:p>
        </w:tc>
        <w:tc>
          <w:tcPr>
            <w:tcW w:type="dxa" w:w="4021"/>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635"/>
          </w:tcPr>
          <w:p>
            <w:pPr>
              <w:spacing w:before="20" w:after="20" w:line="240" w:lineRule="auto"/>
            </w:pPr>
            <w:r>
              <w:rPr>
                <w:sz w:val="18"/>
              </w:rPr>
              <w:t>75% held-out, 86% after fixes, 98% tuned; measured in session, 17 Oct</w:t>
            </w:r>
          </w:p>
        </w:tc>
      </w:tr>
      <w:tr>
        <w:trPr>
          <w:cantSplit w:val="true"/>
        </w:trPr>
        <w:tc>
          <w:tcPr>
            <w:tcW w:type="dxa" w:w="1703"/>
          </w:tcPr>
          <w:p>
            <w:pPr>
              <w:spacing w:before="20" w:after="20" w:line="240" w:lineRule="auto"/>
            </w:pPr>
            <w:r>
              <w:rPr>
                <w:sz w:val="18"/>
              </w:rPr>
              <w:t>Routes / migrations</w:t>
            </w:r>
          </w:p>
        </w:tc>
        <w:tc>
          <w:tcPr>
            <w:tcW w:type="dxa" w:w="4021"/>
          </w:tcPr>
          <w:p>
            <w:pPr>
              <w:spacing w:before="20" w:after="20" w:line="240" w:lineRule="auto"/>
            </w:pPr>
            <w:r>
              <w:rPr>
                <w:rFonts w:ascii="Courier New" w:hAnsi="Courier New"/>
                <w:sz w:val="18"/>
              </w:rPr>
              <w:t>scripts/security_route_inventory.py</w:t>
            </w:r>
            <w:r>
              <w:rPr>
                <w:sz w:val="18"/>
              </w:rPr>
              <w:t>; Alembic head</w:t>
            </w:r>
          </w:p>
        </w:tc>
        <w:tc>
          <w:tcPr>
            <w:tcW w:type="dxa" w:w="3635"/>
          </w:tcPr>
          <w:p>
            <w:pPr>
              <w:spacing w:before="20" w:after="20" w:line="240" w:lineRule="auto"/>
            </w:pPr>
            <w:r>
              <w:rPr>
                <w:sz w:val="18"/>
              </w:rPr>
              <w:t>100 routes; migration 0009</w:t>
            </w:r>
          </w:p>
        </w:tc>
      </w:tr>
    </w:tbl>
    <w:p>
      <w:pPr>
        <w:spacing w:after="40"/>
      </w:pPr>
    </w:p>
    <w:p>
      <w:pPr>
        <w:spacing w:before="0" w:after="60" w:line="259" w:lineRule="auto"/>
      </w:pPr>
      <w:r>
        <w:rPr>
          <w:b/>
          <w:sz w:val="20"/>
        </w:rPr>
        <w:t>Table 14. Representative test cases.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839"/>
            <w:shd w:val="clear" w:color="auto" w:fill="E8EEFB"/>
          </w:tcPr>
          <w:p>
            <w:pPr>
              <w:keepNext/>
              <w:spacing w:before="20" w:after="20" w:line="240" w:lineRule="auto"/>
            </w:pPr>
            <w:r>
              <w:rPr>
                <w:b/>
                <w:sz w:val="18"/>
              </w:rPr>
              <w:t>Case</w:t>
            </w:r>
          </w:p>
        </w:tc>
        <w:tc>
          <w:tcPr>
            <w:tcW w:type="dxa" w:w="2621"/>
            <w:shd w:val="clear" w:color="auto" w:fill="E8EEFB"/>
          </w:tcPr>
          <w:p>
            <w:pPr>
              <w:keepNext/>
              <w:spacing w:before="20" w:after="20" w:line="240" w:lineRule="auto"/>
            </w:pPr>
            <w:r>
              <w:rPr>
                <w:b/>
                <w:sz w:val="18"/>
              </w:rPr>
              <w:t>Input</w:t>
            </w:r>
          </w:p>
        </w:tc>
        <w:tc>
          <w:tcPr>
            <w:tcW w:type="dxa" w:w="2452"/>
            <w:shd w:val="clear" w:color="auto" w:fill="E8EEFB"/>
          </w:tcPr>
          <w:p>
            <w:pPr>
              <w:keepNext/>
              <w:spacing w:before="20" w:after="20" w:line="240" w:lineRule="auto"/>
            </w:pPr>
            <w:r>
              <w:rPr>
                <w:b/>
                <w:sz w:val="18"/>
              </w:rPr>
              <w:t>Expected result</w:t>
            </w:r>
          </w:p>
        </w:tc>
        <w:tc>
          <w:tcPr>
            <w:tcW w:type="dxa" w:w="2448"/>
            <w:shd w:val="clear" w:color="auto" w:fill="E8EEFB"/>
          </w:tcPr>
          <w:p>
            <w:pPr>
              <w:keepNext/>
              <w:spacing w:before="20" w:after="20" w:line="240" w:lineRule="auto"/>
            </w:pPr>
            <w:r>
              <w:rPr>
                <w:b/>
                <w:sz w:val="18"/>
              </w:rPr>
              <w:t>Checked by</w:t>
            </w:r>
          </w:p>
        </w:tc>
      </w:tr>
      <w:tr>
        <w:trPr>
          <w:cantSplit w:val="true"/>
        </w:trPr>
        <w:tc>
          <w:tcPr>
            <w:tcW w:type="dxa" w:w="1839"/>
          </w:tcPr>
          <w:p>
            <w:pPr>
              <w:spacing w:before="20" w:after="20" w:line="240" w:lineRule="auto"/>
            </w:pPr>
            <w:r>
              <w:rPr>
                <w:sz w:val="18"/>
              </w:rPr>
              <w:t>The golden request</w:t>
            </w:r>
          </w:p>
        </w:tc>
        <w:tc>
          <w:tcPr>
            <w:tcW w:type="dxa" w:w="2621"/>
          </w:tcPr>
          <w:p>
            <w:pPr>
              <w:spacing w:before="20" w:after="20" w:line="240" w:lineRule="auto"/>
            </w:pPr>
            <w:r>
              <w:rPr>
                <w:sz w:val="18"/>
              </w:rPr>
              <w:t>EX01: 60-day terms, 1.2% early payment, contingent rebate</w:t>
            </w:r>
          </w:p>
        </w:tc>
        <w:tc>
          <w:tcPr>
            <w:tcW w:type="dxa" w:w="2452"/>
          </w:tcPr>
          <w:p>
            <w:pPr>
              <w:spacing w:before="20" w:after="20" w:line="240" w:lineRule="auto"/>
            </w:pPr>
            <w:r>
              <w:rPr>
                <w:sz w:val="18"/>
              </w:rPr>
              <w:t>Rejected with four reasons; Options A and B; the buyer accepts A and pays ¥257,790.00 on day 2</w:t>
            </w:r>
          </w:p>
        </w:tc>
        <w:tc>
          <w:tcPr>
            <w:tcW w:type="dxa" w:w="2448"/>
          </w:tcPr>
          <w:p>
            <w:pPr>
              <w:spacing w:before="20" w:after="20" w:line="240" w:lineRule="auto"/>
            </w:pPr>
            <w:r>
              <w:rPr>
                <w:sz w:val="18"/>
              </w:rPr>
              <w:t>Scripted task S01, evidence chain verified</w:t>
            </w:r>
          </w:p>
        </w:tc>
      </w:tr>
      <w:tr>
        <w:trPr>
          <w:cantSplit w:val="true"/>
        </w:trPr>
        <w:tc>
          <w:tcPr>
            <w:tcW w:type="dxa" w:w="1839"/>
          </w:tcPr>
          <w:p>
            <w:pPr>
              <w:spacing w:before="20" w:after="20" w:line="240" w:lineRule="auto"/>
            </w:pPr>
            <w:r>
              <w:rPr>
                <w:sz w:val="18"/>
              </w:rPr>
              <w:t>Honest no deal</w:t>
            </w:r>
          </w:p>
        </w:tc>
        <w:tc>
          <w:tcPr>
            <w:tcW w:type="dxa" w:w="2621"/>
          </w:tcPr>
          <w:p>
            <w:pPr>
              <w:spacing w:before="20" w:after="20" w:line="240" w:lineRule="auto"/>
            </w:pPr>
            <w:r>
              <w:rPr>
                <w:sz w:val="18"/>
              </w:rPr>
              <w:t>A hard-line buyer refuses every counter</w:t>
            </w:r>
          </w:p>
        </w:tc>
        <w:tc>
          <w:tcPr>
            <w:tcW w:type="dxa" w:w="2452"/>
          </w:tcPr>
          <w:p>
            <w:pPr>
              <w:spacing w:before="20" w:after="20" w:line="240" w:lineRule="auto"/>
            </w:pPr>
            <w:r>
              <w:rPr>
                <w:sz w:val="18"/>
              </w:rPr>
              <w:t>NO DEAL within 3 rounds; the gap funded for ¥3,113.93; the reserve holds</w:t>
            </w:r>
          </w:p>
        </w:tc>
        <w:tc>
          <w:tcPr>
            <w:tcW w:type="dxa" w:w="2448"/>
          </w:tcPr>
          <w:p>
            <w:pPr>
              <w:spacing w:before="20" w:after="20" w:line="240" w:lineRule="auto"/>
            </w:pPr>
            <w:r>
              <w:rPr>
                <w:sz w:val="18"/>
              </w:rPr>
              <w:t>Evaluation gate E5 (7/7)</w:t>
            </w:r>
          </w:p>
        </w:tc>
      </w:tr>
      <w:tr>
        <w:trPr>
          <w:cantSplit w:val="true"/>
        </w:trPr>
        <w:tc>
          <w:tcPr>
            <w:tcW w:type="dxa" w:w="1839"/>
          </w:tcPr>
          <w:p>
            <w:pPr>
              <w:spacing w:before="20" w:after="20" w:line="240" w:lineRule="auto"/>
            </w:pPr>
            <w:r>
              <w:rPr>
                <w:sz w:val="18"/>
              </w:rPr>
              <w:t>Early-payment boundary</w:t>
            </w:r>
          </w:p>
        </w:tc>
        <w:tc>
          <w:tcPr>
            <w:tcW w:type="dxa" w:w="2621"/>
          </w:tcPr>
          <w:p>
            <w:pPr>
              <w:spacing w:before="20" w:after="20" w:line="240" w:lineRule="auto"/>
            </w:pPr>
            <w:r>
              <w:rPr>
                <w:sz w:val="18"/>
              </w:rPr>
              <w:t>Whole-invoice early payment at 0.75%, then 0.74%</w:t>
            </w:r>
          </w:p>
        </w:tc>
        <w:tc>
          <w:tcPr>
            <w:tcW w:type="dxa" w:w="2452"/>
          </w:tcPr>
          <w:p>
            <w:pPr>
              <w:spacing w:before="20" w:after="20" w:line="240" w:lineRule="auto"/>
            </w:pPr>
            <w:r>
              <w:rPr>
                <w:sz w:val="18"/>
              </w:rPr>
              <w:t>0.75% (¥3,150.00) countered as dearer than the plan; 0.74% (¥3,108.00) accepted at Tier 1</w:t>
            </w:r>
          </w:p>
        </w:tc>
        <w:tc>
          <w:tcPr>
            <w:tcW w:type="dxa" w:w="2448"/>
          </w:tcPr>
          <w:p>
            <w:pPr>
              <w:spacing w:before="20" w:after="20" w:line="240" w:lineRule="auto"/>
            </w:pPr>
            <w:r>
              <w:rPr>
                <w:sz w:val="18"/>
              </w:rPr>
              <w:t>Verifier hand-calculation tests</w:t>
            </w:r>
          </w:p>
        </w:tc>
      </w:tr>
      <w:tr>
        <w:trPr>
          <w:cantSplit w:val="true"/>
        </w:trPr>
        <w:tc>
          <w:tcPr>
            <w:tcW w:type="dxa" w:w="1839"/>
          </w:tcPr>
          <w:p>
            <w:pPr>
              <w:spacing w:before="20" w:after="20" w:line="240" w:lineRule="auto"/>
            </w:pPr>
            <w:r>
              <w:rPr>
                <w:sz w:val="18"/>
              </w:rPr>
              <w:t>Cure above the ceiling</w:t>
            </w:r>
          </w:p>
        </w:tc>
        <w:tc>
          <w:tcPr>
            <w:tcW w:type="dxa" w:w="2621"/>
          </w:tcPr>
          <w:p>
            <w:pPr>
              <w:spacing w:before="20" w:after="20" w:line="240" w:lineRule="auto"/>
            </w:pPr>
            <w:r>
              <w:rPr>
                <w:sz w:val="18"/>
              </w:rPr>
              <w:t>Day 34: "go ahead" on a ¥200,000 advance at 32.5% a year</w:t>
            </w:r>
          </w:p>
        </w:tc>
        <w:tc>
          <w:tcPr>
            <w:tcW w:type="dxa" w:w="2452"/>
          </w:tcPr>
          <w:p>
            <w:pPr>
              <w:spacing w:before="20" w:after="20" w:line="240" w:lineRule="auto"/>
            </w:pPr>
            <w:r>
              <w:rPr>
                <w:sz w:val="18"/>
              </w:rPr>
              <w:t>Queued for approval, nothing runs; it runs only on the owner's approval, and the cash lands on day 37</w:t>
            </w:r>
          </w:p>
        </w:tc>
        <w:tc>
          <w:tcPr>
            <w:tcW w:type="dxa" w:w="2448"/>
          </w:tcPr>
          <w:p>
            <w:pPr>
              <w:spacing w:before="20" w:after="20" w:line="240" w:lineRule="auto"/>
            </w:pPr>
            <w:r>
              <w:rPr>
                <w:rFonts w:ascii="Courier New" w:hAnsi="Courier New"/>
                <w:sz w:val="18"/>
              </w:rPr>
              <w:t>scripts/demo_run.py</w:t>
            </w:r>
          </w:p>
        </w:tc>
      </w:tr>
      <w:tr>
        <w:trPr>
          <w:cantSplit w:val="true"/>
        </w:trPr>
        <w:tc>
          <w:tcPr>
            <w:tcW w:type="dxa" w:w="1839"/>
          </w:tcPr>
          <w:p>
            <w:pPr>
              <w:spacing w:before="20" w:after="20" w:line="240" w:lineRule="auto"/>
            </w:pPr>
            <w:r>
              <w:rPr>
                <w:sz w:val="18"/>
              </w:rPr>
              <w:t>Consent</w:t>
            </w:r>
          </w:p>
        </w:tc>
        <w:tc>
          <w:tcPr>
            <w:tcW w:type="dxa" w:w="2621"/>
          </w:tcPr>
          <w:p>
            <w:pPr>
              <w:spacing w:before="20" w:after="20" w:line="240" w:lineRule="auto"/>
            </w:pPr>
            <w:r>
              <w:rPr>
                <w:sz w:val="18"/>
              </w:rPr>
              <w:t>Negated, conditional, future-dated, foreign-currency or quoted instructions, in both languages</w:t>
            </w:r>
          </w:p>
        </w:tc>
        <w:tc>
          <w:tcPr>
            <w:tcW w:type="dxa" w:w="2452"/>
          </w:tcPr>
          <w:p>
            <w:pPr>
              <w:spacing w:before="20" w:after="20" w:line="240" w:lineRule="auto"/>
            </w:pPr>
            <w:r>
              <w:rPr>
                <w:sz w:val="18"/>
              </w:rPr>
              <w:t>Nothing executes</w:t>
            </w:r>
          </w:p>
        </w:tc>
        <w:tc>
          <w:tcPr>
            <w:tcW w:type="dxa" w:w="2448"/>
          </w:tcPr>
          <w:p>
            <w:pPr>
              <w:spacing w:before="20" w:after="20" w:line="240" w:lineRule="auto"/>
            </w:pPr>
            <w:r>
              <w:rPr>
                <w:sz w:val="18"/>
              </w:rPr>
              <w:t>41 consent attacks</w:t>
            </w:r>
          </w:p>
        </w:tc>
      </w:tr>
      <w:tr>
        <w:trPr>
          <w:cantSplit w:val="true"/>
        </w:trPr>
        <w:tc>
          <w:tcPr>
            <w:tcW w:type="dxa" w:w="1839"/>
          </w:tcPr>
          <w:p>
            <w:pPr>
              <w:spacing w:before="20" w:after="20" w:line="240" w:lineRule="auto"/>
            </w:pPr>
            <w:r>
              <w:rPr>
                <w:sz w:val="18"/>
              </w:rPr>
              <w:t>Injection in a contract</w:t>
            </w:r>
          </w:p>
        </w:tc>
        <w:tc>
          <w:tcPr>
            <w:tcW w:type="dxa" w:w="2621"/>
          </w:tcPr>
          <w:p>
            <w:pPr>
              <w:spacing w:before="20" w:after="20" w:line="240" w:lineRule="auto"/>
            </w:pPr>
            <w:r>
              <w:rPr>
                <w:sz w:val="18"/>
              </w:rPr>
              <w:t>A clause addressed to the agent</w:t>
            </w:r>
          </w:p>
        </w:tc>
        <w:tc>
          <w:tcPr>
            <w:tcW w:type="dxa" w:w="2452"/>
          </w:tcPr>
          <w:p>
            <w:pPr>
              <w:spacing w:before="20" w:after="20" w:line="240" w:lineRule="auto"/>
            </w:pPr>
            <w:r>
              <w:rPr>
                <w:sz w:val="18"/>
              </w:rPr>
              <w:t>Never read as a term; cannot be confirmed; a security event is logged</w:t>
            </w:r>
          </w:p>
        </w:tc>
        <w:tc>
          <w:tcPr>
            <w:tcW w:type="dxa" w:w="2448"/>
          </w:tcPr>
          <w:p>
            <w:pPr>
              <w:spacing w:before="20" w:after="20" w:line="240" w:lineRule="auto"/>
            </w:pPr>
            <w:r>
              <w:rPr>
                <w:sz w:val="18"/>
              </w:rPr>
              <w:t>Contract-ingestion attacks</w:t>
            </w:r>
          </w:p>
        </w:tc>
      </w:tr>
      <w:tr>
        <w:trPr>
          <w:cantSplit w:val="true"/>
        </w:trPr>
        <w:tc>
          <w:tcPr>
            <w:tcW w:type="dxa" w:w="1839"/>
          </w:tcPr>
          <w:p>
            <w:pPr>
              <w:spacing w:before="20" w:after="20" w:line="240" w:lineRule="auto"/>
            </w:pPr>
            <w:r>
              <w:rPr>
                <w:sz w:val="18"/>
              </w:rPr>
              <w:t>Wrong company</w:t>
            </w:r>
          </w:p>
        </w:tc>
        <w:tc>
          <w:tcPr>
            <w:tcW w:type="dxa" w:w="2621"/>
          </w:tcPr>
          <w:p>
            <w:pPr>
              <w:spacing w:before="20" w:after="20" w:line="240" w:lineRule="auto"/>
            </w:pPr>
            <w:r>
              <w:rPr>
                <w:sz w:val="18"/>
              </w:rPr>
              <w:t>A contract naming two other companies, uploaded "with Foshan"</w:t>
            </w:r>
          </w:p>
        </w:tc>
        <w:tc>
          <w:tcPr>
            <w:tcW w:type="dxa" w:w="2452"/>
          </w:tcPr>
          <w:p>
            <w:pPr>
              <w:spacing w:before="20" w:after="20" w:line="240" w:lineRule="auto"/>
            </w:pPr>
            <w:r>
              <w:rPr>
                <w:sz w:val="18"/>
              </w:rPr>
              <w:t>Cannot be confirmed; the companies it names are shown</w:t>
            </w:r>
          </w:p>
        </w:tc>
        <w:tc>
          <w:tcPr>
            <w:tcW w:type="dxa" w:w="2448"/>
          </w:tcPr>
          <w:p>
            <w:pPr>
              <w:spacing w:before="20" w:after="20" w:line="240" w:lineRule="auto"/>
            </w:pPr>
            <w:r>
              <w:rPr>
                <w:sz w:val="18"/>
              </w:rPr>
              <w:t>Contract party tests</w:t>
            </w:r>
          </w:p>
        </w:tc>
      </w:tr>
      <w:tr>
        <w:trPr>
          <w:cantSplit w:val="true"/>
        </w:trPr>
        <w:tc>
          <w:tcPr>
            <w:tcW w:type="dxa" w:w="1839"/>
          </w:tcPr>
          <w:p>
            <w:pPr>
              <w:spacing w:before="20" w:after="20" w:line="240" w:lineRule="auto"/>
            </w:pPr>
            <w:r>
              <w:rPr>
                <w:sz w:val="18"/>
              </w:rPr>
              <w:t>Tier 3 by the owner</w:t>
            </w:r>
          </w:p>
        </w:tc>
        <w:tc>
          <w:tcPr>
            <w:tcW w:type="dxa" w:w="2621"/>
          </w:tcPr>
          <w:p>
            <w:pPr>
              <w:spacing w:before="20" w:after="20" w:line="240" w:lineRule="auto"/>
            </w:pPr>
            <w:r>
              <w:rPr>
                <w:sz w:val="18"/>
              </w:rPr>
              <w:t>The owner asks to sign a personal guarantee</w:t>
            </w:r>
          </w:p>
        </w:tc>
        <w:tc>
          <w:tcPr>
            <w:tcW w:type="dxa" w:w="2452"/>
          </w:tcPr>
          <w:p>
            <w:pPr>
              <w:spacing w:before="20" w:after="20" w:line="240" w:lineRule="auto"/>
            </w:pPr>
            <w:r>
              <w:rPr>
                <w:sz w:val="18"/>
              </w:rPr>
              <w:t>Refused for every caller</w:t>
            </w:r>
          </w:p>
        </w:tc>
        <w:tc>
          <w:tcPr>
            <w:tcW w:type="dxa" w:w="2448"/>
          </w:tcPr>
          <w:p>
            <w:pPr>
              <w:spacing w:before="20" w:after="20" w:line="240" w:lineRule="auto"/>
            </w:pPr>
            <w:r>
              <w:rPr>
                <w:sz w:val="18"/>
              </w:rPr>
              <w:t>Permission tests</w:t>
            </w:r>
          </w:p>
        </w:tc>
      </w:tr>
      <w:tr>
        <w:trPr>
          <w:cantSplit w:val="true"/>
        </w:trPr>
        <w:tc>
          <w:tcPr>
            <w:tcW w:type="dxa" w:w="1839"/>
          </w:tcPr>
          <w:p>
            <w:pPr>
              <w:spacing w:before="20" w:after="20" w:line="240" w:lineRule="auto"/>
            </w:pPr>
            <w:r>
              <w:rPr>
                <w:sz w:val="18"/>
              </w:rPr>
              <w:t>Tampered evidence</w:t>
            </w:r>
          </w:p>
        </w:tc>
        <w:tc>
          <w:tcPr>
            <w:tcW w:type="dxa" w:w="2621"/>
          </w:tcPr>
          <w:p>
            <w:pPr>
              <w:spacing w:before="20" w:after="20" w:line="240" w:lineRule="auto"/>
            </w:pPr>
            <w:r>
              <w:rPr>
                <w:sz w:val="18"/>
              </w:rPr>
              <w:t>One log entry edited</w:t>
            </w:r>
          </w:p>
        </w:tc>
        <w:tc>
          <w:tcPr>
            <w:tcW w:type="dxa" w:w="2452"/>
          </w:tcPr>
          <w:p>
            <w:pPr>
              <w:spacing w:before="20" w:after="20" w:line="240" w:lineRule="auto"/>
            </w:pPr>
            <w:r>
              <w:rPr>
                <w:sz w:val="18"/>
              </w:rPr>
              <w:t>The verifier rejects the copy; untouched chains verify</w:t>
            </w:r>
          </w:p>
        </w:tc>
        <w:tc>
          <w:tcPr>
            <w:tcW w:type="dxa" w:w="2448"/>
          </w:tcPr>
          <w:p>
            <w:pPr>
              <w:spacing w:before="20" w:after="20" w:line="240" w:lineRule="auto"/>
            </w:pPr>
            <w:r>
              <w:rPr>
                <w:sz w:val="18"/>
              </w:rPr>
              <w:t>Judge report</w:t>
            </w:r>
          </w:p>
        </w:tc>
      </w:tr>
      <w:tr>
        <w:trPr>
          <w:cantSplit w:val="true"/>
        </w:trPr>
        <w:tc>
          <w:tcPr>
            <w:tcW w:type="dxa" w:w="1839"/>
          </w:tcPr>
          <w:p>
            <w:pPr>
              <w:spacing w:before="20" w:after="20" w:line="240" w:lineRule="auto"/>
            </w:pPr>
            <w:r>
              <w:rPr>
                <w:sz w:val="18"/>
              </w:rPr>
              <w:t>Two writers at once</w:t>
            </w:r>
          </w:p>
        </w:tc>
        <w:tc>
          <w:tcPr>
            <w:tcW w:type="dxa" w:w="2621"/>
          </w:tcPr>
          <w:p>
            <w:pPr>
              <w:spacing w:before="20" w:after="20" w:line="240" w:lineRule="auto"/>
            </w:pPr>
            <w:r>
              <w:rPr>
                <w:sz w:val="18"/>
              </w:rPr>
              <w:t>Two processes act on the same books</w:t>
            </w:r>
          </w:p>
        </w:tc>
        <w:tc>
          <w:tcPr>
            <w:tcW w:type="dxa" w:w="2452"/>
          </w:tcPr>
          <w:p>
            <w:pPr>
              <w:spacing w:before="20" w:after="20" w:line="240" w:lineRule="auto"/>
            </w:pPr>
            <w:r>
              <w:rPr>
                <w:sz w:val="18"/>
              </w:rPr>
              <w:t>Eight invariants hold; a serial replay gives identical books</w:t>
            </w:r>
          </w:p>
        </w:tc>
        <w:tc>
          <w:tcPr>
            <w:tcW w:type="dxa" w:w="2448"/>
          </w:tcPr>
          <w:p>
            <w:pPr>
              <w:spacing w:before="20" w:after="20" w:line="240" w:lineRule="auto"/>
            </w:pPr>
            <w:r>
              <w:rPr>
                <w:sz w:val="18"/>
              </w:rPr>
              <w:t>Concurrency tests, SQLite and PostgreSQL 17</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7).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Confirming a contract files its reading but does not change the books.</w:t>
      </w:r>
    </w:p>
    <w:p>
      <w:pPr>
        <w:pStyle w:val="ListBullet2"/>
        <w:tabs>
          <w:tab w:pos="792" w:val="left"/>
        </w:tabs>
        <w:spacing w:before="0" w:after="60" w:line="259" w:lineRule="auto"/>
        <w:ind w:left="792" w:hanging="288"/>
      </w:pPr>
      <w:r>
        <w:rPr>
          <w:b/>
          <w:sz w:val="20"/>
        </w:rPr>
        <w:t>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and the language-boundary set has not yet been run against a live model.</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The approval card does not show the approval's id, which the exact approval sentence in chat needs.</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ListBullet2"/>
        <w:tabs>
          <w:tab w:pos="792" w:val="left"/>
        </w:tabs>
        <w:spacing w:before="0"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pPr>
        <w:pStyle w:val="ListBullet2"/>
        <w:tabs>
          <w:tab w:pos="792" w:val="left"/>
        </w:tabs>
        <w:spacing w:before="0" w:after="60" w:line="259" w:lineRule="auto"/>
        <w:ind w:left="792" w:hanging="288"/>
      </w:pPr>
      <w:r>
        <w:rPr>
          <w:b/>
          <w:sz w:val="20"/>
        </w:rPr>
        <w:t>Open security risks:</w:t>
      </w:r>
      <w:r>
        <w:rPr>
          <w:sz w:val="20"/>
        </w:rPr>
        <w:t xml:space="preserve"> the Tier-1 reach of a compromised agent (R-3), the trusted in-process actor (R-5), and two medium chat items: threshold probing by a buyer with its key (S5) and the agent key reading status and alerts through chat (S9).</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7):</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01"/>
            <w:shd w:val="clear" w:color="auto" w:fill="E8EEFB"/>
          </w:tcPr>
          <w:p>
            <w:pPr>
              <w:keepNext/>
              <w:spacing w:before="20" w:after="20" w:line="240" w:lineRule="auto"/>
            </w:pPr>
            <w:r>
              <w:rPr>
                <w:b/>
                <w:sz w:val="18"/>
              </w:rPr>
              <w:t>Component</w:t>
            </w:r>
          </w:p>
        </w:tc>
        <w:tc>
          <w:tcPr>
            <w:tcW w:type="dxa" w:w="6559"/>
            <w:shd w:val="clear" w:color="auto" w:fill="E8EEFB"/>
          </w:tcPr>
          <w:p>
            <w:pPr>
              <w:keepNext/>
              <w:spacing w:before="20" w:after="20" w:line="240" w:lineRule="auto"/>
            </w:pPr>
            <w:r>
              <w:rPr>
                <w:b/>
                <w:sz w:val="18"/>
              </w:rPr>
              <w:t>Responsibility</w:t>
            </w:r>
          </w:p>
        </w:tc>
      </w:tr>
      <w:tr>
        <w:trPr>
          <w:cantSplit w:val="true"/>
        </w:trPr>
        <w:tc>
          <w:tcPr>
            <w:tcW w:type="dxa" w:w="2801"/>
          </w:tcPr>
          <w:p>
            <w:pPr>
              <w:spacing w:before="20" w:after="20" w:line="240" w:lineRule="auto"/>
            </w:pPr>
            <w:r>
              <w:rPr>
                <w:rFonts w:ascii="Courier New" w:hAnsi="Courier New"/>
                <w:sz w:val="18"/>
              </w:rPr>
              <w:t>compiler/</w:t>
            </w:r>
          </w:p>
        </w:tc>
        <w:tc>
          <w:tcPr>
            <w:tcW w:type="dxa" w:w="6559"/>
          </w:tcPr>
          <w:p>
            <w:pPr>
              <w:spacing w:before="20" w:after="20" w:line="240" w:lineRule="auto"/>
            </w:pPr>
            <w:r>
              <w:rPr>
                <w:sz w:val="18"/>
              </w:rPr>
              <w:t>Offers, term sheets and contracts into typed obligations or terms, each grounded in an exact quote; redaction; the coverage proof</w:t>
            </w:r>
          </w:p>
        </w:tc>
      </w:tr>
      <w:tr>
        <w:trPr>
          <w:cantSplit w:val="true"/>
        </w:trPr>
        <w:tc>
          <w:tcPr>
            <w:tcW w:type="dxa" w:w="2801"/>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559"/>
          </w:tcPr>
          <w:p>
            <w:pPr>
              <w:spacing w:before="20" w:after="20" w:line="240" w:lineRule="auto"/>
            </w:pPr>
            <w:r>
              <w:rPr>
                <w:sz w:val="18"/>
              </w:rPr>
              <w:t>The daily cash, debt and future-concession trajectory in integer fen; DSCR, leverage and clean-down</w:t>
            </w:r>
          </w:p>
        </w:tc>
      </w:tr>
      <w:tr>
        <w:trPr>
          <w:cantSplit w:val="true"/>
        </w:trPr>
        <w:tc>
          <w:tcPr>
            <w:tcW w:type="dxa" w:w="2801"/>
          </w:tcPr>
          <w:p>
            <w:pPr>
              <w:spacing w:before="20" w:after="20" w:line="240" w:lineRule="auto"/>
            </w:pPr>
            <w:r>
              <w:rPr>
                <w:rFonts w:ascii="Courier New" w:hAnsi="Courier New"/>
                <w:sz w:val="18"/>
              </w:rPr>
              <w:t>funding/</w:t>
            </w:r>
          </w:p>
        </w:tc>
        <w:tc>
          <w:tcPr>
            <w:tcW w:type="dxa" w:w="6559"/>
          </w:tcPr>
          <w:p>
            <w:pPr>
              <w:spacing w:before="20" w:after="20" w:line="240" w:lineRule="auto"/>
            </w:pPr>
            <w:r>
              <w:rPr>
                <w:sz w:val="18"/>
              </w:rPr>
              <w:t>The router: the cheapest admissible mix, marginal cost of funds, break-even, admission</w:t>
            </w:r>
          </w:p>
        </w:tc>
      </w:tr>
      <w:tr>
        <w:trPr>
          <w:cantSplit w:val="true"/>
        </w:trPr>
        <w:tc>
          <w:tcPr>
            <w:tcW w:type="dxa" w:w="2801"/>
          </w:tcPr>
          <w:p>
            <w:pPr>
              <w:spacing w:before="20" w:after="20" w:line="240" w:lineRule="auto"/>
            </w:pPr>
            <w:r>
              <w:rPr>
                <w:rFonts w:ascii="Courier New" w:hAnsi="Courier New"/>
                <w:sz w:val="18"/>
              </w:rPr>
              <w:t>mandate/</w:t>
            </w:r>
          </w:p>
        </w:tc>
        <w:tc>
          <w:tcPr>
            <w:tcW w:type="dxa" w:w="6559"/>
          </w:tcPr>
          <w:p>
            <w:pPr>
              <w:spacing w:before="20" w:after="20" w:line="240" w:lineRule="auto"/>
            </w:pPr>
            <w:r>
              <w:rPr>
                <w:sz w:val="18"/>
              </w:rPr>
              <w:t>Ed25519 signing and verification, validity, tiers and mandate rules</w:t>
            </w:r>
          </w:p>
        </w:tc>
      </w:tr>
      <w:tr>
        <w:trPr>
          <w:cantSplit w:val="true"/>
        </w:trPr>
        <w:tc>
          <w:tcPr>
            <w:tcW w:type="dxa" w:w="2801"/>
          </w:tcPr>
          <w:p>
            <w:pPr>
              <w:spacing w:before="20" w:after="20" w:line="240" w:lineRule="auto"/>
            </w:pPr>
            <w:r>
              <w:rPr>
                <w:rFonts w:ascii="Courier New" w:hAnsi="Courier New"/>
                <w:sz w:val="18"/>
              </w:rPr>
              <w:t>verifier/</w:t>
            </w:r>
          </w:p>
        </w:tc>
        <w:tc>
          <w:tcPr>
            <w:tcW w:type="dxa" w:w="6559"/>
          </w:tcPr>
          <w:p>
            <w:pPr>
              <w:spacing w:before="20" w:after="20" w:line="240" w:lineRule="auto"/>
            </w:pPr>
            <w:r>
              <w:rPr>
                <w:sz w:val="18"/>
              </w:rPr>
              <w:t>The verdict, reason codes, formulas and priced counters; reads no free text</w:t>
            </w:r>
          </w:p>
        </w:tc>
      </w:tr>
      <w:tr>
        <w:trPr>
          <w:cantSplit w:val="true"/>
        </w:trPr>
        <w:tc>
          <w:tcPr>
            <w:tcW w:type="dxa" w:w="2801"/>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559"/>
          </w:tcPr>
          <w:p>
            <w:pPr>
              <w:spacing w:before="20" w:after="20" w:line="240" w:lineRule="auto"/>
            </w:pPr>
            <w:r>
              <w:rPr>
                <w:sz w:val="18"/>
              </w:rPr>
              <w:t>The executor (the only writer) and the commitment lifecycle with nonce, expiry and terms hash</w:t>
            </w:r>
          </w:p>
        </w:tc>
      </w:tr>
      <w:tr>
        <w:trPr>
          <w:cantSplit w:val="true"/>
        </w:trPr>
        <w:tc>
          <w:tcPr>
            <w:tcW w:type="dxa" w:w="2801"/>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559"/>
          </w:tcPr>
          <w:p>
            <w:pPr>
              <w:spacing w:before="20" w:after="20" w:line="240" w:lineRule="auto"/>
            </w:pPr>
            <w:r>
              <w:rPr>
                <w:sz w:val="18"/>
              </w:rPr>
              <w:t>Today's books plus agreed changes; the simulated clock</w:t>
            </w:r>
          </w:p>
        </w:tc>
      </w:tr>
      <w:tr>
        <w:trPr>
          <w:cantSplit w:val="true"/>
        </w:trPr>
        <w:tc>
          <w:tcPr>
            <w:tcW w:type="dxa" w:w="2801"/>
          </w:tcPr>
          <w:p>
            <w:pPr>
              <w:spacing w:before="20" w:after="20" w:line="240" w:lineRule="auto"/>
            </w:pPr>
            <w:r>
              <w:rPr>
                <w:rFonts w:ascii="Courier New" w:hAnsi="Courier New"/>
                <w:sz w:val="18"/>
              </w:rPr>
              <w:t>persistence/</w:t>
            </w:r>
          </w:p>
        </w:tc>
        <w:tc>
          <w:tcPr>
            <w:tcW w:type="dxa" w:w="6559"/>
          </w:tcPr>
          <w:p>
            <w:pPr>
              <w:spacing w:before="20" w:after="20" w:line="240" w:lineRule="auto"/>
            </w:pPr>
            <w:r>
              <w:rPr>
                <w:sz w:val="18"/>
              </w:rPr>
              <w:t>Tables, migrations 0001–0009, the hash-chained log and the database guards</w:t>
            </w:r>
          </w:p>
        </w:tc>
      </w:tr>
      <w:tr>
        <w:trPr>
          <w:cantSplit w:val="true"/>
        </w:trPr>
        <w:tc>
          <w:tcPr>
            <w:tcW w:type="dxa" w:w="2801"/>
          </w:tcPr>
          <w:p>
            <w:pPr>
              <w:spacing w:before="20" w:after="20" w:line="240" w:lineRule="auto"/>
            </w:pPr>
            <w:r>
              <w:rPr>
                <w:rFonts w:ascii="Courier New" w:hAnsi="Courier New"/>
                <w:sz w:val="18"/>
              </w:rPr>
              <w:t>nl/</w:t>
            </w:r>
          </w:p>
        </w:tc>
        <w:tc>
          <w:tcPr>
            <w:tcW w:type="dxa" w:w="6559"/>
          </w:tcPr>
          <w:p>
            <w:pPr>
              <w:spacing w:before="20" w:after="20" w:line="240" w:lineRule="auto"/>
            </w:pPr>
            <w:r>
              <w:rPr>
                <w:sz w:val="18"/>
              </w:rPr>
              <w:t>The chat harness: intents, slots, consent grammar, sessions, plans</w:t>
            </w:r>
          </w:p>
        </w:tc>
      </w:tr>
      <w:tr>
        <w:trPr>
          <w:cantSplit w:val="true"/>
        </w:trPr>
        <w:tc>
          <w:tcPr>
            <w:tcW w:type="dxa" w:w="2801"/>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p>
        </w:tc>
        <w:tc>
          <w:tcPr>
            <w:tcW w:type="dxa" w:w="6559"/>
          </w:tcPr>
          <w:p>
            <w:pPr>
              <w:spacing w:before="20" w:after="20" w:line="240" w:lineRule="auto"/>
            </w:pPr>
            <w:r>
              <w:rPr>
                <w:sz w:val="18"/>
              </w:rPr>
              <w:t>Contract records and reading, the deal summary, the decision record</w:t>
            </w:r>
          </w:p>
        </w:tc>
      </w:tr>
      <w:tr>
        <w:trPr>
          <w:cantSplit w:val="true"/>
        </w:trPr>
        <w:tc>
          <w:tcPr>
            <w:tcW w:type="dxa" w:w="2801"/>
          </w:tcPr>
          <w:p>
            <w:pPr>
              <w:spacing w:before="20" w:after="20" w:line="240" w:lineRule="auto"/>
            </w:pPr>
            <w:r>
              <w:rPr>
                <w:rFonts w:ascii="Courier New" w:hAnsi="Courier New"/>
                <w:sz w:val="18"/>
              </w:rPr>
              <w:t>capex/</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type="dxa" w:w="6559"/>
          </w:tcPr>
          <w:p>
            <w:pPr>
              <w:spacing w:before="20" w:after="20" w:line="240" w:lineRule="auto"/>
            </w:pPr>
            <w:r>
              <w:rPr>
                <w:sz w:val="18"/>
              </w:rPr>
              <w:t>Capex screening, cash alerts and reconciliation, the sandbox, read-only strategy answers</w:t>
            </w:r>
          </w:p>
        </w:tc>
      </w:tr>
      <w:tr>
        <w:trPr>
          <w:cantSplit w:val="true"/>
        </w:trPr>
        <w:tc>
          <w:tcPr>
            <w:tcW w:type="dxa" w:w="2801"/>
          </w:tcPr>
          <w:p>
            <w:pPr>
              <w:spacing w:before="20" w:after="20" w:line="240" w:lineRule="auto"/>
            </w:pPr>
            <w:r>
              <w:rPr>
                <w:rFonts w:ascii="Courier New" w:hAnsi="Courier New"/>
                <w:sz w:val="18"/>
              </w:rPr>
              <w:t>api/</w:t>
            </w:r>
          </w:p>
        </w:tc>
        <w:tc>
          <w:tcPr>
            <w:tcW w:type="dxa" w:w="6559"/>
          </w:tcPr>
          <w:p>
            <w:pPr>
              <w:spacing w:before="20" w:after="20" w:line="240" w:lineRule="auto"/>
            </w:pPr>
            <w:r>
              <w:rPr>
                <w:sz w:val="18"/>
              </w:rPr>
              <w:t>Routes, authentication, rate limits and every sentence shown, in English and Chinese</w:t>
            </w:r>
          </w:p>
        </w:tc>
      </w:tr>
      <w:tr>
        <w:trPr>
          <w:cantSplit w:val="true"/>
        </w:trPr>
        <w:tc>
          <w:tcPr>
            <w:tcW w:type="dxa" w:w="2801"/>
          </w:tcPr>
          <w:p>
            <w:pPr>
              <w:spacing w:before="20" w:after="20" w:line="240" w:lineRule="auto"/>
            </w:pPr>
            <w:r>
              <w:rPr>
                <w:rFonts w:ascii="Courier New" w:hAnsi="Courier New"/>
                <w:sz w:val="18"/>
              </w:rPr>
              <w:t>apps/web</w:t>
            </w:r>
          </w:p>
        </w:tc>
        <w:tc>
          <w:tcPr>
            <w:tcW w:type="dxa" w:w="6559"/>
          </w:tcPr>
          <w:p>
            <w:pPr>
              <w:spacing w:before="20" w:after="20" w:line="240" w:lineRule="auto"/>
            </w:pPr>
            <w:r>
              <w:rPr>
                <w:sz w:val="18"/>
              </w:rPr>
              <w:t>The Next.js app: Business pages, the Demo story, Ask FLOW chat; displays server-written values only</w:t>
            </w:r>
          </w:p>
        </w:tc>
      </w:tr>
    </w:tbl>
    <w:p>
      <w:pPr>
        <w:spacing w:after="40"/>
      </w:pPr>
    </w:p>
    <w:p>
      <w:pPr>
        <w:pStyle w:val="Heading3"/>
      </w:pPr>
      <w:r>
        <w:rPr/>
        <w:t>Appendix C. The agent's tools (HTTP routes, owner token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spacing w:before="20" w:after="20" w:line="240" w:lineRule="auto"/>
            </w:pPr>
            <w:r>
              <w:rPr>
                <w:b/>
                <w:sz w:val="18"/>
              </w:rPr>
              <w:t>Area</w:t>
            </w:r>
          </w:p>
        </w:tc>
        <w:tc>
          <w:tcPr>
            <w:tcW w:type="dxa" w:w="6883"/>
            <w:shd w:val="clear" w:color="auto" w:fill="E8EEFB"/>
          </w:tcPr>
          <w:p>
            <w:pPr>
              <w:keepNext/>
              <w:spacing w:before="20" w:after="20" w:line="240" w:lineRule="auto"/>
            </w:pPr>
            <w:r>
              <w:rPr>
                <w:b/>
                <w:sz w:val="18"/>
              </w:rPr>
              <w:t>Routes</w:t>
            </w:r>
          </w:p>
        </w:tc>
      </w:tr>
      <w:tr>
        <w:trPr>
          <w:cantSplit w:val="true"/>
        </w:trPr>
        <w:tc>
          <w:tcPr>
            <w:tcW w:type="dxa" w:w="2477"/>
          </w:tcPr>
          <w:p>
            <w:pPr>
              <w:spacing w:before="20" w:after="20" w:line="240" w:lineRule="auto"/>
            </w:pPr>
            <w:r>
              <w:rPr>
                <w:sz w:val="18"/>
              </w:rPr>
              <w:t>Chat</w:t>
            </w:r>
          </w:p>
        </w:tc>
        <w:tc>
          <w:tcPr>
            <w:tcW w:type="dxa" w:w="6883"/>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p>
        </w:tc>
      </w:tr>
      <w:tr>
        <w:trPr>
          <w:cantSplit w:val="true"/>
        </w:trPr>
        <w:tc>
          <w:tcPr>
            <w:tcW w:type="dxa" w:w="2477"/>
          </w:tcPr>
          <w:p>
            <w:pPr>
              <w:spacing w:before="20" w:after="20" w:line="240" w:lineRule="auto"/>
            </w:pPr>
            <w:r>
              <w:rPr>
                <w:sz w:val="18"/>
              </w:rPr>
              <w:t>Offers and negotiation</w:t>
            </w:r>
          </w:p>
        </w:tc>
        <w:tc>
          <w:tcPr>
            <w:tcW w:type="dxa" w:w="6883"/>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the owner's accept and decline; a counter marked sent outside, accepted or declined</w:t>
            </w:r>
          </w:p>
        </w:tc>
      </w:tr>
      <w:tr>
        <w:trPr>
          <w:cantSplit w:val="true"/>
        </w:trPr>
        <w:tc>
          <w:tcPr>
            <w:tcW w:type="dxa" w:w="2477"/>
          </w:tcPr>
          <w:p>
            <w:pPr>
              <w:spacing w:before="20" w:after="20" w:line="240" w:lineRule="auto"/>
            </w:pPr>
            <w:r>
              <w:rPr>
                <w:sz w:val="18"/>
              </w:rPr>
              <w:t>Funding and capex</w:t>
            </w:r>
          </w:p>
        </w:tc>
        <w:tc>
          <w:tcPr>
            <w:tcW w:type="dxa" w:w="6883"/>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p>
        </w:tc>
      </w:tr>
      <w:tr>
        <w:trPr>
          <w:cantSplit w:val="true"/>
        </w:trPr>
        <w:tc>
          <w:tcPr>
            <w:tcW w:type="dxa" w:w="2477"/>
          </w:tcPr>
          <w:p>
            <w:pPr>
              <w:spacing w:before="20" w:after="20" w:line="240" w:lineRule="auto"/>
            </w:pPr>
            <w:r>
              <w:rPr>
                <w:sz w:val="18"/>
              </w:rPr>
              <w:t>Execution</w:t>
            </w:r>
          </w:p>
        </w:tc>
        <w:tc>
          <w:tcPr>
            <w:tcW w:type="dxa" w:w="6883"/>
          </w:tcPr>
          <w:p>
            <w:pPr>
              <w:spacing w:before="20" w:after="20" w:line="240" w:lineRule="auto"/>
            </w:pPr>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p>
        </w:tc>
      </w:tr>
      <w:tr>
        <w:trPr>
          <w:cantSplit w:val="true"/>
        </w:trPr>
        <w:tc>
          <w:tcPr>
            <w:tcW w:type="dxa" w:w="2477"/>
          </w:tcPr>
          <w:p>
            <w:pPr>
              <w:spacing w:before="20" w:after="20" w:line="240" w:lineRule="auto"/>
            </w:pPr>
            <w:r>
              <w:rPr>
                <w:sz w:val="18"/>
              </w:rPr>
              <w:t>Clock, alerts, reconciliation</w:t>
            </w:r>
          </w:p>
        </w:tc>
        <w:tc>
          <w:tcPr>
            <w:tcW w:type="dxa" w:w="6883"/>
          </w:tcPr>
          <w:p>
            <w:pPr>
              <w:spacing w:before="20" w:after="20" w:line="240" w:lineRule="auto"/>
            </w:pP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p>
        </w:tc>
      </w:tr>
      <w:tr>
        <w:trPr>
          <w:cantSplit w:val="true"/>
        </w:trPr>
        <w:tc>
          <w:tcPr>
            <w:tcW w:type="dxa" w:w="2477"/>
          </w:tcPr>
          <w:p>
            <w:pPr>
              <w:spacing w:before="20" w:after="20" w:line="240" w:lineRule="auto"/>
            </w:pPr>
            <w:r>
              <w:rPr>
                <w:sz w:val="18"/>
              </w:rPr>
              <w:t>Contracts and deals</w:t>
            </w:r>
          </w:p>
        </w:tc>
        <w:tc>
          <w:tcPr>
            <w:tcW w:type="dxa" w:w="6883"/>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GET /deals</w:t>
            </w:r>
            <w:r>
              <w:rPr>
                <w:sz w:val="18"/>
              </w:rPr>
              <w:t xml:space="preserve">, </w:t>
            </w:r>
            <w:r>
              <w:rPr>
                <w:rFonts w:ascii="Courier New" w:hAnsi="Courier New"/>
                <w:sz w:val="18"/>
              </w:rPr>
              <w:t>/deals/{buyer}</w:t>
            </w:r>
          </w:p>
        </w:tc>
      </w:tr>
      <w:tr>
        <w:trPr>
          <w:cantSplit w:val="true"/>
        </w:trPr>
        <w:tc>
          <w:tcPr>
            <w:tcW w:type="dxa" w:w="2477"/>
          </w:tcPr>
          <w:p>
            <w:pPr>
              <w:spacing w:before="20" w:after="20" w:line="240" w:lineRule="auto"/>
            </w:pPr>
            <w:r>
              <w:rPr>
                <w:sz w:val="18"/>
              </w:rPr>
              <w:t>Read views and evidence</w:t>
            </w:r>
          </w:p>
        </w:tc>
        <w:tc>
          <w:tcPr>
            <w:tcW w:type="dxa" w:w="6883"/>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/customers</w:t>
            </w:r>
            <w:r>
              <w:rPr>
                <w:sz w:val="18"/>
              </w:rPr>
              <w:t xml:space="preserve">, </w:t>
            </w:r>
            <w:r>
              <w:rPr>
                <w:rFonts w:ascii="Courier New" w:hAnsi="Courier New"/>
                <w:sz w:val="18"/>
              </w:rPr>
              <w:t>/decisions</w:t>
            </w:r>
          </w:p>
        </w:tc>
      </w:tr>
    </w:tbl>
    <w:p>
      <w:pPr>
        <w:spacing w:after="40"/>
      </w:pPr>
    </w:p>
    <w:p>
      <w:pPr>
        <w:pStyle w:val="Heading3"/>
      </w:pPr>
      <w:r>
        <w:rPr/>
        <w:t>Appendix D. Terms and codes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spacing w:before="20" w:after="20" w:line="240" w:lineRule="auto"/>
            </w:pPr>
            <w:r>
              <w:rPr>
                <w:b/>
                <w:sz w:val="18"/>
              </w:rPr>
              <w:t>Term</w:t>
            </w:r>
          </w:p>
        </w:tc>
        <w:tc>
          <w:tcPr>
            <w:tcW w:type="dxa" w:w="7313"/>
            <w:shd w:val="clear" w:color="auto" w:fill="E8EEFB"/>
          </w:tcPr>
          <w:p>
            <w:pPr>
              <w:keepNext/>
              <w:spacing w:before="20" w:after="20" w:line="240" w:lineRule="auto"/>
            </w:pPr>
            <w:r>
              <w:rPr>
                <w:b/>
                <w:sz w:val="18"/>
              </w:rPr>
              <w:t>Meaning</w:t>
            </w:r>
          </w:p>
        </w:tc>
      </w:tr>
      <w:tr>
        <w:trPr>
          <w:cantSplit w:val="true"/>
        </w:trPr>
        <w:tc>
          <w:tcPr>
            <w:tcW w:type="dxa" w:w="2047"/>
          </w:tcPr>
          <w:p>
            <w:pPr>
              <w:spacing w:before="20" w:after="20" w:line="240" w:lineRule="auto"/>
            </w:pPr>
            <w:r>
              <w:rPr>
                <w:sz w:val="18"/>
              </w:rPr>
              <w:t>fen, bp</w:t>
            </w:r>
          </w:p>
        </w:tc>
        <w:tc>
          <w:tcPr>
            <w:tcW w:type="dxa" w:w="7313"/>
          </w:tcPr>
          <w:p>
            <w:pPr>
              <w:spacing w:before="20" w:after="20" w:line="240" w:lineRule="auto"/>
            </w:pPr>
            <w:r>
              <w:rPr>
                <w:sz w:val="18"/>
              </w:rPr>
              <w:t>¥0.01; 0.01%. Money is integer fen and rates integer basis points</w:t>
            </w:r>
          </w:p>
        </w:tc>
      </w:tr>
      <w:tr>
        <w:trPr>
          <w:cantSplit w:val="true"/>
        </w:trPr>
        <w:tc>
          <w:tcPr>
            <w:tcW w:type="dxa" w:w="2047"/>
          </w:tcPr>
          <w:p>
            <w:pPr>
              <w:spacing w:before="20" w:after="20" w:line="240" w:lineRule="auto"/>
            </w:pPr>
            <w:r>
              <w:rPr>
                <w:sz w:val="18"/>
              </w:rPr>
              <w:t>Mandate</w:t>
            </w:r>
          </w:p>
        </w:tc>
        <w:tc>
          <w:tcPr>
            <w:tcW w:type="dxa" w:w="7313"/>
          </w:tcPr>
          <w:p>
            <w:pPr>
              <w:spacing w:before="20" w:after="20" w:line="240" w:lineRule="auto"/>
            </w:pPr>
            <w:r>
              <w:rPr>
                <w:sz w:val="18"/>
              </w:rPr>
              <w:t>The owner's signed limits: cash reserve, concession caps, covenant thresholds, rate ceiling, Tier-2 limit</w:t>
            </w:r>
          </w:p>
        </w:tc>
      </w:tr>
      <w:tr>
        <w:trPr>
          <w:cantSplit w:val="true"/>
        </w:trPr>
        <w:tc>
          <w:tcPr>
            <w:tcW w:type="dxa" w:w="2047"/>
          </w:tcPr>
          <w:p>
            <w:pPr>
              <w:spacing w:before="20" w:after="20" w:line="240" w:lineRule="auto"/>
            </w:pPr>
            <w:r>
              <w:rPr>
                <w:sz w:val="18"/>
              </w:rPr>
              <w:t>Reserve (floor)</w:t>
            </w:r>
          </w:p>
        </w:tc>
        <w:tc>
          <w:tcPr>
            <w:tcW w:type="dxa" w:w="7313"/>
          </w:tcPr>
          <w:p>
            <w:pPr>
              <w:spacing w:before="20" w:after="20" w:line="240" w:lineRule="auto"/>
            </w:pPr>
            <w:r>
              <w:rPr>
                <w:sz w:val="18"/>
              </w:rPr>
              <w:t>The lowest closing cash the mandate allows on any day: ¥300,000 on the demo company</w:t>
            </w:r>
          </w:p>
        </w:tc>
      </w:tr>
      <w:tr>
        <w:trPr>
          <w:cantSplit w:val="true"/>
        </w:trPr>
        <w:tc>
          <w:tcPr>
            <w:tcW w:type="dxa" w:w="2047"/>
          </w:tcPr>
          <w:p>
            <w:pPr>
              <w:spacing w:before="20" w:after="20" w:line="240" w:lineRule="auto"/>
            </w:pPr>
            <w:r>
              <w:rPr>
                <w:sz w:val="18"/>
              </w:rPr>
              <w:t>Golden books</w:t>
            </w:r>
          </w:p>
        </w:tc>
        <w:tc>
          <w:tcPr>
            <w:tcW w:type="dxa" w:w="7313"/>
          </w:tcPr>
          <w:p>
            <w:pPr>
              <w:spacing w:before="20" w:after="20" w:line="240" w:lineRule="auto"/>
            </w:pPr>
            <w:r>
              <w:rPr>
                <w:sz w:val="18"/>
              </w:rPr>
              <w:t>The synthetic demo company, with expected values from an independent oracle</w:t>
            </w:r>
          </w:p>
        </w:tc>
      </w:tr>
      <w:tr>
        <w:trPr>
          <w:cantSplit w:val="true"/>
        </w:trPr>
        <w:tc>
          <w:tcPr>
            <w:tcW w:type="dxa" w:w="2047"/>
          </w:tcPr>
          <w:p>
            <w:pPr>
              <w:spacing w:before="20" w:after="20" w:line="240" w:lineRule="auto"/>
            </w:pPr>
            <w:r>
              <w:rPr>
                <w:sz w:val="18"/>
              </w:rPr>
              <w:t>Marginal cost of funds</w:t>
            </w:r>
          </w:p>
        </w:tc>
        <w:tc>
          <w:tcPr>
            <w:tcW w:type="dxa" w:w="7313"/>
          </w:tcPr>
          <w:p>
            <w:pPr>
              <w:spacing w:before="20" w:after="20" w:line="240" w:lineRule="auto"/>
            </w:pPr>
            <w:r>
              <w:rPr>
                <w:sz w:val="18"/>
              </w:rPr>
              <w:t>The all-in rate of the cheapest committed source able to carry a permanent need: 10.84%</w:t>
            </w:r>
          </w:p>
        </w:tc>
      </w:tr>
      <w:tr>
        <w:trPr>
          <w:cantSplit w:val="true"/>
        </w:trPr>
        <w:tc>
          <w:tcPr>
            <w:tcW w:type="dxa" w:w="2047"/>
          </w:tcPr>
          <w:p>
            <w:pPr>
              <w:spacing w:before="20" w:after="20" w:line="240" w:lineRule="auto"/>
            </w:pPr>
            <w:r>
              <w:rPr>
                <w:sz w:val="18"/>
              </w:rPr>
              <w:t>Break-even discount</w:t>
            </w:r>
          </w:p>
        </w:tc>
        <w:tc>
          <w:tcPr>
            <w:tcW w:type="dxa" w:w="7313"/>
          </w:tcPr>
          <w:p>
            <w:pPr>
              <w:spacing w:before="20" w:after="20" w:line="240" w:lineRule="auto"/>
            </w:pPr>
            <w:r>
              <w:rPr>
                <w:sz w:val="18"/>
              </w:rPr>
              <w:t>The largest early-payment discount cheaper than that source: 0.8832% for 30 days</w:t>
            </w:r>
          </w:p>
        </w:tc>
      </w:tr>
      <w:tr>
        <w:trPr>
          <w:cantSplit w:val="true"/>
        </w:trPr>
        <w:tc>
          <w:tcPr>
            <w:tcW w:type="dxa" w:w="2047"/>
          </w:tcPr>
          <w:p>
            <w:pPr>
              <w:spacing w:before="20" w:after="20" w:line="240" w:lineRule="auto"/>
            </w:pPr>
            <w:r>
              <w:rPr>
                <w:sz w:val="18"/>
              </w:rPr>
              <w:t>Future concession</w:t>
            </w:r>
          </w:p>
        </w:tc>
        <w:tc>
          <w:tcPr>
            <w:tcW w:type="dxa" w:w="7313"/>
          </w:tcPr>
          <w:p>
            <w:pPr>
              <w:spacing w:before="20" w:after="20" w:line="240" w:lineRule="auto"/>
            </w:pPr>
            <w:r>
              <w:rPr>
                <w:sz w:val="18"/>
              </w:rPr>
              <w:t>A promise that costs money later (longer terms, a rebate, a price change), valued at the marginal cost of funds</w:t>
            </w:r>
          </w:p>
        </w:tc>
      </w:tr>
      <w:tr>
        <w:trPr>
          <w:cantSplit w:val="true"/>
        </w:trPr>
        <w:tc>
          <w:tcPr>
            <w:tcW w:type="dxa" w:w="2047"/>
          </w:tcPr>
          <w:p>
            <w:pPr>
              <w:spacing w:before="20" w:after="20" w:line="240" w:lineRule="auto"/>
            </w:pPr>
            <w:r>
              <w:rPr>
                <w:sz w:val="18"/>
              </w:rPr>
              <w:t>Coverage proof</w:t>
            </w:r>
          </w:p>
        </w:tc>
        <w:tc>
          <w:tcPr>
            <w:tcW w:type="dxa" w:w="7313"/>
          </w:tcPr>
          <w:p>
            <w:pPr>
              <w:spacing w:before="20" w:after="20" w:line="240" w:lineRule="auto"/>
            </w:pPr>
            <w:r>
              <w:rPr>
                <w:sz w:val="18"/>
              </w:rPr>
              <w:t>The compiler's check that every figure and request in a message is accounted for (ADR-0005)</w:t>
            </w:r>
          </w:p>
        </w:tc>
      </w:tr>
      <w:tr>
        <w:trPr>
          <w:cantSplit w:val="true"/>
        </w:trPr>
        <w:tc>
          <w:tcPr>
            <w:tcW w:type="dxa" w:w="2047"/>
          </w:tcPr>
          <w:p>
            <w:pPr>
              <w:spacing w:before="20" w:after="20" w:line="240" w:lineRule="auto"/>
            </w:pPr>
            <w:r>
              <w:rPr>
                <w:sz w:val="18"/>
              </w:rPr>
              <w:t>ADR-nnnn</w:t>
            </w:r>
          </w:p>
        </w:tc>
        <w:tc>
          <w:tcPr>
            <w:tcW w:type="dxa" w:w="7313"/>
          </w:tcPr>
          <w:p>
            <w:pPr>
              <w:spacing w:before="20" w:after="20" w:line="240" w:lineRule="auto"/>
            </w:pPr>
            <w:r>
              <w:rPr>
                <w:sz w:val="18"/>
              </w:rPr>
              <w:t>An architecture decision record (</w:t>
            </w:r>
            <w:r>
              <w:rPr>
                <w:rFonts w:ascii="Courier New" w:hAnsi="Courier New"/>
                <w:sz w:val="18"/>
              </w:rPr>
              <w:t>docs/adr/</w:t>
            </w:r>
            <w:r>
              <w:rPr>
                <w:sz w:val="18"/>
              </w:rPr>
              <w:t>)</w:t>
            </w:r>
          </w:p>
        </w:tc>
      </w:tr>
      <w:tr>
        <w:trPr>
          <w:cantSplit w:val="true"/>
        </w:trPr>
        <w:tc>
          <w:tcPr>
            <w:tcW w:type="dxa" w:w="2047"/>
          </w:tcPr>
          <w:p>
            <w:pPr>
              <w:spacing w:before="20" w:after="20" w:line="240" w:lineRule="auto"/>
            </w:pPr>
            <w:r>
              <w:rPr>
                <w:sz w:val="18"/>
              </w:rPr>
              <w:t>SEC-nn, R-nn, PRIV-n</w:t>
            </w:r>
          </w:p>
        </w:tc>
        <w:tc>
          <w:tcPr>
            <w:tcW w:type="dxa" w:w="7313"/>
          </w:tcPr>
          <w:p>
            <w:pPr>
              <w:spacing w:before="20" w:after="20" w:line="240" w:lineRule="auto"/>
            </w:pPr>
            <w:r>
              <w:rPr>
                <w:sz w:val="18"/>
              </w:rPr>
              <w:t>A security finding, risk or privacy item in the Security Self-Assessment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2026-10-17T10:33:47Z</dcterms:created>
  <dcterms:modified xsi:type="dcterms:W3CDTF">2026-10-17T10:33:47Z</dcterms:modified>
  <cp:category/>
</cp:coreProperties>
</file>