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kind of caller that opened it (owner, agent or counterparty).</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b/>
        </w:rPr>
        <w:t xml:space="preserve"> is off unless set</w:t>
      </w:r>
      <w:r>
        <w:rPr/>
        <w:t xml:space="preserve"> (since 16 Oct, SEC-07). Local runs, the tests, the browser suites and CI set </w:t>
      </w:r>
      <w:r>
        <w:rPr>
          <w:rFonts w:ascii="Courier New" w:hAnsi="Courier New"/>
          <w:sz w:val="18"/>
        </w:rPr>
        <w:t>DEMO_MODE=1</w:t>
      </w:r>
      <w:r>
        <w:rPr/>
        <w:t>,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there. Without it a credential whose variable is unset matches nothing,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 no demo books are seeded, the demo signing key is never trusted, and </w:t>
      </w:r>
      <w:r>
        <w:rPr>
          <w:rFonts w:ascii="Courier New" w:hAnsi="Courier New"/>
          <w:sz w:val="18"/>
        </w:rPr>
        <w:t>/docs</w:t>
      </w:r>
      <w:r>
        <w:rPr/>
        <w:t xml:space="preserve"> and </w:t>
      </w:r>
      <w:r>
        <w:rPr>
          <w:rFonts w:ascii="Courier New" w:hAnsi="Courier New"/>
          <w:sz w:val="18"/>
        </w:rPr>
        <w:t>/openapi.json</w:t>
      </w:r>
      <w:r>
        <w:rPr/>
        <w:t xml:space="preserve"> are not served. The Compose deployment sets </w:t>
      </w:r>
      <w:r>
        <w:rPr>
          <w:rFonts w:ascii="Courier New" w:hAnsi="Courier New"/>
          <w:sz w:val="18"/>
        </w:rPr>
        <w:t>DEMO_MODE=0</w:t>
      </w:r>
      <w:r>
        <w:rPr/>
        <w:t xml:space="preserve"> explicitly.</w:t>
      </w:r>
    </w:p>
    <w:p>
      <w:pPr>
        <w:pStyle w:val="ListBullet2"/>
        <w:tabs>
          <w:tab w:pos="792" w:val="left"/>
        </w:tabs>
        <w:ind w:left="792" w:hanging="288"/>
      </w:pPr>
      <w:r>
        <w:rPr>
          <w:b/>
        </w:rPr>
        <w:t>The agent's chat sees only its own amounts</w:t>
      </w:r>
      <w:r>
        <w:rPr/>
        <w:t xml:space="preserve"> (R-11, the owner's decision of 16 Oct). An agent-key turn on </w:t>
      </w:r>
      <w:r>
        <w:rPr>
          <w:rFonts w:ascii="Courier New" w:hAnsi="Courier New"/>
          <w:sz w:val="18"/>
        </w:rPr>
        <w:t>/nl</w:t>
      </w:r>
      <w:r>
        <w:rPr/>
        <w:t xml:space="preserve"> is answered from an allow-list (</w:t>
      </w:r>
      <w:r>
        <w:rPr>
          <w:rFonts w:ascii="Courier New" w:hAnsi="Courier New"/>
          <w:sz w:val="18"/>
        </w:rPr>
        <w:t>app/api/agent_view.py</w:t>
      </w:r>
      <w:r>
        <w:rPr/>
        <w:t>): the intent, the operation steps, the outcome, what ran or was queued, refusal reasons in words, and the amounts of its own operations; a pure read answers "This needs the owner's sign-in." Every text in it passes the egress guard.</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 The chain covers the operations log only: approvals and security events sit outside it, and its head is not anchored outside the system (R-13, SEC-08 in the Security Self-Assessment).</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kind of caller that opened it (owner, agent or counterparty), and an agent turn reads only a session the agent opened; binding it to the individual credential is still open (SEC-21).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rPr/>
        <w:t xml:space="preserve"> on, off and unset.</w:t>
      </w:r>
    </w:p>
    <w:p>
      <w:pPr>
        <w:pStyle w:val="ListBullet2"/>
        <w:tabs>
          <w:tab w:pos="792" w:val="left"/>
        </w:tabs>
        <w:ind w:left="792" w:hanging="288"/>
      </w:pPr>
      <w:r>
        <w:rPr/>
        <w:t>The agent key's chat replies carry only the amounts of its own operations (R-11); a keyed buyer has a daily budget of 5 offers or messages (R-10).</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 and approvals and security events are not in the chain (SEC-08).</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DEMO_MODE=1 python -m app.security.attacks --report</w:t>
      </w:r>
      <w:r>
        <w:rPr/>
        <w:t xml:space="preserve">; first run 5 Oct 2026, re-run by the independent Security Lead on </w:t>
      </w:r>
      <w:r>
        <w:rPr>
          <w:rFonts w:ascii="Courier New" w:hAnsi="Courier New"/>
          <w:sz w:val="18"/>
        </w:rPr>
        <w:t>dev</w:t>
      </w:r>
      <w:r>
        <w:rPr/>
        <w:t xml:space="preserve"> at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r>
        <w:rPr>
          <w:b/>
        </w:rPr>
        <w:t>An independent Security Lead</w:t>
      </w:r>
      <w:r>
        <w:rPr/>
        <w:t xml:space="preserve"> (14 to 16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rPr/>
        <w:t xml:space="preserve">, </w:t>
      </w:r>
      <w:r>
        <w:rPr>
          <w:rFonts w:ascii="Courier New" w:hAnsi="Courier New"/>
          <w:sz w:val="18"/>
        </w:rPr>
        <w:t>081541d1</w:t>
      </w:r>
      <w:r>
        <w:rPr/>
        <w:t xml:space="preserve">, </w:t>
      </w:r>
      <w:r>
        <w:rPr>
          <w:rFonts w:ascii="Courier New" w:hAnsi="Courier New"/>
          <w:sz w:val="18"/>
        </w:rPr>
        <w:t>b6d1e519</w:t>
      </w:r>
      <w:r>
        <w:rPr/>
        <w:t xml:space="preserve">, </w:t>
      </w:r>
      <w:r>
        <w:rPr>
          <w:rFonts w:ascii="Courier New" w:hAnsi="Courier New"/>
          <w:sz w:val="18"/>
        </w:rPr>
        <w:t>0f92d433</w:t>
      </w:r>
      <w:r>
        <w:rPr/>
        <w:t xml:space="preserve">; </w:t>
      </w:r>
      <w:r>
        <w:rPr>
          <w:rFonts w:ascii="Courier New" w:hAnsi="Courier New"/>
          <w:sz w:val="18"/>
        </w:rPr>
        <w:t>docs/security/CERTIFICATIONS.md</w:t>
      </w:r>
      <w:r>
        <w:rPr/>
        <w:t xml:space="preserve">).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decisions of 16 Oct on R-10, R-11 and </w:t>
      </w:r>
      <w:r>
        <w:rPr>
          <w:rFonts w:ascii="Courier New" w:hAnsi="Courier New"/>
          <w:sz w:val="18"/>
        </w:rPr>
        <w:t>DEMO_MODE</w:t>
      </w:r>
      <w:r>
        <w:rPr/>
        <w:t>. Its open items (no runnable production configuration, audit integrity outside the log, one process only, no rate limiting, no full CSP) keep production at NO-GO; the full register is in the Security Self-Assessment.</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17, first run 16 Oct (the independent Security Lead, a local throwaway database):</w:t>
      </w:r>
      <w:r>
        <w:rPr/>
        <w:t xml:space="preserve"> the same invariants hold once a startup race is fixed (PG-1: every store re-ran its table and trigger DDL on opening, so two processes opening at once raced on the catalog and one failed to start; fixed on branch </w:t>
      </w:r>
      <w:r>
        <w:rPr>
          <w:rFonts w:ascii="Courier New" w:hAnsi="Courier New"/>
          <w:sz w:val="18"/>
        </w:rPr>
        <w:t>sec/pg-guard-install-lock</w:t>
      </w:r>
      <w:r>
        <w:rPr/>
        <w:t xml:space="preserve">, then 6 of 6 clean runs). Until that fix is merged,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The medium items from the chat attacks, after the owner's decisions of 16 Oct.</w:t>
      </w:r>
      <w:r>
        <w:rP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w:t>
      </w:r>
      <w:r>
        <w:rPr>
          <w:b/>
        </w:rPr>
        <w:t>As committed it does not yet start a working API</w:t>
      </w:r>
      <w:r>
        <w:rPr/>
        <w:t xml:space="preserve"> (SEC-06): it passes no </w:t>
      </w:r>
      <w:r>
        <w:rPr>
          <w:rFonts w:ascii="Courier New" w:hAnsi="Courier New"/>
          <w:sz w:val="18"/>
        </w:rPr>
        <w:t>OWNER_PUBLIC_KEY_HEX</w:t>
      </w:r>
      <w:r>
        <w:rPr/>
        <w:t xml:space="preserve">, nothing provisions the books and the signed mandate into an empty database, and the web image is built against </w:t>
      </w:r>
      <w:r>
        <w:rPr>
          <w:rFonts w:ascii="Courier New" w:hAnsi="Courier New"/>
          <w:sz w:val="18"/>
        </w:rPr>
        <w:t>http://localhost:8000</w:t>
      </w:r>
      <w:r>
        <w:rPr/>
        <w:t xml:space="preserve">. These are listed as production blockers in the Security Self-Assessment.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unauthenticated intake capped per simulated day and bounded in size but not rate-limited, concurrency proven on SQLite and on a local PostgreSQL 17 once the PG-1 startup fix is merged, so one worker until then, the live-model certification not run) are R-15. The hash chain is internally checkable only: its head is not anchored outside the system (audit S8), and head hashes differ from run to run. The Postgres append-only triggers were verified on a local PostgreSQL 17 on 16 Oct but not in CI, and any session can lift them with the reset setting (F-11, SEC-08), and </w:t>
      </w:r>
      <w:r>
        <w:rPr>
          <w:rFonts w:ascii="Courier New" w:hAnsi="Courier New"/>
          <w:sz w:val="18"/>
        </w:rPr>
        <w:t>/demo/reset</w:t>
      </w:r>
      <w:r>
        <w:rPr/>
        <w:t xml:space="preserve"> is owner-only and refused on a persistent store outside demo mode, but still erases the log in demo mode (F-05). The independent Security Lead audit of 14 to 16 Oct adds production blockers (no runnable production configuration, audit integrity outside the log, one process only, no rate limiting) and certifies the local demo only.</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exercised locally, not in CI.</w:t>
      </w:r>
      <w:r>
        <w:rP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