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an agent owned by a small supplier.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an independent oracle (</w:t>
      </w:r>
      <w:r>
        <w:rPr>
          <w:rFonts w:ascii="Courier New" w:hAnsi="Courier New"/>
          <w:sz w:val="18"/>
        </w:rPr>
        <w:t>fixtures/golden/compute_golden.py</w:t>
      </w:r>
      <w:r>
        <w:rPr/>
        <w:t xml:space="preserve">), or from the evaluation reports in </w:t>
      </w:r>
      <w:r>
        <w:rPr>
          <w:rFonts w:ascii="Courier New" w:hAnsi="Courier New"/>
          <w:sz w:val="18"/>
        </w:rPr>
        <w:t>services/api/evals/</w:t>
      </w:r>
      <w:r>
        <w:rPr/>
        <w:t>.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ind w:left="792" w:hanging="288"/>
      </w:pPr>
      <w:r>
        <w:rPr/>
        <w:t xml:space="preserve">moving that buyer from 45 to 60 days going forward ties up </w:t>
      </w:r>
      <w:r>
        <w:rPr>
          <w:b/>
        </w:rPr>
        <w:t>¥207,123.29</w:t>
      </w:r>
      <w:r>
        <w:rPr/>
        <w:t xml:space="preserve"> of extra receivables, permanently;</w:t>
      </w:r>
    </w:p>
    <w:p>
      <w:pPr>
        <w:pStyle w:val="ListBullet2"/>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¥22,455.62 a year</w:t>
      </w:r>
      <w:r>
        <w:rPr/>
        <w:t>;</w:t>
      </w:r>
    </w:p>
    <w:p>
      <w:pPr>
        <w:pStyle w:val="ListBullet2"/>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informal SME conversations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accepts, counters, records commitments, draws and repays committed facilities, and submits invoices for financing. It refuses under injection. Every action is a typed operation in an append-only, hash-chained log.</w:t>
      </w:r>
    </w:p>
    <w:p>
      <w:r>
        <w:rPr>
          <w:b/>
        </w:rPr>
        <w:t>Innovation, stated honestly.</w:t>
      </w:r>
      <w:r>
        <w:rPr/>
        <w:t xml:space="preserve"> Nothing here is a new algorithm. Negotiation agents, cash-flow forecasting, loan marketplaces, covenant monitoring and rebate accrual all exist.</w:t>
      </w:r>
    </w:p>
    <w:p>
      <w:pPr>
        <w:pStyle w:val="ListBullet2"/>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360"/>
      </w:pPr>
      <w:r>
        <w:t>1.</w:t>
        <w:tab/>
      </w:r>
      <w:r>
        <w:rPr/>
        <w:t>No model output alone can create a commitment, borrow or move money in this system.</w:t>
      </w:r>
    </w:p>
    <w:p>
      <w:pPr>
        <w:ind w:left="720" w:hanging="360"/>
      </w:pPr>
      <w:r>
        <w:t>2.</w:t>
        <w:tab/>
      </w:r>
      <w:r>
        <w:rPr/>
        <w:t>Every accepted, countered and refused offer carries a typed record with the failing predicate and its source spans.</w:t>
      </w:r>
    </w:p>
    <w:p>
      <w:pPr>
        <w:ind w:left="720" w:hanging="360"/>
      </w:pPr>
      <w:r>
        <w:t>3.</w:t>
        <w:tab/>
      </w:r>
      <w:r>
        <w:rPr/>
        <w:t>The verifier never reads free text.</w:t>
      </w:r>
    </w:p>
    <w:p>
      <w:pPr>
        <w:ind w:left="720" w:hanging="360"/>
      </w:pPr>
      <w:r>
        <w:t>4.</w:t>
        <w:tab/>
      </w:r>
      <w:r>
        <w:rPr/>
        <w:t>Contingent concessions count at maximum exposure, and uncommitted facilities at zero, by default.</w:t>
      </w:r>
    </w:p>
    <w:p>
      <w:pPr>
        <w:ind w:left="720" w:hanging="360"/>
      </w:pPr>
      <w:r>
        <w:t>5.</w:t>
        <w:tab/>
      </w:r>
      <w:r>
        <w:rPr/>
        <w:t>Every funding choice shows its all-in rate, time to cash and covenant effect.</w:t>
      </w:r>
    </w:p>
    <w:p>
      <w:r>
        <w:rPr/>
        <w:t>We do not claim "first", "best loan", "proof", "atomic", "financial advice", "bank-grade" or "cannot be fooled".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grammar|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displays server-formatted money; it never computes money</w:t>
      </w: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persistence/</w:t>
            </w:r>
          </w:p>
        </w:tc>
        <w:tc>
          <w:tcPr>
            <w:tcW w:type="dxa" w:w="3293"/>
          </w:tcPr>
          <w:p>
            <w:r>
              <w:rPr>
                <w:sz w:val="18"/>
              </w:rPr>
              <w:t xml:space="preserve">SQLAlchemy tables, Alembic migrations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mock lenders,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fallback</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cash alerts and receipt reconciliation; a read-only what-if sandbox. All are feature-flagged.</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Next.js screens: Mandate, Inbox, Trajectory, Funding, Verdict, Capex, Ledger, plus Approvals, Security, Evidence, Alerts, Reconciliation and What-if; English and Chinese labels; a demo stepper</w:t>
            </w:r>
          </w:p>
        </w:tc>
        <w:tc>
          <w:tcPr>
            <w:tcW w:type="dxa" w:w="3293"/>
          </w:tcPr>
          <w:p>
            <w:r>
              <w:rPr>
                <w:sz w:val="18"/>
              </w:rPr>
              <w:t>Displays server-formatted values only</w:t>
            </w:r>
          </w:p>
        </w:tc>
      </w:tr>
    </w:tbl>
    <w:p>
      <w:pPr>
        <w:spacing w:after="40"/>
      </w:pPr>
    </w:p>
    <w:p>
      <w:r>
        <w:rPr>
          <w:b/>
        </w:rPr>
        <w:t>One offer, end to end.</w:t>
      </w:r>
    </w:p>
    <w:p>
      <w:pPr>
        <w:ind w:left="720" w:hanging="360"/>
      </w:pPr>
      <w:r>
        <w:t>1.</w:t>
        <w:tab/>
      </w:r>
      <w:r>
        <w:rPr/>
        <w:t xml:space="preserve">A buyer message arrives. The compiler proposes obligations with spans, or abstains. A conflict between the body and an attachment gives </w:t>
      </w:r>
      <w:r>
        <w:rPr>
          <w:rFonts w:ascii="Courier New" w:hAnsi="Courier New"/>
          <w:sz w:val="18"/>
        </w:rPr>
        <w:t>NO_VERDICT</w:t>
      </w:r>
      <w:r>
        <w:rPr/>
        <w:t xml:space="preserve"> with </w:t>
      </w:r>
      <w:r>
        <w:rPr>
          <w:rFonts w:ascii="Courier New" w:hAnsi="Courier New"/>
          <w:sz w:val="18"/>
        </w:rPr>
        <w:t>CONFLICTING_SOURCES</w:t>
      </w:r>
      <w:r>
        <w:rPr/>
        <w:t>.</w:t>
      </w:r>
    </w:p>
    <w:p>
      <w:pPr>
        <w:ind w:left="720" w:hanging="360"/>
      </w:pPr>
      <w:r>
        <w:t>2.</w:t>
        <w:tab/>
      </w:r>
      <w:r>
        <w:rPr/>
        <w:t>The verifier's security screen logs and neutralises unknown senders, funding claims, unevidenced "we agreed last month" concessions and data requests. None of them can book anything.</w:t>
      </w:r>
    </w:p>
    <w:p>
      <w:pPr>
        <w:ind w:left="720" w:hanging="360"/>
      </w:pPr>
      <w:r>
        <w:t>3.</w:t>
        <w:tab/>
      </w:r>
      <w:r>
        <w:rPr/>
        <w:t>The engine projects the conservative trajectory under the offer's bookable obligations.</w:t>
      </w:r>
    </w:p>
    <w:p>
      <w:pPr>
        <w:ind w:left="720" w:hanging="360"/>
      </w:pPr>
      <w:r>
        <w:t>4.</w:t>
        <w:tab/>
      </w:r>
      <w:r>
        <w:rPr/>
        <w:t>The router prices any gap from committed facilities and emits the marginal cost of funds; forward concessions are valued at that rate.</w:t>
      </w:r>
    </w:p>
    <w:p>
      <w:pPr>
        <w:ind w:left="720" w:hanging="360"/>
      </w:pPr>
      <w:r>
        <w:t>5.</w:t>
        <w:tab/>
      </w:r>
      <w:r>
        <w:rPr/>
        <w:t>The verifier tests every day and month against the mandate and covenants and returns a verdict with formulas. On REJECT it attaches counters priced from the marginal cost.</w:t>
      </w:r>
    </w:p>
    <w:p>
      <w:pPr>
        <w:ind w:left="720" w:hanging="360"/>
      </w:pPr>
      <w:r>
        <w:t>6.</w:t>
        <w:tab/>
      </w:r>
      <w:r>
        <w:rPr/>
        <w:t>The buyer kernel answers within bounded rounds; NO DEAL is a first-class outcome.</w:t>
      </w:r>
    </w:p>
    <w:p>
      <w:pPr>
        <w:ind w:left="720" w:hanging="360"/>
      </w:pPr>
      <w:r>
        <w:t>7.</w:t>
        <w:tab/>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and the scenario runner. No network.</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p>
        </w:tc>
      </w:tr>
      <w:tr>
        <w:tc>
          <w:tcPr>
            <w:tcW w:type="dxa" w:w="4939"/>
          </w:tcPr>
          <w:p>
            <w:r>
              <w:rPr>
                <w:sz w:val="18"/>
              </w:rPr>
              <w:t>Read views and evidence</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ind w:left="792" w:hanging="288"/>
      </w:pPr>
      <w:r>
        <w:rPr/>
        <w:t>ACCEPT_OFFER, COUNTER_OFFER, REJECT_OFFER and RECORD_COMMITMENT;</w:t>
      </w:r>
    </w:p>
    <w:p>
      <w:pPr>
        <w:pStyle w:val="ListBullet2"/>
        <w:ind w:left="792" w:hanging="288"/>
      </w:pPr>
      <w:r>
        <w:rPr/>
        <w:t>DRAW_FACILITY, REPAY_FACILITY, SUBMIT_INVOICE_FOR_FINANCING and RECEIVE_PAYMENT;</w:t>
      </w:r>
    </w:p>
    <w:p>
      <w:pPr>
        <w:pStyle w:val="ListBullet2"/>
        <w:ind w:left="792" w:hanging="288"/>
      </w:pPr>
      <w:r>
        <w:rPr/>
        <w:t>APPLY_FOR_FACILITY, ADD_FACILITY, GENERATE_BORROWER_FILE and REQUEST_OWNER_APPROVAL;</w:t>
      </w:r>
    </w:p>
    <w:p>
      <w:pPr>
        <w:pStyle w:val="ListBullet2"/>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ind w:left="792" w:hanging="288"/>
      </w:pPr>
      <w:r>
        <w:rPr>
          <w:rFonts w:ascii="Courier New" w:hAnsi="Courier New"/>
          <w:sz w:val="18"/>
        </w:rPr>
        <w:t>fixtures/scenarios/golden_sme.json</w:t>
      </w:r>
      <w:r>
        <w:rPr/>
        <w:t>: the supplier's state. Cash ¥400,000; payroll ¥340,000 on day 12; supplier payment ¥120,000 on day 20; Receivable A ¥420,000 due on day 32; the funding menu below.</w:t>
      </w:r>
    </w:p>
    <w:p>
      <w:pPr>
        <w:pStyle w:val="ListBullet2"/>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w:t>
      </w:r>
    </w:p>
    <w:p>
      <w:pPr>
        <w:pStyle w:val="ListBullet2"/>
        <w:ind w:left="792" w:hanging="288"/>
      </w:pPr>
      <w:r>
        <w:rPr>
          <w:rFonts w:ascii="Courier New" w:hAnsi="Courier New"/>
          <w:sz w:val="18"/>
        </w:rPr>
        <w:t>fixtures/offers/offers.yaml</w:t>
      </w:r>
      <w:r>
        <w:rPr/>
        <w:t>: the 12 worked examples of spec v2 §8, a reworded EX01, and the FastCapital security message.</w:t>
      </w:r>
    </w:p>
    <w:p>
      <w:pPr>
        <w:pStyle w:val="ListBullet2"/>
        <w:ind w:left="792" w:hanging="288"/>
      </w:pPr>
      <w:r>
        <w:rPr>
          <w:rFonts w:ascii="Courier New" w:hAnsi="Courier New"/>
          <w:sz w:val="18"/>
        </w:rPr>
        <w:t>fixtures/counterparties/</w:t>
      </w:r>
      <w:r>
        <w:rPr/>
        <w:t>: buyer profiles with hidden reservations, and mock lenders.</w:t>
      </w:r>
    </w:p>
    <w:p>
      <w:pPr>
        <w:pStyle w:val="ListBullet2"/>
        <w:ind w:left="792" w:hanging="288"/>
      </w:pPr>
      <w:r>
        <w:rPr>
          <w:rFonts w:ascii="Courier New" w:hAnsi="Courier New"/>
          <w:sz w:val="18"/>
        </w:rPr>
        <w:t>fixtures/golden/</w:t>
      </w:r>
      <w:r>
        <w:rPr/>
        <w:t>: the independent oracle and its golden values.</w:t>
      </w:r>
    </w:p>
    <w:p>
      <w:pPr>
        <w:pStyle w:val="ListBullet2"/>
        <w:ind w:left="792" w:hanging="288"/>
      </w:pPr>
      <w:r>
        <w:rPr>
          <w:rFonts w:ascii="Courier New" w:hAnsi="Courier New"/>
          <w:sz w:val="18"/>
        </w:rPr>
        <w:t>services/api/evals/security/attacks.yaml</w:t>
      </w:r>
      <w:r>
        <w:rPr/>
        <w:t>: 122 attacks.</w:t>
      </w:r>
    </w:p>
    <w:p>
      <w:pPr>
        <w:pStyle w:val="ListBullet2"/>
        <w:ind w:left="792" w:hanging="288"/>
      </w:pPr>
      <w:r>
        <w:rPr>
          <w:rFonts w:ascii="Courier New" w:hAnsi="Courier New"/>
          <w:sz w:val="18"/>
        </w:rPr>
        <w:t>services/api/evals/e2e/scenarios.yaml</w:t>
      </w:r>
      <w:r>
        <w:rPr/>
        <w:t xml:space="preserve">: 37 scripted </w:t>
      </w:r>
      <w:r>
        <w:rPr>
          <w:rFonts w:ascii="Courier New" w:hAnsi="Courier New"/>
          <w:sz w:val="18"/>
        </w:rPr>
        <w:t>/nl</w:t>
      </w:r>
      <w:r>
        <w:rPr/>
        <w:t xml:space="preserve"> tasks.</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on a Supabase Singapore pooler, with row-level security enabled on every table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Roles.</w:t>
      </w:r>
      <w:r>
        <w:rPr/>
        <w:t xml:space="preserve"> The pipeline has four roles: Compiler (the model, untrusted), Risk/Verifier (engine, covenants, verifier), Negotiator (counters and the bounded buyer rounds) and Treasurer (router and executor). Each role is a module with its own boundary, not a free-running LLM agent.</w:t>
      </w:r>
    </w:p>
    <w:p>
      <w:r>
        <w:rPr>
          <w:b/>
        </w:rPr>
        <w:t>Intent understanding (</w:t>
      </w:r>
      <w:r>
        <w:rPr>
          <w:rFonts w:ascii="Courier New" w:hAnsi="Courier New"/>
          <w:b/>
          <w:sz w:val="18"/>
        </w:rPr>
        <w:t>nl/</w:t>
      </w:r>
      <w:r>
        <w:rPr>
          <w:b/>
        </w:rPr>
        <w:t>).</w:t>
      </w:r>
    </w:p>
    <w:p>
      <w:pPr>
        <w:pStyle w:val="ListBullet2"/>
        <w:ind w:left="792" w:hanging="288"/>
      </w:pPr>
      <w:r>
        <w:rPr/>
        <w:t>A deterministic rules parser (zh + en lexicon) maps each request to one of 13 intents: EVALUATE_OFFER, NEGOTIATE, ACCELERATE_RECEIPT, FUND_GAP, REPAY_FACILITY, SHOW_STATUS, EXPLAIN, WHAT_IF, APPROVE, REJECT, COUNTERPARTY_MESSAGE, OUT_OF_SCOPE and AMBIGUOUS. It fills typed slots; every id is checked against the registry.</w:t>
      </w:r>
    </w:p>
    <w:p>
      <w:pPr>
        <w:pStyle w:val="ListBullet2"/>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ind w:left="792" w:hanging="288"/>
      </w:pPr>
      <w:r>
        <w:rPr/>
        <w:t>The actor comes from authentication, never from text. A request from a COUNTERPARTY is never parsed for intents: it is compiled and verified as an inbound message, and it can never execute anything.</w:t>
      </w:r>
    </w:p>
    <w:p>
      <w:r>
        <w:rPr>
          <w:b/>
        </w:rPr>
        <w:t>Planning.</w:t>
      </w:r>
      <w:r>
        <w:rPr/>
        <w:t xml:space="preserve"> A plan is a list of typed steps built by code from a verdict or a router plan:</w:t>
      </w:r>
    </w:p>
    <w:p>
      <w:pPr>
        <w:pStyle w:val="ListBullet2"/>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ind w:left="792" w:hanging="288"/>
      </w:pPr>
      <w:r>
        <w:rPr>
          <w:i/>
        </w:rPr>
        <w:t>Multi-step funding</w:t>
      </w:r>
      <w:r>
        <w:rPr/>
        <w:t>: draw the line, finance an invoice, repay on receipt.</w:t>
      </w:r>
    </w:p>
    <w:p>
      <w:pPr>
        <w:pStyle w:val="ListBullet2"/>
        <w:ind w:left="792" w:hanging="288"/>
      </w:pPr>
      <w:r>
        <w:rPr>
          <w:i/>
        </w:rPr>
        <w:t>Clarification</w:t>
      </w:r>
      <w:r>
        <w:rPr/>
        <w:t>: "fund it" with two open gaps asks which one; an offer with no sender asks which buyer.</w:t>
      </w:r>
    </w:p>
    <w:p>
      <w:pPr>
        <w:pStyle w:val="ListBullet2"/>
        <w:ind w:left="792" w:hanging="288"/>
      </w:pPr>
      <w:r>
        <w:rPr>
          <w:i/>
        </w:rPr>
        <w:t>Correction</w:t>
      </w:r>
      <w:r>
        <w:rPr/>
        <w:t>: "make it 0.8%" amends the pending plan; "1%" is refused because it is above the 0.88% break-even; "switch to invoice financing" swaps the source.</w:t>
      </w:r>
    </w:p>
    <w:p>
      <w:pPr>
        <w:pStyle w:val="ListBullet2"/>
        <w:ind w:left="792" w:hanging="288"/>
      </w:pPr>
      <w:r>
        <w:rPr>
          <w:i/>
        </w:rPr>
        <w:t>Out of scope</w:t>
      </w:r>
      <w:r>
        <w:rPr/>
        <w:t>: a polite refusal plus the list of what the agent can do.</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ind w:left="792" w:hanging="288"/>
      </w:pPr>
      <w:r>
        <w:rPr>
          <w:i/>
        </w:rPr>
        <w:t>Time</w:t>
      </w:r>
      <w:r>
        <w:rPr/>
        <w:t xml:space="preserve"> is an integer simulated day. A simulated clock drives expiry, and the executor refuses backdated or future-dated operations.</w:t>
      </w:r>
    </w:p>
    <w:p>
      <w:pPr>
        <w:pStyle w:val="ListBullet2"/>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ind w:left="792" w:hanging="288"/>
      </w:pPr>
      <w:r>
        <w:rPr/>
        <w:t>Forward concessions go to a separate forward-concession ledger, valued over the concession horizon at the marginal cost of funds.</w:t>
      </w:r>
    </w:p>
    <w:p>
      <w:pPr>
        <w:pStyle w:val="ListBullet2"/>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¥254,960</w:t>
      </w:r>
      <w:r>
        <w:rPr/>
        <w:t xml:space="preserve"> on day 47: a </w:t>
      </w:r>
      <w:r>
        <w:rPr>
          <w:b/>
        </w:rPr>
        <w:t>¥45,040</w:t>
      </w:r>
      <w:r>
        <w:rPr/>
        <w:t xml:space="preserve"> shortfall against the ¥300,000 floor. The committed marginal source cures it for </w:t>
      </w:r>
      <w:r>
        <w:rPr>
          <w:b/>
        </w:rPr>
        <w:t>¥802.70</w:t>
      </w:r>
      <w:r>
        <w:rPr/>
        <w:t>.</w:t>
      </w:r>
    </w:p>
    <w:p>
      <w:r>
        <w:rPr>
          <w:b/>
        </w:rPr>
        <w:t>2. Router grid search (</w:t>
      </w:r>
      <w:r>
        <w:rPr>
          <w:rFonts w:ascii="Courier New" w:hAnsi="Courier New"/>
          <w:b/>
          <w:sz w:val="18"/>
        </w:rPr>
        <w:t>funding/</w:t>
      </w:r>
      <w:r>
        <w:rPr>
          <w:b/>
        </w:rPr>
        <w:t>).</w:t>
      </w:r>
      <w:r>
        <w:rPr/>
        <w:t xml:space="preserve"> Each candidate is a list of funding actions run through the same engine. Its cost is whatever that trajectory posts (interest, fees and discounts, net of what the offer alone posts), so the router never computes cash itself.</w:t>
      </w:r>
    </w:p>
    <w:p>
      <w:pPr>
        <w:pStyle w:val="ListBullet2"/>
        <w:ind w:left="792" w:hanging="288"/>
      </w:pPr>
      <w:r>
        <w:rPr/>
        <w:t>A candidate is admissible only if closing cash stays at or above the floor every day, no covenant is violated, every source's all-in rate is within the mandate's maximum APR, and new borrowing is allowed.</w:t>
      </w:r>
    </w:p>
    <w:p>
      <w:pPr>
        <w:pStyle w:val="ListBullet2"/>
        <w:ind w:left="792" w:hanging="288"/>
      </w:pPr>
      <w:r>
        <w:rPr/>
        <w:t>Every source is requested on day 0 and lands after its lead time (ADR-0003). The search is over amounts, on a ¥10,000 grid.</w:t>
      </w:r>
    </w:p>
    <w:p>
      <w:pPr>
        <w:pStyle w:val="ListBullet2"/>
        <w:ind w:left="792" w:hanging="288"/>
      </w:pPr>
      <w:r>
        <w:rPr/>
        <w:t>The search runs single-source fills; then pairs (a grid over the first source, the second filling the residual); then triples (the first source at capacity, a grid over the second, the third filling). Candidates whose probed lower-bound cost already exceeds the best plan found are pruned.</w:t>
      </w:r>
    </w:p>
    <w:p>
      <w:pPr>
        <w:pStyle w:val="ListBullet2"/>
        <w:ind w:left="792" w:hanging="288"/>
      </w:pPr>
      <w:r>
        <w:rPr/>
        <w:t xml:space="preserve">On the golden gap of </w:t>
      </w:r>
      <w:r>
        <w:rPr>
          <w:b/>
        </w:rPr>
        <w:t>¥360,000</w:t>
      </w:r>
      <w:r>
        <w:rPr/>
        <w:t xml:space="preserve"> before day 32, it selects the credit line (¥150,000, interest </w:t>
      </w:r>
      <w:r>
        <w:rPr>
          <w:b/>
        </w:rPr>
        <w:t>¥841.64</w:t>
      </w:r>
      <w:r>
        <w:rPr/>
        <w:t xml:space="preserve">) plus invoice financing (¥210,000, </w:t>
      </w:r>
      <w:r>
        <w:rPr>
          <w:b/>
        </w:rPr>
        <w:t>¥1,871.30</w:t>
      </w:r>
      <w:r>
        <w:rPr/>
        <w:t xml:space="preserve">): </w:t>
      </w:r>
      <w:r>
        <w:rPr>
          <w:b/>
        </w:rPr>
        <w:t>¥2,712.94</w:t>
      </w:r>
      <w:r>
        <w:rPr/>
        <w:t xml:space="preserve"> in total. Taking the buyer's 1.2% discount would cost </w:t>
      </w:r>
      <w:r>
        <w:rPr>
          <w:b/>
        </w:rPr>
        <w:t>¥5,040.00</w:t>
      </w:r>
      <w:r>
        <w:rPr/>
        <w:t xml:space="preserve">, and the v1 optimum (line plus partial early pay) </w:t>
      </w:r>
      <w:r>
        <w:rPr>
          <w:b/>
        </w:rPr>
        <w:t>¥3,392.25</w:t>
      </w:r>
      <w:r>
        <w:rPr/>
        <w:t>. The guaranteed loan is inadmissible because it is not committed and lands on day 21, after payroll on day 12.</w:t>
      </w:r>
    </w:p>
    <w:p>
      <w:pPr>
        <w:pStyle w:val="ListBullet2"/>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 </w:t>
      </w:r>
      <w:r>
        <w:rPr>
          <w:b/>
        </w:rPr>
        <w:t>0.88%</w:t>
      </w:r>
      <w:r>
        <w:rPr/>
        <w:t>.</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ind w:left="792" w:hanging="288"/>
      </w:pPr>
      <w:r>
        <w:rPr>
          <w:rFonts w:ascii="Courier New" w:hAnsi="Courier New"/>
          <w:sz w:val="18"/>
        </w:rPr>
        <w:t>DSCR = monthly EBITDA / monthly debt service</w:t>
      </w:r>
      <w:r>
        <w:rPr/>
        <w:t>. Debt service is existing service plus interest and fees on facilities that count, plus scheduled amortisation.</w:t>
      </w:r>
    </w:p>
    <w:p>
      <w:pPr>
        <w:pStyle w:val="ListBullet2"/>
        <w:ind w:left="792" w:hanging="288"/>
      </w:pPr>
      <w:r>
        <w:rPr>
          <w:rFonts w:ascii="Courier New" w:hAnsi="Courier New"/>
          <w:sz w:val="18"/>
        </w:rPr>
        <w:t>Leverage = total debt / (12 × monthly EBITDA)</w:t>
      </w:r>
      <w:r>
        <w:rPr/>
        <w:t>.</w:t>
      </w:r>
    </w:p>
    <w:p>
      <w:pPr>
        <w:pStyle w:val="ListBullet2"/>
        <w:ind w:left="792" w:hanging="288"/>
      </w:pPr>
      <w:r>
        <w:rPr>
          <w:b/>
        </w:rPr>
        <w:t>Clean-down:</w:t>
      </w:r>
      <w:r>
        <w:rPr/>
        <w:t xml:space="preserve"> the longest run of consecutive zero-balance days on a credit line must reach the facility's clean-down length.</w:t>
      </w:r>
    </w:p>
    <w:p>
      <w:pPr>
        <w:pStyle w:val="ListBullet2"/>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360"/>
      </w:pPr>
      <w:r>
        <w:t>1.</w:t>
        <w:tab/>
      </w:r>
      <w:r>
        <w:rPr/>
        <w:t>Offer status: conflicting sources or abstention give NO_VERDICT.</w:t>
      </w:r>
    </w:p>
    <w:p>
      <w:pPr>
        <w:ind w:left="720" w:hanging="360"/>
      </w:pPr>
      <w:r>
        <w:t>2.</w:t>
        <w:tab/>
      </w:r>
      <w:r>
        <w:rPr/>
        <w:t xml:space="preserve">Security screen,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360"/>
      </w:pPr>
      <w:r>
        <w:t>3.</w:t>
        <w:tab/>
      </w:r>
      <w:r>
        <w:rPr/>
        <w:t>Mandate validity: signature, version, expiry and revocation.</w:t>
      </w:r>
    </w:p>
    <w:p>
      <w:pPr>
        <w:ind w:left="720" w:hanging="360"/>
      </w:pPr>
      <w:r>
        <w:t>4.</w:t>
        <w:tab/>
      </w:r>
      <w:r>
        <w:rPr/>
        <w:t>Conservative projection, the router plan and the marginal cost.</w:t>
      </w:r>
    </w:p>
    <w:p>
      <w:pPr>
        <w:ind w:left="720" w:hanging="360"/>
      </w:pPr>
      <w:r>
        <w:t>5.</w:t>
        <w:tab/>
      </w:r>
      <w:r>
        <w:rPr/>
        <w:t>Predicates: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w:t>
      </w:r>
    </w:p>
    <w:p>
      <w:pPr>
        <w:ind w:left="720" w:hanging="360"/>
      </w:pPr>
      <w:r>
        <w:t>6.</w:t>
        <w:tab/>
      </w:r>
      <w:r>
        <w:rPr/>
        <w:t>Outcome: Tier 3 or an unknown counterparty gives REJECT; any hard violation gives REJECT with counters; a Tier-2 need gives NEEDS_OWNER_APPROVAL; otherwise ACCEPT.</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a recurring terms extension (¥207,123.29 of extra receivables) and a contingent rebate of up to ¥4,000. The forward-concession ledger is </w:t>
      </w:r>
      <w:r>
        <w:rPr>
          <w:b/>
        </w:rPr>
        <w:t>¥26,455.62</w:t>
      </w:r>
      <w:r>
        <w:rPr/>
        <w:t xml:space="preserve"> against the </w:t>
      </w:r>
      <w:r>
        <w:rPr>
          <w:b/>
        </w:rPr>
        <w:t>¥5,000</w:t>
      </w:r>
      <w:r>
        <w:rPr/>
        <w:t xml:space="preserve"> cap, so the verdict is </w:t>
      </w:r>
      <w:r>
        <w:rPr>
          <w:b/>
        </w:rPr>
        <w:t>REJECT: AGG_CONCESSION_EXCEEDED; RESERVE_BREACH@47 (curable)</w:t>
      </w:r>
      <w:r>
        <w:rPr/>
        <w:t>.</w:t>
      </w:r>
    </w:p>
    <w:p>
      <w:r>
        <w:rPr>
          <w:b/>
        </w:rPr>
        <w:t>5. Counters from the marginal cost (</w:t>
      </w:r>
      <w:r>
        <w:rPr>
          <w:rFonts w:ascii="Courier New" w:hAnsi="Courier New"/>
          <w:b/>
          <w:sz w:val="18"/>
        </w:rPr>
        <w:t>verifier/counters.py</w:t>
      </w:r>
      <w:r>
        <w:rPr>
          <w:b/>
        </w:rPr>
        <w:t>).</w:t>
      </w:r>
    </w:p>
    <w:p>
      <w:pPr>
        <w:pStyle w:val="ListBullet2"/>
        <w:ind w:left="792" w:hanging="288"/>
      </w:pPr>
      <w:r>
        <w:rPr>
          <w:b/>
        </w:rPr>
        <w:t>Option A (early pay):</w:t>
      </w:r>
      <w:r>
        <w:rPr/>
        <w:t xml:space="preserve"> keep 45-day terms and no rebate; accept early settlement on up to </w:t>
      </w:r>
      <w:r>
        <w:rPr>
          <w:b/>
        </w:rPr>
        <w:t>¥211,800</w:t>
      </w:r>
      <w:r>
        <w:rPr/>
        <w:t xml:space="preserve"> of face at the largest whole-5 bp rate below break-even, </w:t>
      </w:r>
      <w:r>
        <w:rPr>
          <w:b/>
        </w:rPr>
        <w:t>0.85%</w:t>
      </w:r>
      <w:r>
        <w:rPr/>
        <w:t xml:space="preserve">. The supplier's cost is the discount of </w:t>
      </w:r>
      <w:r>
        <w:rPr>
          <w:b/>
        </w:rPr>
        <w:t>¥1,800.30</w:t>
      </w:r>
      <w:r>
        <w:rPr/>
        <w:t xml:space="preserve"> plus line interest of </w:t>
      </w:r>
      <w:r>
        <w:rPr>
          <w:b/>
        </w:rPr>
        <w:t>¥841.64</w:t>
      </w:r>
      <w:r>
        <w:rPr/>
        <w:t xml:space="preserve">: </w:t>
      </w:r>
      <w:r>
        <w:rPr>
          <w:b/>
        </w:rPr>
        <w:t>¥2,641.94</w:t>
      </w:r>
      <w:r>
        <w:rPr/>
        <w:t>.</w:t>
      </w:r>
    </w:p>
    <w:p>
      <w:pPr>
        <w:pStyle w:val="ListBullet2"/>
        <w:ind w:left="792" w:hanging="288"/>
      </w:pPr>
      <w:r>
        <w:rPr>
          <w:b/>
        </w:rPr>
        <w:t>Option B (price adjustment):</w:t>
      </w:r>
      <w:r>
        <w:rPr/>
        <w:t xml:space="preserve"> accept the 60-day terms with the smallest whole-5 bp price adjustment whose per-invoice amount covers the per-invoice funding cost: </w:t>
      </w:r>
      <w:r>
        <w:rPr>
          <w:b/>
        </w:rPr>
        <w:t>0.45%</w:t>
      </w:r>
      <w:r>
        <w:rPr/>
        <w:t xml:space="preserve">, </w:t>
      </w:r>
      <w:r>
        <w:rPr>
          <w:b/>
        </w:rPr>
        <w:t>¥1,890</w:t>
      </w:r>
      <w:r>
        <w:rPr/>
        <w:t xml:space="preserve"> per invoice against ¥1,871.30.</w:t>
      </w:r>
    </w:p>
    <w:p>
      <w:pPr>
        <w:pStyle w:val="ListBullet2"/>
        <w:ind w:left="792" w:hanging="288"/>
      </w:pPr>
      <w:r>
        <w:rPr/>
        <w:t>Bounded-extension and rebate-within-headroom counters are generated the same way.</w:t>
      </w:r>
    </w:p>
    <w:p>
      <w:pPr>
        <w:pStyle w:val="ListBullet2"/>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never the supplier's cost or rationale. In Scene 1 it accepts Option A. In Scene 2 a different reservation refuses every counter within </w:t>
      </w:r>
      <w:r>
        <w:rPr>
          <w:b/>
        </w:rPr>
        <w:t>3</w:t>
      </w:r>
      <w:r>
        <w:rPr/>
        <w:t xml:space="preserve"> rounds, giving NO DEAL; the router then funds the gap with the line plus invoice financing for ¥2,712.94.</w:t>
      </w:r>
    </w:p>
    <w:p>
      <w:r>
        <w:rPr>
          <w:b/>
        </w:rPr>
        <w:t>7. Capex mode (</w:t>
      </w:r>
      <w:r>
        <w:rPr>
          <w:rFonts w:ascii="Courier New" w:hAnsi="Courier New"/>
          <w:b/>
          <w:sz w:val="18"/>
        </w:rPr>
        <w:t>capex/</w:t>
      </w:r>
      <w:r>
        <w:rPr>
          <w:b/>
        </w:rPr>
        <w:t>).</w:t>
      </w:r>
      <w:r>
        <w:rPr/>
        <w:t xml:space="preserve"> For the synthetic ¥600,000 machine: NPV </w:t>
      </w:r>
      <w:r>
        <w:rPr>
          <w:b/>
        </w:rPr>
        <w:t>¥380,885.77</w:t>
      </w:r>
      <w:r>
        <w:rPr/>
        <w:t xml:space="preserve">, payback in month </w:t>
      </w:r>
      <w:r>
        <w:rPr>
          <w:b/>
        </w:rPr>
        <w:t>31</w:t>
      </w:r>
      <w:r>
        <w:rPr/>
        <w:t>. The 18-month loan (</w:t>
      </w:r>
      <w:r>
        <w:rPr>
          <w:b/>
        </w:rPr>
        <w:t>¥34,830.60</w:t>
      </w:r>
      <w:r>
        <w:rPr/>
        <w:t xml:space="preserve"> a month) fails DSCR. The </w:t>
      </w:r>
      <w:r>
        <w:rPr>
          <w:b/>
        </w:rPr>
        <w:t>36-month loan (¥18,144.62 a month, interest ¥53,206.14) is selected</w:t>
      </w:r>
      <w:r>
        <w:rPr/>
        <w:t xml:space="preserve">. The 48-month lease costs </w:t>
      </w:r>
      <w:r>
        <w:rPr>
          <w:b/>
        </w:rPr>
        <w:t>¥39,121.18</w:t>
      </w:r>
      <w:r>
        <w:rPr/>
        <w:t xml:space="preserve"> more in interest. Leverage is </w:t>
      </w:r>
      <w:r>
        <w:rPr>
          <w:b/>
        </w:rPr>
        <w:t>2.08×</w:t>
      </w:r>
      <w:r>
        <w:rPr/>
        <w:t xml:space="preserve">, or </w:t>
      </w:r>
      <w:r>
        <w:rPr>
          <w:b/>
        </w:rPr>
        <w:t>2.28×</w:t>
      </w:r>
      <w:r>
        <w:rPr/>
        <w:t xml:space="preserve"> with the extension also funded. The loan is Tier 2, so the application and borrower file are queued for the owner.</w:t>
      </w:r>
    </w:p>
    <w:p>
      <w:r>
        <w:rPr>
          <w:b/>
        </w:rPr>
        <w:t>Evaluation approach.</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What is tested</w:t>
            </w:r>
          </w:p>
        </w:tc>
        <w:tc>
          <w:tcPr>
            <w:tcW w:type="dxa" w:w="3293"/>
            <w:shd w:val="clear" w:color="auto" w:fill="E8EEFB"/>
          </w:tcPr>
          <w:p>
            <w:r>
              <w:rPr>
                <w:b/>
                <w:sz w:val="18"/>
              </w:rPr>
              <w:t>How</w:t>
            </w:r>
          </w:p>
        </w:tc>
        <w:tc>
          <w:tcPr>
            <w:tcW w:type="dxa" w:w="3293"/>
            <w:shd w:val="clear" w:color="auto" w:fill="E8EEFB"/>
          </w:tcPr>
          <w:p>
            <w:r>
              <w:rPr>
                <w:b/>
                <w:sz w:val="18"/>
              </w:rPr>
              <w:t>Current result</w:t>
            </w:r>
          </w:p>
        </w:tc>
      </w:tr>
      <w:tr>
        <w:tc>
          <w:tcPr>
            <w:tcW w:type="dxa" w:w="3293"/>
          </w:tcPr>
          <w:p>
            <w:r>
              <w:rPr>
                <w:sz w:val="18"/>
              </w:rPr>
              <w:t>Engine, router, covenants and capex exactness</w:t>
            </w:r>
          </w:p>
        </w:tc>
        <w:tc>
          <w:tcPr>
            <w:tcW w:type="dxa" w:w="3293"/>
          </w:tcPr>
          <w:p>
            <w:r>
              <w:rPr>
                <w:sz w:val="18"/>
              </w:rPr>
              <w:t>An independent oracle (</w:t>
            </w:r>
            <w:r>
              <w:rPr>
                <w:rFonts w:ascii="Courier New" w:hAnsi="Courier New"/>
                <w:sz w:val="18"/>
              </w:rPr>
              <w:t>fixtures/golden/compute_golden.py</w:t>
            </w:r>
            <w:r>
              <w:rPr>
                <w:sz w:val="18"/>
              </w:rPr>
              <w:t xml:space="preserve">, written separately from the engine) produces </w:t>
            </w:r>
            <w:r>
              <w:rPr>
                <w:rFonts w:ascii="Courier New" w:hAnsi="Courier New"/>
                <w:sz w:val="18"/>
              </w:rPr>
              <w:t>golden_values.json</w:t>
            </w:r>
            <w:r>
              <w:rPr>
                <w:sz w:val="18"/>
              </w:rPr>
              <w:t>; the engine, router, verifier and capex tests assert every value to the fen</w:t>
            </w:r>
          </w:p>
        </w:tc>
        <w:tc>
          <w:tcPr>
            <w:tcW w:type="dxa" w:w="3293"/>
          </w:tcPr>
          <w:p>
            <w:r>
              <w:rPr>
                <w:sz w:val="18"/>
              </w:rPr>
              <w:t>All golden values reproduced (see 05 for the test run)</w:t>
            </w:r>
          </w:p>
        </w:tc>
      </w:tr>
      <w:tr>
        <w:tc>
          <w:tcPr>
            <w:tcW w:type="dxa" w:w="3293"/>
          </w:tcPr>
          <w:p>
            <w:r>
              <w:rPr>
                <w:sz w:val="18"/>
              </w:rPr>
              <w:t>Worked examples</w:t>
            </w:r>
          </w:p>
        </w:tc>
        <w:tc>
          <w:tcPr>
            <w:tcW w:type="dxa" w:w="3293"/>
          </w:tcPr>
          <w:p>
            <w:r>
              <w:rPr>
                <w:sz w:val="18"/>
              </w:rPr>
              <w:t>The 12 examples of spec v2 §8, plus EX01B, as verdict tests</w:t>
            </w:r>
          </w:p>
        </w:tc>
        <w:tc>
          <w:tcPr>
            <w:tcW w:type="dxa" w:w="3293"/>
          </w:tcPr>
          <w:p>
            <w:r>
              <w:rPr>
                <w:sz w:val="18"/>
              </w:rPr>
              <w:t xml:space="preserve">Every </w:t>
            </w:r>
            <w:r>
              <w:rPr>
                <w:rFonts w:ascii="Courier New" w:hAnsi="Courier New"/>
                <w:sz w:val="18"/>
              </w:rPr>
              <w:t>offers.yaml</w:t>
            </w:r>
            <w:r>
              <w:rPr>
                <w:sz w:val="18"/>
              </w:rPr>
              <w:t xml:space="preserve"> verdict reproduces</w:t>
            </w:r>
          </w:p>
        </w:tc>
      </w:tr>
      <w:tr>
        <w:tc>
          <w:tcPr>
            <w:tcW w:type="dxa" w:w="3293"/>
          </w:tcPr>
          <w:p>
            <w:r>
              <w:rPr>
                <w:sz w:val="18"/>
              </w:rPr>
              <w:t>Wording invariance</w:t>
            </w:r>
          </w:p>
        </w:tc>
        <w:tc>
          <w:tcPr>
            <w:tcW w:type="dxa" w:w="3293"/>
          </w:tcPr>
          <w:p>
            <w:r>
              <w:rPr>
                <w:sz w:val="18"/>
              </w:rPr>
              <w:t xml:space="preserve">EX01B, the same economics in other words, must give the same verdict; paraphrase tests in </w:t>
            </w:r>
            <w:r>
              <w:rPr>
                <w:rFonts w:ascii="Courier New" w:hAnsi="Courier New"/>
                <w:sz w:val="18"/>
              </w:rPr>
              <w:t>tests/compiler</w:t>
            </w:r>
          </w:p>
        </w:tc>
        <w:tc>
          <w:tcPr>
            <w:tcW w:type="dxa" w:w="3293"/>
          </w:tcPr>
          <w:p>
            <w:r>
              <w:rPr>
                <w:sz w:val="18"/>
              </w:rPr>
              <w:t>Same verdict (scripted task S03)</w:t>
            </w:r>
          </w:p>
        </w:tc>
      </w:tr>
      <w:tr>
        <w:tc>
          <w:tcPr>
            <w:tcW w:type="dxa" w:w="3293"/>
          </w:tcPr>
          <w:p>
            <w:r>
              <w:rPr>
                <w:sz w:val="18"/>
              </w:rPr>
              <w:t>Router versus a naive baseline</w:t>
            </w:r>
          </w:p>
        </w:tc>
        <w:tc>
          <w:tcPr>
            <w:tcW w:type="dxa" w:w="3293"/>
          </w:tcPr>
          <w:p>
            <w:r>
              <w:rPr>
                <w:sz w:val="18"/>
              </w:rPr>
              <w:t>6 designed cases against "draw the line first, then the cheapest next source" (</w:t>
            </w:r>
            <w:r>
              <w:rPr>
                <w:rFonts w:ascii="Courier New" w:hAnsi="Courier New"/>
                <w:sz w:val="18"/>
              </w:rPr>
              <w:t>tests/funding/test_designed.py</w:t>
            </w:r>
            <w:r>
              <w:rPr>
                <w:sz w:val="18"/>
              </w:rPr>
              <w:t>)</w:t>
            </w:r>
          </w:p>
        </w:tc>
        <w:tc>
          <w:tcPr>
            <w:tcW w:type="dxa" w:w="3293"/>
          </w:tcPr>
          <w:p>
            <w:r>
              <w:rPr>
                <w:sz w:val="18"/>
              </w:rPr>
              <w:t>The router is cheaper in 3 and admissible where the baseline is not in 3</w:t>
            </w:r>
          </w:p>
        </w:tc>
      </w:tr>
      <w:tr>
        <w:tc>
          <w:tcPr>
            <w:tcW w:type="dxa" w:w="3293"/>
          </w:tcPr>
          <w:p>
            <w:r>
              <w:rPr>
                <w:sz w:val="18"/>
              </w:rPr>
              <w:t>Task completion</w:t>
            </w:r>
          </w:p>
        </w:tc>
        <w:tc>
          <w:tcPr>
            <w:tcW w:type="dxa" w:w="3293"/>
          </w:tcPr>
          <w:p>
            <w:r>
              <w:rPr>
                <w:sz w:val="18"/>
              </w:rPr>
              <w:t xml:space="preserve">37 scripted </w:t>
            </w:r>
            <w:r>
              <w:rPr>
                <w:rFonts w:ascii="Courier New" w:hAnsi="Courier New"/>
                <w:sz w:val="18"/>
              </w:rPr>
              <w:t>/nl</w:t>
            </w:r>
            <w:r>
              <w:rPr>
                <w:sz w:val="18"/>
              </w:rPr>
              <w:t xml:space="preserve"> tasks (</w:t>
            </w:r>
            <w:r>
              <w:rPr>
                <w:rFonts w:ascii="Courier New" w:hAnsi="Courier New"/>
                <w:sz w:val="18"/>
              </w:rPr>
              <w:t>scripts/run_scenarios.py</w:t>
            </w:r>
            <w:r>
              <w:rPr>
                <w:sz w:val="18"/>
              </w:rPr>
              <w:t>), each from a fresh reset, checking intent, verdict, codes and operation kinds and statuses</w:t>
            </w:r>
          </w:p>
        </w:tc>
        <w:tc>
          <w:tcPr>
            <w:tcW w:type="dxa" w:w="3293"/>
          </w:tcPr>
          <w:p>
            <w:r>
              <w:rPr>
                <w:b/>
                <w:sz w:val="18"/>
              </w:rPr>
              <w:t>37/37 passed</w:t>
            </w:r>
            <w:r>
              <w:rPr>
                <w:sz w:val="18"/>
              </w:rPr>
              <w:t xml:space="preserve"> (see the Execution Evidence document)</w:t>
            </w:r>
          </w:p>
        </w:tc>
      </w:tr>
      <w:tr>
        <w:tc>
          <w:tcPr>
            <w:tcW w:type="dxa" w:w="3293"/>
          </w:tcPr>
          <w:p>
            <w:r>
              <w:rPr>
                <w:sz w:val="18"/>
              </w:rPr>
              <w:t>Security</w:t>
            </w:r>
          </w:p>
        </w:tc>
        <w:tc>
          <w:tcPr>
            <w:tcW w:type="dxa" w:w="3293"/>
          </w:tcPr>
          <w:p>
            <w:r>
              <w:rPr>
                <w:sz w:val="18"/>
              </w:rPr>
              <w:t>122 attacks run end to end through the real API, plus two hypothesis fuzzers</w:t>
            </w:r>
          </w:p>
        </w:tc>
        <w:tc>
          <w:tcPr>
            <w:tcW w:type="dxa" w:w="3293"/>
          </w:tcPr>
          <w:p>
            <w:r>
              <w:rPr>
                <w:sz w:val="18"/>
              </w:rPr>
              <w:t>0 harm on the 118 catalogue attacks; 4 documented findings (see 04)</w:t>
            </w:r>
          </w:p>
        </w:tc>
      </w:tr>
      <w:tr>
        <w:tc>
          <w:tcPr>
            <w:tcW w:type="dxa" w:w="3293"/>
          </w:tcPr>
          <w:p>
            <w:r>
              <w:rPr>
                <w:sz w:val="18"/>
              </w:rPr>
              <w:t>Boundaries and money invariants</w:t>
            </w:r>
          </w:p>
        </w:tc>
        <w:tc>
          <w:tcPr>
            <w:tcW w:type="dxa" w:w="3293"/>
          </w:tcPr>
          <w:p>
            <w:r>
              <w:rPr>
                <w:sz w:val="18"/>
              </w:rPr>
              <w:t>Boundary tests at every cap and floor, and at cap ± 1 fen; hypothesis property tests on money, the trajectory, operations, commitments and the egress guard</w:t>
            </w:r>
          </w:p>
        </w:tc>
        <w:tc>
          <w:tcPr>
            <w:tcW w:type="dxa" w:w="3293"/>
          </w:tcPr>
          <w:p>
            <w:r>
              <w:rPr>
                <w:sz w:val="18"/>
              </w:rPr>
              <w:t>Included in the test run in 05</w:t>
            </w:r>
          </w:p>
        </w:tc>
      </w:tr>
    </w:tbl>
    <w:p>
      <w:pPr>
        <w:spacing w:after="40"/>
      </w:pPr>
    </w:p>
    <w:p>
      <w:r>
        <w:rPr/>
        <w:t xml:space="preserve">The full validation gate of spec v2 §14 has </w:t>
      </w:r>
      <w:r>
        <w:rPr>
          <w:b/>
        </w:rPr>
        <w:t>not</w:t>
      </w:r>
      <w:r>
        <w:rPr/>
        <w:t xml:space="preserve"> been run yet in its held-out form. That covers E2 (20 held-out offers by non-builders against a form and a bare LLM), E9 (20 held-out router scenarios against the line-first baseline), E5 and E8. We do not claim results for them. [TEAM: run E2 and E9 and record the results here before submission, or leave this sentence as it is.]</w:t>
      </w:r>
    </w:p>
    <w:p>
      <w:pPr>
        <w:pStyle w:val="Heading1"/>
      </w:pPr>
      <w:r>
        <w:t>04 Security Design</w:t>
      </w:r>
    </w:p>
    <w:p>
      <w:pPr>
        <w:pStyle w:val="ListBullet"/>
        <w:spacing w:after="100"/>
      </w:pPr>
      <w:r>
        <w:t>Tiered permissions and confirmation for sensitive actions</w:t>
      </w:r>
    </w:p>
    <w:p>
      <w:r>
        <w:rPr>
          <w:b/>
        </w:rPr>
        <w:t>Who can act.</w:t>
      </w:r>
    </w:p>
    <w:p>
      <w:pPr>
        <w:pStyle w:val="ListBullet2"/>
        <w:ind w:left="792" w:hanging="288"/>
      </w:pPr>
      <w:r>
        <w:rPr/>
        <w:t xml:space="preserve">The </w:t>
      </w:r>
      <w:r>
        <w:rPr>
          <w:b/>
        </w:rPr>
        <w:t>owner</w:t>
      </w:r>
      <w:r>
        <w:rPr/>
        <w:t xml:space="preserve"> is recognised only by the </w:t>
      </w:r>
      <w:r>
        <w:rPr>
          <w:rFonts w:ascii="Courier New" w:hAnsi="Courier New"/>
          <w:sz w:val="18"/>
        </w:rPr>
        <w:t>X-Owner-Token</w:t>
      </w:r>
      <w:r>
        <w:rPr/>
        <w:t xml:space="preserve"> header, compared in constant time.</w:t>
      </w:r>
    </w:p>
    <w:p>
      <w:pPr>
        <w:pStyle w:val="ListBullet2"/>
        <w:ind w:left="792" w:hanging="288"/>
      </w:pPr>
      <w:r>
        <w:rPr/>
        <w:t xml:space="preserve">The agent's own tool channel is recognised by the </w:t>
      </w:r>
      <w:r>
        <w:rPr>
          <w:rFonts w:ascii="Courier New" w:hAnsi="Courier New"/>
          <w:sz w:val="18"/>
        </w:rPr>
        <w:t>X-Agent-Key</w:t>
      </w:r>
      <w:r>
        <w:rPr/>
        <w:t xml:space="preserve"> header.</w:t>
      </w:r>
    </w:p>
    <w:p>
      <w:pPr>
        <w:pStyle w:val="ListBullet2"/>
        <w:ind w:left="792" w:hanging="288"/>
      </w:pPr>
      <w:r>
        <w:rPr/>
        <w:t xml:space="preserve">A body field such as </w:t>
      </w:r>
      <w:r>
        <w:rPr>
          <w:rFonts w:ascii="Courier New" w:hAnsi="Courier New"/>
          <w:sz w:val="18"/>
        </w:rPr>
        <w:t>requested_by: OWNER</w:t>
      </w:r>
      <w:r>
        <w:rPr/>
        <w:t xml:space="preserve"> confers nothing: it is downgraded before parsing.</w:t>
      </w:r>
    </w:p>
    <w:p>
      <w:pPr>
        <w:pStyle w:val="ListBullet2"/>
        <w:ind w:left="792" w:hanging="288"/>
      </w:pPr>
      <w:r>
        <w:rPr/>
        <w:t xml:space="preserve">Counterparties can only submit documents or talk on </w:t>
      </w:r>
      <w:r>
        <w:rPr>
          <w:rFonts w:ascii="Courier New" w:hAnsi="Courier New"/>
          <w:sz w:val="18"/>
        </w:rPr>
        <w:t>/nl</w:t>
      </w:r>
      <w:r>
        <w:rPr/>
        <w:t xml:space="preserve"> as COUNTERPARTY, which compiles and verifies but never executes.</w:t>
      </w:r>
    </w:p>
    <w:p>
      <w:pPr>
        <w:pStyle w:val="ListBullet2"/>
        <w:ind w:left="792" w:hanging="288"/>
      </w:pPr>
      <w:r>
        <w:rPr/>
        <w:t>Outside demo mode (</w:t>
      </w:r>
      <w:r>
        <w:rPr>
          <w:rFonts w:ascii="Courier New" w:hAnsi="Courier New"/>
          <w:sz w:val="18"/>
        </w:rPr>
        <w:t>DEMO_MODE=0</w:t>
      </w:r>
      <w:r>
        <w:rPr/>
        <w:t xml:space="preserve">), the owner and agent routes fail closed (HTTP 503) until real credentials are set, and every refused credential is logged as a </w:t>
      </w:r>
      <w:r>
        <w:rPr>
          <w:rFonts w:ascii="Courier New" w:hAnsi="Courier New"/>
          <w:sz w:val="18"/>
        </w:rPr>
        <w:t>PRIVILEGE_ESCALATION</w:t>
      </w:r>
      <w:r>
        <w:rPr/>
        <w:t xml:space="preserve"> security event.</w:t>
      </w:r>
    </w:p>
    <w:p>
      <w:r>
        <w:rPr>
          <w:b/>
        </w:rPr>
        <w:t>Three tiers, computed by the executor</w:t>
      </w:r>
      <w:r>
        <w:rPr/>
        <w:t xml:space="preserve"> (</w:t>
      </w:r>
      <w:r>
        <w:rPr>
          <w:rFonts w:ascii="Courier New" w:hAnsi="Courier New"/>
          <w:sz w:val="18"/>
        </w:rPr>
        <w:t>app/mandate/tiers.py</w:t>
      </w:r>
      <w:r>
        <w:rPr/>
        <w:t>).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Accept, counter or reject a verified offer; record a commitment; draw on or repay a COMMITTED, owner-approved facility within its limit; submit an eligible invoice to the onboarded financing facility; receive a payment</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sz w:val="18"/>
              </w:rPr>
              <w:t>Apply for a facility; generate the borrower file; accept a commitment that changes payment terms; any single commitment above ¥100,000; draw on any facility that is not COMMITTED and owner-approved; an owner-originated AddFacility</w:t>
            </w:r>
          </w:p>
        </w:tc>
        <w:tc>
          <w:tcPr>
            <w:tcW w:type="dxa" w:w="3293"/>
          </w:tcPr>
          <w:p>
            <w:r>
              <w:rPr>
                <w:sz w:val="18"/>
              </w:rPr>
              <w:t>PENDING_APPROVAL, queued with a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360"/>
      </w:pPr>
      <w:r>
        <w:t>1.</w:t>
        <w:tab/>
      </w:r>
      <w:r>
        <w:rPr/>
        <w:t>idempotency key (</w:t>
      </w:r>
      <w:r>
        <w:rPr>
          <w:rFonts w:ascii="Courier New" w:hAnsi="Courier New"/>
          <w:sz w:val="18"/>
        </w:rPr>
        <w:t>DUPLICATE</w:t>
      </w:r>
      <w:r>
        <w:rPr/>
        <w:t>);</w:t>
      </w:r>
    </w:p>
    <w:p>
      <w:pPr>
        <w:ind w:left="720" w:hanging="360"/>
      </w:pPr>
      <w:r>
        <w:t>2.</w:t>
        <w:tab/>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360"/>
      </w:pPr>
      <w:r>
        <w:t>3.</w:t>
        <w:tab/>
      </w:r>
      <w:r>
        <w:rPr/>
        <w:t>mandate signature, pinned key, expiry, revocation and version;</w:t>
      </w:r>
    </w:p>
    <w:p>
      <w:pPr>
        <w:ind w:left="720" w:hanging="360"/>
      </w:pPr>
      <w:r>
        <w:t>4.</w:t>
        <w:tab/>
      </w:r>
      <w:r>
        <w:rPr/>
        <w:t>Tier 3;</w:t>
      </w:r>
    </w:p>
    <w:p>
      <w:pPr>
        <w:ind w:left="720" w:hanging="360"/>
      </w:pPr>
      <w:r>
        <w:t>5.</w:t>
        <w:tab/>
      </w:r>
      <w:r>
        <w:rPr/>
        <w:t>counterparty circuit breaker (three refusals in seven days; only the owner can reset it);</w:t>
      </w:r>
    </w:p>
    <w:p>
      <w:pPr>
        <w:ind w:left="720" w:hanging="360"/>
      </w:pPr>
      <w:r>
        <w:t>6.</w:t>
        <w:tab/>
      </w:r>
      <w:r>
        <w:rPr/>
        <w:t>for acceptances, the commitment must exist and be unrevoked, the nonce must be single-use and match, the commitment must not be expired, the terms hash and mandate version must match, and a verifier verdict must back the terms;</w:t>
      </w:r>
    </w:p>
    <w:p>
      <w:pPr>
        <w:ind w:left="720" w:hanging="360"/>
      </w:pPr>
      <w:r>
        <w:t>7.</w:t>
        <w:tab/>
      </w:r>
      <w:r>
        <w:rPr/>
        <w:t>Tier 2 queue;</w:t>
      </w:r>
    </w:p>
    <w:p>
      <w:pPr>
        <w:ind w:left="720" w:hanging="360"/>
      </w:pPr>
      <w:r>
        <w:t>8.</w:t>
        <w:tab/>
      </w:r>
      <w:r>
        <w:rPr/>
        <w:t>per-kind preconditions.</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through its lifecycle, decline a queued request, or revoke the mandate. A refused or pending operation leaves state unchanged; the attack suite checks this. A typed owner-only </w:t>
      </w:r>
      <w:r>
        <w:rPr>
          <w:rFonts w:ascii="Courier New" w:hAnsi="Courier New"/>
          <w:sz w:val="18"/>
        </w:rPr>
        <w:t>RevokeCommitment</w:t>
      </w:r>
      <w:r>
        <w:rPr/>
        <w:t xml:space="preserve"> operation is not built yet (R-6).</w:t>
      </w:r>
    </w:p>
    <w:p>
      <w:pPr>
        <w:pStyle w:val="ListBullet"/>
        <w:spacing w:after="100"/>
      </w:pPr>
      <w:r>
        <w:t>Protection against prompt injection, privilege escalation and privacy leakage</w:t>
      </w:r>
    </w:p>
    <w:p>
      <w:r>
        <w:rPr>
          <w:b/>
        </w:rPr>
        <w:t>Prompt injection: architecture first, detection second.</w:t>
      </w:r>
    </w:p>
    <w:p>
      <w:pPr>
        <w:pStyle w:val="ListBullet2"/>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ind w:left="792" w:hanging="288"/>
      </w:pPr>
      <w:r>
        <w:rPr/>
        <w:t>The rules grammar flags override attempts, fake SYSTEM lines, role-play, encoded text and authority claims in both languages. Detection is logged, but refusal does not depend on it.</w:t>
      </w:r>
    </w:p>
    <w:p>
      <w:pPr>
        <w:pStyle w:val="ListBullet2"/>
        <w:ind w:left="792" w:hanging="288"/>
      </w:pPr>
      <w:r>
        <w:rPr/>
        <w:t>If a model backend fails, times out or returns invalid JSON, the deterministic rules grammar takes over.</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ind w:left="792" w:hanging="288"/>
      </w:pPr>
      <w:r>
        <w:rPr/>
        <w:t>The compiler never sees the mandate, state, funding menu or reservations.</w:t>
      </w:r>
    </w:p>
    <w:p>
      <w:pPr>
        <w:pStyle w:val="ListBullet2"/>
        <w:ind w:left="792" w:hanging="288"/>
      </w:pPr>
      <w:r>
        <w:rPr/>
        <w:t>Outbound text is template-filled from an allow-list. Data requests get one fixed reply that discloses nothing.</w:t>
      </w:r>
    </w:p>
    <w:p>
      <w:pPr>
        <w:pStyle w:val="ListBullet2"/>
        <w:ind w:left="792" w:hanging="288"/>
      </w:pPr>
      <w:r>
        <w:rPr/>
        <w:t>The deterministic egress guard scans every outbound text for protected values in their usual forms (¥, k, 万, Chinese numerals, percentages, ratios, company names and role aliases) and for four planted canaries. It blocks the whole message on a hit.</w:t>
      </w:r>
    </w:p>
    <w:p>
      <w:pPr>
        <w:pStyle w:val="ListBullet2"/>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ind w:left="792" w:hanging="288"/>
      </w:pPr>
      <w:r>
        <w:rPr/>
        <w:t>Cache mode sends nothing off the machine. In live mode only the inbound documents and the schema leave it.</w:t>
      </w:r>
    </w:p>
    <w:p>
      <w:r>
        <w:rPr>
          <w:b/>
        </w:rPr>
        <w:t>Measured results</w:t>
      </w:r>
      <w:r>
        <w:rPr/>
        <w:t xml:space="preserve"> (</w:t>
      </w:r>
      <w:r>
        <w:rPr>
          <w:rFonts w:ascii="Courier New" w:hAnsi="Courier New"/>
          <w:sz w:val="18"/>
        </w:rPr>
        <w:t>services/api/evals/security/latest_report.md</w:t>
      </w:r>
      <w:r>
        <w:rPr/>
        <w:t xml:space="preserve">; 122 attacks, </w:t>
      </w:r>
      <w:r>
        <w:rPr>
          <w:rFonts w:ascii="Courier New" w:hAnsi="Courier New"/>
          <w:sz w:val="18"/>
        </w:rPr>
        <w:t>LLM_MODE=cache</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Metric</w:t>
            </w:r>
          </w:p>
        </w:tc>
        <w:tc>
          <w:tcPr>
            <w:tcW w:type="dxa" w:w="3293"/>
            <w:shd w:val="clear" w:color="auto" w:fill="E8EEFB"/>
          </w:tcPr>
          <w:p>
            <w:r>
              <w:rPr>
                <w:b/>
                <w:sz w:val="18"/>
              </w:rPr>
              <w:t>Catalogue (118 attacks)</w:t>
            </w:r>
          </w:p>
        </w:tc>
        <w:tc>
          <w:tcPr>
            <w:tcW w:type="dxa" w:w="3293"/>
            <w:shd w:val="clear" w:color="auto" w:fill="E8EEFB"/>
          </w:tcPr>
          <w:p>
            <w:r>
              <w:rPr>
                <w:b/>
                <w:sz w:val="18"/>
              </w:rPr>
              <w:t>Documented findings (4 attacks)</w:t>
            </w:r>
          </w:p>
        </w:tc>
      </w:tr>
      <w:tr>
        <w:tc>
          <w:tcPr>
            <w:tcW w:type="dxa" w:w="3293"/>
          </w:tcPr>
          <w:p>
            <w:r>
              <w:rPr>
                <w:sz w:val="18"/>
              </w:rPr>
              <w:t>Unauthorised operations executed</w:t>
            </w:r>
          </w:p>
        </w:tc>
        <w:tc>
          <w:tcPr>
            <w:tcW w:type="dxa" w:w="3293"/>
          </w:tcPr>
          <w:p>
            <w:r>
              <w:rPr>
                <w:b/>
                <w:sz w:val="18"/>
              </w:rPr>
              <w:t>0</w:t>
            </w:r>
          </w:p>
        </w:tc>
        <w:tc>
          <w:tcPr>
            <w:tcW w:type="dxa" w:w="3293"/>
          </w:tcPr>
          <w:p>
            <w:r>
              <w:rPr>
                <w:sz w:val="18"/>
              </w:rPr>
              <w:t>4</w:t>
            </w:r>
          </w:p>
        </w:tc>
      </w:tr>
      <w:tr>
        <w:tc>
          <w:tcPr>
            <w:tcW w:type="dxa" w:w="3293"/>
          </w:tcPr>
          <w:p>
            <w:r>
              <w:rPr>
                <w:sz w:val="18"/>
              </w:rPr>
              <w:t>Facilities added by non-owners</w:t>
            </w:r>
          </w:p>
        </w:tc>
        <w:tc>
          <w:tcPr>
            <w:tcW w:type="dxa" w:w="3293"/>
          </w:tcPr>
          <w:p>
            <w:r>
              <w:rPr>
                <w:b/>
                <w:sz w:val="18"/>
              </w:rPr>
              <w:t>0</w:t>
            </w:r>
          </w:p>
        </w:tc>
        <w:tc>
          <w:tcPr>
            <w:tcW w:type="dxa" w:w="3293"/>
          </w:tcPr>
          <w:p>
            <w:r>
              <w:rPr>
                <w:sz w:val="18"/>
              </w:rPr>
              <w:t>0</w:t>
            </w:r>
          </w:p>
        </w:tc>
      </w:tr>
      <w:tr>
        <w:tc>
          <w:tcPr>
            <w:tcW w:type="dxa" w:w="3293"/>
          </w:tcPr>
          <w:p>
            <w:r>
              <w:rPr>
                <w:sz w:val="18"/>
              </w:rPr>
              <w:t>Concessions booked from unevidenced claims</w:t>
            </w:r>
          </w:p>
        </w:tc>
        <w:tc>
          <w:tcPr>
            <w:tcW w:type="dxa" w:w="3293"/>
          </w:tcPr>
          <w:p>
            <w:r>
              <w:rPr>
                <w:b/>
                <w:sz w:val="18"/>
              </w:rPr>
              <w:t>0</w:t>
            </w:r>
          </w:p>
        </w:tc>
        <w:tc>
          <w:tcPr>
            <w:tcW w:type="dxa" w:w="3293"/>
          </w:tcPr>
          <w:p>
            <w:r>
              <w:rPr>
                <w:sz w:val="18"/>
              </w:rPr>
              <w:t>0</w:t>
            </w:r>
          </w:p>
        </w:tc>
      </w:tr>
      <w:tr>
        <w:tc>
          <w:tcPr>
            <w:tcW w:type="dxa" w:w="3293"/>
          </w:tcPr>
          <w:p>
            <w:r>
              <w:rPr>
                <w:sz w:val="18"/>
              </w:rPr>
              <w:t>Money moved by attacks</w:t>
            </w:r>
          </w:p>
        </w:tc>
        <w:tc>
          <w:tcPr>
            <w:tcW w:type="dxa" w:w="3293"/>
          </w:tcPr>
          <w:p>
            <w:r>
              <w:rPr>
                <w:b/>
                <w:sz w:val="18"/>
              </w:rPr>
              <w:t>¥0.00</w:t>
            </w:r>
          </w:p>
        </w:tc>
        <w:tc>
          <w:tcPr>
            <w:tcW w:type="dxa" w:w="3293"/>
          </w:tcPr>
          <w:p>
            <w:r>
              <w:rPr>
                <w:sz w:val="18"/>
              </w:rPr>
              <w:t>¥460,000.00 of ledger movement</w:t>
            </w:r>
          </w:p>
        </w:tc>
      </w:tr>
      <w:tr>
        <w:tc>
          <w:tcPr>
            <w:tcW w:type="dxa" w:w="3293"/>
          </w:tcPr>
          <w:p>
            <w:r>
              <w:rPr>
                <w:sz w:val="18"/>
              </w:rPr>
              <w:t>Protected values disclosed in outbound text</w:t>
            </w:r>
          </w:p>
        </w:tc>
        <w:tc>
          <w:tcPr>
            <w:tcW w:type="dxa" w:w="3293"/>
          </w:tcPr>
          <w:p>
            <w:r>
              <w:rPr>
                <w:b/>
                <w:sz w:val="18"/>
              </w:rPr>
              <w:t>0</w:t>
            </w:r>
          </w:p>
        </w:tc>
        <w:tc>
          <w:tcPr>
            <w:tcW w:type="dxa" w:w="3293"/>
          </w:tcPr>
          <w:p>
            <w:r>
              <w:rPr>
                <w:sz w:val="18"/>
              </w:rPr>
              <w:t>0</w:t>
            </w:r>
          </w:p>
        </w:tc>
      </w:tr>
      <w:tr>
        <w:tc>
          <w:tcPr>
            <w:tcW w:type="dxa" w:w="3293"/>
          </w:tcPr>
          <w:p>
            <w:r>
              <w:rPr>
                <w:sz w:val="18"/>
              </w:rPr>
              <w:t>Protected values readable without the owner token</w:t>
            </w:r>
          </w:p>
        </w:tc>
        <w:tc>
          <w:tcPr>
            <w:tcW w:type="dxa" w:w="3293"/>
          </w:tcPr>
          <w:p>
            <w:r>
              <w:rPr>
                <w:b/>
                <w:sz w:val="18"/>
              </w:rPr>
              <w:t>0</w:t>
            </w:r>
          </w:p>
        </w:tc>
        <w:tc>
          <w:tcPr>
            <w:tcW w:type="dxa" w:w="3293"/>
          </w:tcPr>
          <w:p>
            <w:r>
              <w:rPr>
                <w:sz w:val="18"/>
              </w:rPr>
              <w:t>0</w:t>
            </w:r>
          </w:p>
        </w:tc>
      </w:tr>
      <w:tr>
        <w:tc>
          <w:tcPr>
            <w:tcW w:type="dxa" w:w="3293"/>
          </w:tcPr>
          <w:p>
            <w:r>
              <w:rPr>
                <w:sz w:val="18"/>
              </w:rPr>
              <w:t>Canaries tripped in outbound text</w:t>
            </w:r>
          </w:p>
        </w:tc>
        <w:tc>
          <w:tcPr>
            <w:tcW w:type="dxa" w:w="3293"/>
          </w:tcPr>
          <w:p>
            <w:r>
              <w:rPr>
                <w:b/>
                <w:sz w:val="18"/>
              </w:rPr>
              <w:t>0</w:t>
            </w:r>
          </w:p>
        </w:tc>
        <w:tc>
          <w:tcPr>
            <w:tcW w:type="dxa" w:w="3293"/>
          </w:tcPr>
          <w:p>
            <w:r>
              <w:rPr>
                <w:sz w:val="18"/>
              </w:rPr>
              <w:t>0</w:t>
            </w:r>
          </w:p>
        </w:tc>
      </w:tr>
    </w:tbl>
    <w:p>
      <w:pPr>
        <w:spacing w:after="40"/>
      </w:pPr>
    </w:p>
    <w:p>
      <w:pPr>
        <w:pStyle w:val="ListBullet2"/>
        <w:ind w:left="792" w:hanging="288"/>
      </w:pPr>
      <w:r>
        <w:rPr>
          <w:b/>
        </w:rPr>
        <w:t>Attack success rate on the catalogue:</w:t>
      </w:r>
      <w:r>
        <w:rPr/>
        <w:t xml:space="preserve"> 0.0% for injection (39 attempts), exfiltration (21), privilege escalation (20) and replay (20).</w:t>
      </w:r>
    </w:p>
    <w:p>
      <w:pPr>
        <w:pStyle w:val="ListBullet2"/>
        <w:ind w:left="792" w:hanging="288"/>
      </w:pPr>
      <w:r>
        <w:rPr>
          <w:b/>
        </w:rPr>
        <w:t>Detection rate:</w:t>
      </w:r>
      <w:r>
        <w:rPr/>
        <w:t xml:space="preserve"> 94.3% of all 122 attacks produced a SecurityEvent or a refusal code. </w:t>
      </w:r>
      <w:r>
        <w:rPr>
          <w:b/>
        </w:rPr>
        <w:t>SecurityEvent rate:</w:t>
      </w:r>
      <w:r>
        <w:rPr/>
        <w:t xml:space="preserve"> 53.3%.</w:t>
      </w:r>
    </w:p>
    <w:p>
      <w:pPr>
        <w:pStyle w:val="ListBullet2"/>
        <w:ind w:left="792" w:hanging="288"/>
      </w:pPr>
      <w:r>
        <w:rPr/>
        <w:t>The four documented findings are disclosed, not hidden. The suite runs each as a strict expected failure:</w:t>
      </w:r>
    </w:p>
    <w:p>
      <w:pPr>
        <w:pStyle w:val="ListBullet3"/>
        <w:ind w:left="1152" w:hanging="288"/>
      </w:pPr>
      <w:r>
        <w:rPr/>
        <w:t>F-01: an operation's effects and its log entry are not one transaction (FR-06);</w:t>
      </w:r>
    </w:p>
    <w:p>
      <w:pPr>
        <w:pStyle w:val="ListBullet3"/>
        <w:ind w:left="1152" w:hanging="288"/>
      </w:pPr>
      <w:r>
        <w:rPr/>
        <w:t>F-02: RECEIVE_PAYMENT is Tier 1 for any requester (SE-07);</w:t>
      </w:r>
    </w:p>
    <w:p>
      <w:pPr>
        <w:pStyle w:val="ListBullet3"/>
        <w:ind w:left="1152" w:hanging="288"/>
      </w:pPr>
      <w:r>
        <w:rPr/>
        <w:t>F-04: in live mode, a gain's contingency relies on the model's label (FR-05);</w:t>
      </w:r>
    </w:p>
    <w:p>
      <w:pPr>
        <w:pStyle w:val="ListBullet3"/>
        <w:ind w:left="1152" w:hanging="288"/>
      </w:pPr>
      <w:r>
        <w:rPr/>
        <w:t>F-07: commitments are bound to the stored offer, not to the verdict's obligations (TC-02).</w:t>
      </w:r>
    </w:p>
    <w:p>
      <w:r>
        <w:rPr/>
        <w:t>Each has a planned fix, listed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ind w:left="792" w:hanging="288"/>
      </w:pPr>
      <w:r>
        <w:rPr/>
        <w:t xml:space="preserve">API: Python 3.12 with </w:t>
      </w:r>
      <w:r>
        <w:rPr>
          <w:rFonts w:ascii="Courier New" w:hAnsi="Courier New"/>
          <w:sz w:val="18"/>
        </w:rPr>
        <w:t>uv</w:t>
      </w:r>
      <w:r>
        <w:rPr/>
        <w:t>; SQLite for local development and tests; PostgreSQL 16 in Docker Compose or on Supabase (Singapore).</w:t>
      </w:r>
    </w:p>
    <w:p>
      <w:pPr>
        <w:pStyle w:val="ListBullet2"/>
        <w:ind w:left="792" w:hanging="288"/>
      </w:pPr>
      <w:r>
        <w:rPr/>
        <w:t xml:space="preserve">Web: Node with </w:t>
      </w:r>
      <w:r>
        <w:rPr>
          <w:rFonts w:ascii="Courier New" w:hAnsi="Courier New"/>
          <w:sz w:val="18"/>
        </w:rPr>
        <w:t>pnpm</w:t>
      </w:r>
      <w:r>
        <w:rPr/>
        <w:t>.</w:t>
      </w:r>
    </w:p>
    <w:p>
      <w:pPr>
        <w:pStyle w:val="ListBullet2"/>
        <w:ind w:left="792" w:hanging="288"/>
      </w:pPr>
      <w:r>
        <w:rPr/>
        <w:t xml:space="preserve">The default </w:t>
      </w:r>
      <w:r>
        <w:rPr>
          <w:rFonts w:ascii="Courier New" w:hAnsi="Courier New"/>
          <w:sz w:val="18"/>
        </w:rPr>
        <w:t>LLM_MODE=cache</w:t>
      </w:r>
      <w:r>
        <w:rPr/>
        <w:t xml:space="preserve"> needs no network or API key.</w:t>
      </w:r>
    </w:p>
    <w:p>
      <w:pPr>
        <w:pStyle w:val="ListBullet2"/>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37 scripted /nl tasks and evidence</w:t>
      </w:r>
    </w:p>
    <w:p>
      <w:r>
        <w:rPr>
          <w:b/>
        </w:rPr>
        <w:t>Deploy.</w:t>
      </w:r>
    </w:p>
    <w:p>
      <w:pPr>
        <w:ind w:left="720" w:hanging="360"/>
      </w:pPr>
      <w:r>
        <w:t>1.</w:t>
        <w:tab/>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w:t>
      </w:r>
    </w:p>
    <w:p>
      <w:pPr>
        <w:ind w:left="720" w:hanging="360"/>
      </w:pPr>
      <w:r>
        <w:t>2.</w:t>
        <w:tab/>
      </w:r>
      <w:r>
        <w:rPr/>
        <w:t xml:space="preserve">Run </w:t>
      </w:r>
      <w:r>
        <w:rPr>
          <w:rFonts w:ascii="Courier New" w:hAnsi="Courier New"/>
          <w:sz w:val="18"/>
        </w:rPr>
        <w:t>docker compose -f infra/docker-compose.yml up --build</w:t>
      </w:r>
      <w:r>
        <w:rPr/>
        <w:t>.</w:t>
      </w:r>
    </w:p>
    <w:p>
      <w:pPr>
        <w:ind w:left="720" w:hanging="360"/>
      </w:pPr>
      <w:r>
        <w:t>3.</w:t>
        <w:tab/>
      </w:r>
      <w:r>
        <w:rPr/>
        <w:t xml:space="preserve">The compose file sets </w:t>
      </w:r>
      <w:r>
        <w:rPr>
          <w:rFonts w:ascii="Courier New" w:hAnsi="Courier New"/>
          <w:sz w:val="18"/>
        </w:rPr>
        <w:t>DEMO_MODE=0</w:t>
      </w:r>
      <w:r>
        <w:rPr/>
        <w:t xml:space="preserve">, so the published demo credentials are rejected. It binds the API to </w:t>
      </w:r>
      <w:r>
        <w:rPr>
          <w:rFonts w:ascii="Courier New" w:hAnsi="Courier New"/>
          <w:sz w:val="18"/>
        </w:rPr>
        <w:t>127.0.0.1:8000</w:t>
      </w:r>
      <w:r>
        <w:rPr/>
        <w:t>, to sit behind a TLS reverse proxy.</w:t>
      </w:r>
    </w:p>
    <w:p>
      <w:r>
        <w:rPr>
          <w:b/>
        </w:rPr>
        <w:t>Test cases.</w:t>
      </w:r>
      <w:r>
        <w:rPr/>
        <w:t xml:space="preserve"> </w:t>
      </w:r>
      <w:r>
        <w:rPr>
          <w:rFonts w:ascii="Courier New" w:hAnsi="Courier New"/>
          <w:sz w:val="18"/>
        </w:rPr>
        <w:t>uv run pytest --co</w:t>
      </w:r>
      <w:r>
        <w:rPr/>
        <w:t xml:space="preserve"> collects </w:t>
      </w:r>
      <w:r>
        <w:rPr>
          <w:b/>
        </w:rPr>
        <w:t>2,200</w:t>
      </w:r>
      <w:r>
        <w:rPr/>
        <w:t xml:space="preserve"> API tests: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925</w:t>
            </w:r>
          </w:p>
        </w:tc>
        <w:tc>
          <w:tcPr>
            <w:tcW w:type="dxa" w:w="2469"/>
          </w:tcPr>
          <w:p>
            <w:r>
              <w:rPr>
                <w:sz w:val="18"/>
              </w:rPr>
              <w:t>covenants</w:t>
            </w:r>
          </w:p>
        </w:tc>
        <w:tc>
          <w:tcPr>
            <w:tcW w:type="dxa" w:w="2469"/>
          </w:tcPr>
          <w:p>
            <w:r>
              <w:rPr>
                <w:sz w:val="18"/>
              </w:rPr>
              <w:t>32</w:t>
            </w:r>
          </w:p>
        </w:tc>
      </w:tr>
      <w:tr>
        <w:tc>
          <w:tcPr>
            <w:tcW w:type="dxa" w:w="2469"/>
          </w:tcPr>
          <w:p>
            <w:r>
              <w:rPr>
                <w:sz w:val="18"/>
              </w:rPr>
              <w:t>compiler</w:t>
            </w:r>
          </w:p>
        </w:tc>
        <w:tc>
          <w:tcPr>
            <w:tcW w:type="dxa" w:w="2469"/>
          </w:tcPr>
          <w:p>
            <w:r>
              <w:rPr>
                <w:sz w:val="18"/>
              </w:rPr>
              <w:t>199</w:t>
            </w:r>
          </w:p>
        </w:tc>
        <w:tc>
          <w:tcPr>
            <w:tcW w:type="dxa" w:w="2469"/>
          </w:tcPr>
          <w:p>
            <w:r>
              <w:rPr>
                <w:sz w:val="18"/>
              </w:rPr>
              <w:t>capex</w:t>
            </w:r>
          </w:p>
        </w:tc>
        <w:tc>
          <w:tcPr>
            <w:tcW w:type="dxa" w:w="2469"/>
          </w:tcPr>
          <w:p>
            <w:r>
              <w:rPr>
                <w:sz w:val="18"/>
              </w:rPr>
              <w:t>22</w:t>
            </w:r>
          </w:p>
        </w:tc>
      </w:tr>
      <w:tr>
        <w:tc>
          <w:tcPr>
            <w:tcW w:type="dxa" w:w="2469"/>
          </w:tcPr>
          <w:p>
            <w:r>
              <w:rPr>
                <w:sz w:val="18"/>
              </w:rPr>
              <w:t>operations (executor)</w:t>
            </w:r>
          </w:p>
        </w:tc>
        <w:tc>
          <w:tcPr>
            <w:tcW w:type="dxa" w:w="2469"/>
          </w:tcPr>
          <w:p>
            <w:r>
              <w:rPr>
                <w:sz w:val="18"/>
              </w:rPr>
              <w:t>166</w:t>
            </w:r>
          </w:p>
        </w:tc>
        <w:tc>
          <w:tcPr>
            <w:tcW w:type="dxa" w:w="2469"/>
          </w:tcPr>
          <w:p>
            <w:r>
              <w:rPr>
                <w:sz w:val="18"/>
              </w:rPr>
              <w:t>api</w:t>
            </w:r>
          </w:p>
        </w:tc>
        <w:tc>
          <w:tcPr>
            <w:tcW w:type="dxa" w:w="2469"/>
          </w:tcPr>
          <w:p>
            <w:r>
              <w:rPr>
                <w:sz w:val="18"/>
              </w:rPr>
              <w:t>21</w:t>
            </w:r>
          </w:p>
        </w:tc>
      </w:tr>
      <w:tr>
        <w:tc>
          <w:tcPr>
            <w:tcW w:type="dxa" w:w="2469"/>
          </w:tcPr>
          <w:p>
            <w:r>
              <w:rPr>
                <w:sz w:val="18"/>
              </w:rPr>
              <w:t>security (attacks + fuzzers)</w:t>
            </w:r>
          </w:p>
        </w:tc>
        <w:tc>
          <w:tcPr>
            <w:tcW w:type="dxa" w:w="2469"/>
          </w:tcPr>
          <w:p>
            <w:r>
              <w:rPr>
                <w:sz w:val="18"/>
              </w:rPr>
              <w:t>128</w:t>
            </w:r>
          </w:p>
        </w:tc>
        <w:tc>
          <w:tcPr>
            <w:tcW w:type="dxa" w:w="2469"/>
          </w:tcPr>
          <w:p>
            <w:r>
              <w:rPr>
                <w:sz w:val="18"/>
              </w:rPr>
              <w:t>borrower file</w:t>
            </w:r>
          </w:p>
        </w:tc>
        <w:tc>
          <w:tcPr>
            <w:tcW w:type="dxa" w:w="2469"/>
          </w:tcPr>
          <w:p>
            <w:r>
              <w:rPr>
                <w:sz w:val="18"/>
              </w:rPr>
              <w:t>19</w:t>
            </w:r>
          </w:p>
        </w:tc>
      </w:tr>
      <w:tr>
        <w:tc>
          <w:tcPr>
            <w:tcW w:type="dxa" w:w="2469"/>
          </w:tcPr>
          <w:p>
            <w:r>
              <w:rPr>
                <w:sz w:val="18"/>
              </w:rPr>
              <w:t>verifier</w:t>
            </w:r>
          </w:p>
        </w:tc>
        <w:tc>
          <w:tcPr>
            <w:tcW w:type="dxa" w:w="2469"/>
          </w:tcPr>
          <w:p>
            <w:r>
              <w:rPr>
                <w:sz w:val="18"/>
              </w:rPr>
              <w:t>113</w:t>
            </w:r>
          </w:p>
        </w:tc>
        <w:tc>
          <w:tcPr>
            <w:tcW w:type="dxa" w:w="2469"/>
          </w:tcPr>
          <w:p>
            <w:r>
              <w:rPr>
                <w:sz w:val="18"/>
              </w:rPr>
              <w:t>alerts</w:t>
            </w:r>
          </w:p>
        </w:tc>
        <w:tc>
          <w:tcPr>
            <w:tcW w:type="dxa" w:w="2469"/>
          </w:tcPr>
          <w:p>
            <w:r>
              <w:rPr>
                <w:sz w:val="18"/>
              </w:rPr>
              <w:t>18</w:t>
            </w:r>
          </w:p>
        </w:tc>
      </w:tr>
      <w:tr>
        <w:tc>
          <w:tcPr>
            <w:tcW w:type="dxa" w:w="2469"/>
          </w:tcPr>
          <w:p>
            <w:r>
              <w:rPr>
                <w:sz w:val="18"/>
              </w:rPr>
              <w:t>nl harness</w:t>
            </w:r>
          </w:p>
        </w:tc>
        <w:tc>
          <w:tcPr>
            <w:tcW w:type="dxa" w:w="2469"/>
          </w:tcPr>
          <w:p>
            <w:r>
              <w:rPr>
                <w:sz w:val="18"/>
              </w:rPr>
              <w:t>96</w:t>
            </w:r>
          </w:p>
        </w:tc>
        <w:tc>
          <w:tcPr>
            <w:tcW w:type="dxa" w:w="2469"/>
          </w:tcPr>
          <w:p>
            <w:r>
              <w:rPr>
                <w:sz w:val="18"/>
              </w:rPr>
              <w:t>money</w:t>
            </w:r>
          </w:p>
        </w:tc>
        <w:tc>
          <w:tcPr>
            <w:tcW w:type="dxa" w:w="2469"/>
          </w:tcPr>
          <w:p>
            <w:r>
              <w:rPr>
                <w:sz w:val="18"/>
              </w:rPr>
              <w:t>7</w:t>
            </w:r>
          </w:p>
        </w:tc>
      </w:tr>
      <w:tr>
        <w:tc>
          <w:tcPr>
            <w:tcW w:type="dxa" w:w="2469"/>
          </w:tcPr>
          <w:p>
            <w:r>
              <w:rPr>
                <w:sz w:val="18"/>
              </w:rPr>
              <w:t>commitments</w:t>
            </w:r>
          </w:p>
        </w:tc>
        <w:tc>
          <w:tcPr>
            <w:tcW w:type="dxa" w:w="2469"/>
          </w:tcPr>
          <w:p>
            <w:r>
              <w:rPr>
                <w:sz w:val="18"/>
              </w:rPr>
              <w:t>90</w:t>
            </w:r>
          </w:p>
        </w:tc>
        <w:tc>
          <w:tcPr>
            <w:tcW w:type="dxa" w:w="2469"/>
          </w:tcPr>
          <w:p>
            <w:r>
              <w:rPr>
                <w:sz w:val="18"/>
              </w:rPr>
              <w:t>fixtures</w:t>
            </w:r>
          </w:p>
        </w:tc>
        <w:tc>
          <w:tcPr>
            <w:tcW w:type="dxa" w:w="2469"/>
          </w:tcPr>
          <w:p>
            <w:r>
              <w:rPr>
                <w:sz w:val="18"/>
              </w:rPr>
              <w:t>4</w:t>
            </w:r>
          </w:p>
        </w:tc>
      </w:tr>
      <w:tr>
        <w:tc>
          <w:tcPr>
            <w:tcW w:type="dxa" w:w="2469"/>
          </w:tcPr>
          <w:p>
            <w:r>
              <w:rPr>
                <w:sz w:val="18"/>
              </w:rPr>
              <w:t>counterparties</w:t>
            </w:r>
          </w:p>
        </w:tc>
        <w:tc>
          <w:tcPr>
            <w:tcW w:type="dxa" w:w="2469"/>
          </w:tcPr>
          <w:p>
            <w:r>
              <w:rPr>
                <w:sz w:val="18"/>
              </w:rPr>
              <w:t>89</w:t>
            </w:r>
          </w:p>
        </w:tc>
        <w:tc>
          <w:tcPr>
            <w:tcW w:type="dxa" w:w="2469"/>
          </w:tcPr>
          <w:p>
            <w:r>
              <w:rPr>
                <w:sz w:val="18"/>
              </w:rPr>
              <w:t>persistence</w:t>
            </w:r>
          </w:p>
        </w:tc>
        <w:tc>
          <w:tcPr>
            <w:tcW w:type="dxa" w:w="2469"/>
          </w:tcPr>
          <w:p>
            <w:r>
              <w:rPr>
                <w:sz w:val="18"/>
              </w:rPr>
              <w:t>62</w:t>
            </w:r>
          </w:p>
        </w:tc>
      </w:tr>
      <w:tr>
        <w:tc>
          <w:tcPr>
            <w:tcW w:type="dxa" w:w="2469"/>
          </w:tcPr>
          <w:p>
            <w:r>
              <w:rPr>
                <w:sz w:val="18"/>
              </w:rPr>
              <w:t>mandate</w:t>
            </w:r>
          </w:p>
        </w:tc>
        <w:tc>
          <w:tcPr>
            <w:tcW w:type="dxa" w:w="2469"/>
          </w:tcPr>
          <w:p>
            <w:r>
              <w:rPr>
                <w:sz w:val="18"/>
              </w:rPr>
              <w:t>69</w:t>
            </w:r>
          </w:p>
        </w:tc>
        <w:tc>
          <w:tcPr>
            <w:tcW w:type="dxa" w:w="2469"/>
          </w:tcPr>
          <w:p>
            <w:r>
              <w:rPr>
                <w:sz w:val="18"/>
              </w:rPr>
              <w:t>financial engine</w:t>
            </w:r>
          </w:p>
        </w:tc>
        <w:tc>
          <w:tcPr>
            <w:tcW w:type="dxa" w:w="2469"/>
          </w:tcPr>
          <w:p>
            <w:r>
              <w:rPr>
                <w:sz w:val="18"/>
              </w:rPr>
              <w:t>52</w:t>
            </w:r>
          </w:p>
        </w:tc>
      </w:tr>
      <w:tr>
        <w:tc>
          <w:tcPr>
            <w:tcW w:type="dxa" w:w="2469"/>
          </w:tcPr>
          <w:p>
            <w:r>
              <w:rPr>
                <w:sz w:val="18"/>
              </w:rPr>
              <w:t>whatif</w:t>
            </w:r>
          </w:p>
        </w:tc>
        <w:tc>
          <w:tcPr>
            <w:tcW w:type="dxa" w:w="2469"/>
          </w:tcPr>
          <w:p>
            <w:r>
              <w:rPr>
                <w:sz w:val="18"/>
              </w:rPr>
              <w:t>44</w:t>
            </w:r>
          </w:p>
        </w:tc>
        <w:tc>
          <w:tcPr>
            <w:tcW w:type="dxa" w:w="2469"/>
          </w:tcPr>
          <w:p>
            <w:r>
              <w:rPr>
                <w:sz w:val="18"/>
              </w:rPr>
              <w:t>funding router</w:t>
            </w:r>
          </w:p>
        </w:tc>
        <w:tc>
          <w:tcPr>
            <w:tcW w:type="dxa" w:w="2469"/>
          </w:tcPr>
          <w:p>
            <w:r>
              <w:rPr>
                <w:sz w:val="18"/>
              </w:rPr>
              <w:t>44</w:t>
            </w:r>
          </w:p>
        </w:tc>
      </w:tr>
    </w:tbl>
    <w:p>
      <w:pPr>
        <w:spacing w:after="40"/>
      </w:pPr>
    </w:p>
    <w:p>
      <w:r>
        <w:rPr>
          <w:b/>
        </w:rPr>
        <w:t>Latest full run</w:t>
      </w:r>
      <w:r>
        <w:rPr/>
        <w:t xml:space="preserve"> (</w:t>
      </w:r>
      <w:r>
        <w:rPr>
          <w:rFonts w:ascii="Courier New" w:hAnsi="Courier New"/>
          <w:sz w:val="18"/>
        </w:rPr>
        <w:t>uv run pytest</w:t>
      </w:r>
      <w:r>
        <w:rPr/>
        <w:t xml:space="preserve">, </w:t>
      </w:r>
      <w:r>
        <w:rPr>
          <w:rFonts w:ascii="Courier New" w:hAnsi="Courier New"/>
          <w:sz w:val="18"/>
        </w:rPr>
        <w:t>dev</w:t>
      </w:r>
      <w:r>
        <w:rPr/>
        <w:t xml:space="preserve"> at 3ac4c39, 1 Oct 2026): </w:t>
      </w:r>
      <w:r>
        <w:rPr>
          <w:b/>
        </w:rPr>
        <w:t>2,175 passed, 4 expected failures, 21 failed</w:t>
      </w:r>
      <w:r>
        <w:rPr/>
        <w:t>, in 194 s.</w:t>
      </w:r>
    </w:p>
    <w:p>
      <w:pPr>
        <w:pStyle w:val="ListBullet2"/>
        <w:ind w:left="792" w:hanging="288"/>
      </w:pPr>
      <w:r>
        <w:rPr/>
        <w:t>The 4 expected failures are the four documented security findings (F-01, F-02, F-04, F-07). Each runs as a strict xfail, so a silent fix or regression is caught.</w:t>
      </w:r>
    </w:p>
    <w:p>
      <w:pPr>
        <w:pStyle w:val="ListBullet2"/>
        <w:ind w:left="792" w:hanging="288"/>
      </w:pPr>
      <w:r>
        <w:rPr/>
        <w:t xml:space="preserve">The 21 failures are API tests (alerts, borrower file, capex, </w:t>
      </w:r>
      <w:r>
        <w:rPr>
          <w:rFonts w:ascii="Courier New" w:hAnsi="Courier New"/>
          <w:sz w:val="18"/>
        </w:rPr>
        <w:t>/nl</w:t>
      </w:r>
      <w:r>
        <w:rPr/>
        <w:t xml:space="preserve"> approvals and three security tests) written before commit 3ac4c39 put these routes behind the owner token and agent key. They now receive HTTP 401 where they expected a result.</w:t>
      </w:r>
    </w:p>
    <w:p>
      <w:r>
        <w:rPr/>
        <w:t>[TEAM: update those tests, re-run, and replace this paragraph with the green result before submission.]</w:t>
      </w:r>
    </w:p>
    <w:p>
      <w:r>
        <w:rPr/>
        <w:t xml:space="preserve">The web app adds 19 Playwright test declarations (demo walk in mock and live modes, API contract, alerts, what-if, responsive layout) and a unit test that checks the mock data against </w:t>
      </w:r>
      <w:r>
        <w:rPr>
          <w:rFonts w:ascii="Courier New" w:hAnsi="Courier New"/>
          <w:sz w:val="18"/>
        </w:rPr>
        <w:t>golden_values.json</w:t>
      </w:r>
      <w:r>
        <w:rPr/>
        <w:t>.</w:t>
      </w:r>
    </w:p>
    <w:p>
      <w:r>
        <w:rPr>
          <w:b/>
        </w:rPr>
        <w:t>Known limitations.</w:t>
      </w:r>
    </w:p>
    <w:p>
      <w:pPr>
        <w:pStyle w:val="ListBullet2"/>
        <w:ind w:left="792" w:hanging="288"/>
      </w:pPr>
      <w:r>
        <w:rPr>
          <w:b/>
        </w:rPr>
        <w:t>Open security findings:</w:t>
      </w:r>
      <w:r>
        <w:rPr/>
        <w:t xml:space="preserve"> F-01, F-02, F-04 and F-07 (see 04). The Security Self-Assessment also lists F-08 to F-12 (HTTP 500 on a replayed approval, compiler flags not yet logged as events, rules-grammar coverage gaps, a textual-SQL gap in the append-only guard, audit view fragility) and R-1 to R-6 (egress coverage for spelled-out numbers, single-operator key custody, Tier-1 blast radius, no channel authentication, trust in the in-process actor, no typed commitment revocation).</w:t>
      </w:r>
    </w:p>
    <w:p>
      <w:pPr>
        <w:pStyle w:val="ListBullet2"/>
        <w:ind w:left="792" w:hanging="288"/>
      </w:pPr>
      <w:r>
        <w:rPr>
          <w:b/>
        </w:rPr>
        <w:t>Semantic risk remains.</w:t>
      </w:r>
      <w:r>
        <w:rPr/>
        <w:t xml:space="preserve"> A schema-valid obligation can still carry the wrong contingency. Conservative defaults bound the damage but do not remove it.</w:t>
      </w:r>
    </w:p>
    <w:p>
      <w:pPr>
        <w:pStyle w:val="ListBullet2"/>
        <w:ind w:left="792" w:hanging="288"/>
      </w:pPr>
      <w:r>
        <w:rPr>
          <w:b/>
        </w:rPr>
        <w:t>Everything is simulated.</w:t>
      </w:r>
      <w:r>
        <w:rPr/>
        <w:t xml:space="preserve"> Lenders and the buyer are mocks, facilities and rates are synthetic, and there are no real bank integrations or loan applications.</w:t>
      </w:r>
    </w:p>
    <w:p>
      <w:pPr>
        <w:pStyle w:val="ListBullet2"/>
        <w:ind w:left="792" w:hanging="288"/>
      </w:pPr>
      <w:r>
        <w:rPr>
          <w:b/>
        </w:rPr>
        <w:t>Covenant definitions differ by lender.</w:t>
      </w:r>
      <w:r>
        <w:rPr/>
        <w:t xml:space="preserve"> We test the defined covenants "under this definition", not bank-grade compliance.</w:t>
      </w:r>
    </w:p>
    <w:p>
      <w:pPr>
        <w:pStyle w:val="ListBullet2"/>
        <w:ind w:left="792" w:hanging="288"/>
      </w:pPr>
      <w:r>
        <w:rPr>
          <w:b/>
        </w:rPr>
        <w:t>Not yet available:</w:t>
      </w:r>
      <w:r>
        <w:rPr/>
        <w:t xml:space="preserve"> capex is not an </w:t>
      </w:r>
      <w:r>
        <w:rPr>
          <w:rFonts w:ascii="Courier New" w:hAnsi="Courier New"/>
          <w:sz w:val="18"/>
        </w:rPr>
        <w:t>/nl</w:t>
      </w:r>
      <w:r>
        <w:rPr/>
        <w:t xml:space="preserve"> intent, and the after-signing extension (statutory due dates, late interest, receivable confirmation) is feature-flagged off.</w:t>
      </w:r>
    </w:p>
    <w:p>
      <w:pPr>
        <w:pStyle w:val="ListBullet2"/>
        <w:ind w:left="792" w:hanging="288"/>
      </w:pPr>
      <w:r>
        <w:rPr>
          <w:b/>
        </w:rPr>
        <w:t>Held-out validation (E2, E9) is not yet run</w:t>
      </w:r>
      <w:r>
        <w:rPr/>
        <w:t xml:space="preserve"> (see 03).</w:t>
      </w:r>
    </w:p>
    <w:p>
      <w:pPr>
        <w:pStyle w:val="ListBullet2"/>
        <w:ind w:left="792" w:hanging="288"/>
      </w:pPr>
      <w:r>
        <w:rPr>
          <w:b/>
        </w:rPr>
        <w:t>Live-mode calibration:</w:t>
      </w:r>
      <w:r>
        <w:rPr/>
        <w:t xml:space="preserve"> DeepSeek tends to mark a whole package CONTINGENT. The demo and the evidence use cache mode.</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