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"safe by construction", "cannot be fooled" or compliance with any bank's covenants.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into typed obligations or facility terms. Every obligation carries a span that must match the document exactly; otherwise the field is abstained.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 and runs every draw, advance and repayment through admission (</w:t>
            </w:r>
            <w:r>
              <w:rPr>
                <w:rFonts w:ascii="Courier New" w:hAnsi="Courier New"/>
                <w:sz w:val="18"/>
              </w:rPr>
              <w:t>funding/admission.py</w:t>
            </w:r>
            <w:r>
              <w:rPr>
                <w:sz w:val="18"/>
              </w:rPr>
              <w:t>: the planner's engine and predicates on today's books), whoever asks.</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books/</w:t>
            </w:r>
            <w:r>
              <w:rPr>
                <w:sz w:val="18"/>
              </w:rPr>
              <w:t xml:space="preserve">, </w:t>
            </w:r>
            <w:r>
              <w:rPr>
                <w:rFonts w:ascii="Courier New" w:hAnsi="Courier New"/>
                <w:sz w:val="18"/>
              </w:rPr>
              <w:t>clock/</w:t>
            </w:r>
          </w:p>
        </w:tc>
        <w:tc>
          <w:tcPr>
            <w:tcW w:type="dxa" w:w="3293"/>
          </w:tcPr>
          <w:p>
            <w:r>
              <w:rPr>
                <w:rFonts w:ascii="Courier New" w:hAnsi="Courier New"/>
                <w:sz w:val="18"/>
              </w:rPr>
              <w:t>books.current_books</w:t>
            </w:r>
            <w:r>
              <w:rPr>
                <w:sz w:val="18"/>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8"/>
              </w:rPr>
              <w:t>Runtime.advance_to</w:t>
            </w:r>
            <w:r>
              <w:rPr>
                <w:sz w:val="18"/>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8"/>
              </w:rPr>
              <w:t>ADVANCE_CLOCK</w:t>
            </w:r>
            <w:r>
              <w:rPr>
                <w:sz w:val="18"/>
              </w:rPr>
              <w:t xml:space="preserve"> entry on the chain. It never records a receipt and never repays a credit line.</w:t>
            </w:r>
          </w:p>
        </w:tc>
        <w:tc>
          <w:tcPr>
            <w:tcW w:type="dxa" w:w="3293"/>
          </w:tcPr>
          <w:p>
            <w:r>
              <w:rPr>
                <w:sz w:val="18"/>
              </w:rPr>
              <w:t>Trusted, deterministic</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8"/>
              </w:rPr>
              <w:t>X-Counterparty-Key</w:t>
            </w:r>
            <w:r>
              <w:rPr>
                <w:sz w:val="18"/>
              </w:rPr>
              <w:t xml:space="preserve"> names (no key: a proposal only). A session is bound to the credential that opened it. Free text executes only as a closed affirmative command (</w:t>
            </w:r>
            <w:r>
              <w:rPr>
                <w:rFonts w:ascii="Courier New" w:hAnsi="Courier New"/>
                <w:sz w:val="18"/>
              </w:rPr>
              <w:t>consent.py</w:t>
            </w:r>
            <w:r>
              <w:rPr>
                <w:sz w:val="18"/>
              </w:rPr>
              <w:t>); plans are proposed first and "go ahead" runs the exact operations shown.</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8"/>
              </w:rPr>
              <w:t>Trusted, deterministic</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the owner home at </w:t>
            </w:r>
            <w:r>
              <w:rPr>
                <w:rFonts w:ascii="Courier New" w:hAnsi="Courier New"/>
                <w:sz w:val="18"/>
              </w:rPr>
              <w:t>/</w:t>
            </w:r>
            <w:r>
              <w:rPr>
                <w:sz w:val="18"/>
              </w:rPr>
              <w:t xml:space="preserve"> (the day and a demo clock control, the agent's opener with a Go ahead button, position, approvals waiting, alerts with "Let the agent fix this", recent agent actions), Mandate, Inbox, Trajectory, Funding, Verdict (with the autonomy-proof panel, also shown in chat), Capex, Ledger, Approvals (an approval card for each queued item: the operation, the reason and the terms),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and term sheets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r>
      <w:tr>
        <w:tc>
          <w:tcPr>
            <w:tcW w:type="dxa" w:w="4939"/>
          </w:tcPr>
          <w:p>
            <w:r>
              <w:rPr>
                <w:sz w:val="18"/>
              </w:rPr>
              <w:t>Clock, alerts and reconciliation</w:t>
            </w:r>
          </w:p>
        </w:tc>
        <w:tc>
          <w:tcPr>
            <w:tcW w:type="dxa" w:w="4939"/>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services/api/evals/security/attacks.yaml</w:t>
      </w:r>
      <w:r>
        <w:rPr/>
        <w:t xml:space="preserve">: 122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20 intents: EVALUATE_OFFER, NEGOTIATE, ACCELERATE_RECEIPT, FUND_GAP, REPAY_FACILITY, SHOW_STATUS, SHOW_ALERTS, COMPARE_FINANCING, RECONCILE, SHOW_RATIOS, CAPEX, BORROWER_FILE, EXPLAIN, WHAT_IF, RECORD_FACT,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credential that opened it.</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0/255</w:t>
            </w:r>
            <w:r>
              <w:rPr>
                <w:sz w:val="18"/>
              </w:rPr>
              <w:t xml:space="preserve"> (122 through the API, 133 through chat)</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Handling time against a form (it needs timed human operators); a live Claude accuracy run and the live language-boundary certification; the concurrency suite on PostgreSQL;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w:t>
            </w:r>
            <w:r>
              <w:rPr>
                <w:rFonts w:ascii="Courier New" w:hAnsi="Courier New"/>
                <w:sz w:val="18"/>
              </w:rPr>
              <w:t>/nl</w:t>
            </w:r>
            <w:r>
              <w:rPr>
                <w:sz w:val="18"/>
              </w:rPr>
              <w:t xml:space="preserve"> sender is that registered buyer; it never confers authority to execute</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xml:space="preserv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require the owner token.</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does not yet label the agent's replies as AI-generated, for reference. That is a gap we list in the Security Self-Assessment.</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255 attacks: 122 through the API and 133 through chat</w:t>
      </w:r>
      <w:r>
        <w:rPr/>
        <w:t xml:space="preserve"> (43 as the owner, 64 as a buyer, 26 as a holder of the agent key without the owner token). </w:t>
      </w:r>
      <w:r>
        <w:rPr>
          <w:b/>
        </w:rPr>
        <w:t>0 of the 255 caused harm</w:t>
      </w:r>
      <w:r>
        <w:rPr/>
        <w:t xml:space="preserve"> (</w:t>
      </w:r>
      <w:r>
        <w:rPr>
          <w:rFonts w:ascii="Courier New" w:hAnsi="Courier New"/>
          <w:sz w:val="18"/>
        </w:rPr>
        <w:t>python -m app.security.attacks --report</w:t>
      </w:r>
      <w:r>
        <w:rPr/>
        <w:t xml:space="preserve">, 3 Oct 2026).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122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and none is planned. The audit's NO-GO conclusion on autonomy dated from before those fixes, and the system remains a simulation.</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harness ready, run pending a database URL</w:t>
      </w:r>
      <w:r>
        <w:rPr/>
        <w:t xml:space="preserve">; until then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40 / 21 / 20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(120 of 122)</w:t>
            </w:r>
          </w:p>
        </w:tc>
      </w:tr>
      <w:tr>
        <w:tc>
          <w:tcPr>
            <w:tcW w:type="dxa" w:w="4939"/>
          </w:tcPr>
          <w:p>
            <w:r>
              <w:rPr>
                <w:sz w:val="18"/>
              </w:rPr>
              <w:t>SecurityEvent rate</w:t>
            </w:r>
          </w:p>
        </w:tc>
        <w:tc>
          <w:tcPr>
            <w:tcW w:type="dxa" w:w="4939"/>
          </w:tcPr>
          <w:p>
            <w:r>
              <w:rPr>
                <w:b/>
                <w:sz w:val="18"/>
              </w:rPr>
              <w:t>72.1%</w:t>
            </w:r>
            <w:r>
              <w:rPr>
                <w:sz w:val="18"/>
              </w:rPr>
              <w:t xml:space="preserve"> (88 of 122)</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with its channel key who probes the chat can find the accept/counter threshold to 1 bp in 12 messages, with no throttle, and each accepted probe queues its own owner approval; it is at 0.74% / 0.75% on the golden books (NL-OP01K, NL-OP02K). (S9) The agent key can read protected labels through chat status replies, although the read routes are owner-only; the newer read intents already need the owner token (NL-AC05, NL-CS10, NL-CS16, NL-CS31). None caused harm in the suite; both are listed as known limitations.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5,479</w:t>
      </w:r>
      <w:r>
        <w:rPr/>
        <w:t xml:space="preserve"> API tests (3 Oct 2026):</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1,149</w:t>
            </w:r>
          </w:p>
        </w:tc>
        <w:tc>
          <w:tcPr>
            <w:tcW w:type="dxa" w:w="2469"/>
          </w:tcPr>
          <w:p>
            <w:r>
              <w:rPr>
                <w:sz w:val="18"/>
              </w:rPr>
              <w:t>alerts</w:t>
            </w:r>
          </w:p>
        </w:tc>
        <w:tc>
          <w:tcPr>
            <w:tcW w:type="dxa" w:w="2469"/>
          </w:tcPr>
          <w:p>
            <w:r>
              <w:rPr>
                <w:sz w:val="18"/>
              </w:rPr>
              <w:t>76</w:t>
            </w:r>
          </w:p>
        </w:tc>
      </w:tr>
      <w:tr>
        <w:tc>
          <w:tcPr>
            <w:tcW w:type="dxa" w:w="2469"/>
          </w:tcPr>
          <w:p>
            <w:r>
              <w:rPr>
                <w:sz w:val="18"/>
              </w:rPr>
              <w:t>egress guard</w:t>
            </w:r>
          </w:p>
        </w:tc>
        <w:tc>
          <w:tcPr>
            <w:tcW w:type="dxa" w:w="2469"/>
          </w:tcPr>
          <w:p>
            <w:r>
              <w:rPr>
                <w:sz w:val="18"/>
              </w:rPr>
              <w:t>961</w:t>
            </w:r>
          </w:p>
        </w:tc>
        <w:tc>
          <w:tcPr>
            <w:tcW w:type="dxa" w:w="2469"/>
          </w:tcPr>
          <w:p>
            <w:r>
              <w:rPr>
                <w:sz w:val="18"/>
              </w:rPr>
              <w:t>mandate</w:t>
            </w:r>
          </w:p>
        </w:tc>
        <w:tc>
          <w:tcPr>
            <w:tcW w:type="dxa" w:w="2469"/>
          </w:tcPr>
          <w:p>
            <w:r>
              <w:rPr>
                <w:sz w:val="18"/>
              </w:rPr>
              <w:t>72</w:t>
            </w:r>
          </w:p>
        </w:tc>
      </w:tr>
      <w:tr>
        <w:tc>
          <w:tcPr>
            <w:tcW w:type="dxa" w:w="2469"/>
          </w:tcPr>
          <w:p>
            <w:r>
              <w:rPr>
                <w:sz w:val="18"/>
              </w:rPr>
              <w:t>nl harness</w:t>
            </w:r>
          </w:p>
        </w:tc>
        <w:tc>
          <w:tcPr>
            <w:tcW w:type="dxa" w:w="2469"/>
          </w:tcPr>
          <w:p>
            <w:r>
              <w:rPr>
                <w:sz w:val="18"/>
              </w:rPr>
              <w:t>862</w:t>
            </w:r>
          </w:p>
        </w:tc>
        <w:tc>
          <w:tcPr>
            <w:tcW w:type="dxa" w:w="2469"/>
          </w:tcPr>
          <w:p>
            <w:r>
              <w:rPr>
                <w:sz w:val="18"/>
              </w:rPr>
              <w:t>api</w:t>
            </w:r>
          </w:p>
        </w:tc>
        <w:tc>
          <w:tcPr>
            <w:tcW w:type="dxa" w:w="2469"/>
          </w:tcPr>
          <w:p>
            <w:r>
              <w:rPr>
                <w:sz w:val="18"/>
              </w:rPr>
              <w:t>53</w:t>
            </w:r>
          </w:p>
        </w:tc>
      </w:tr>
      <w:tr>
        <w:tc>
          <w:tcPr>
            <w:tcW w:type="dxa" w:w="2469"/>
          </w:tcPr>
          <w:p>
            <w:r>
              <w:rPr>
                <w:sz w:val="18"/>
              </w:rPr>
              <w:t>compiler</w:t>
            </w:r>
          </w:p>
        </w:tc>
        <w:tc>
          <w:tcPr>
            <w:tcW w:type="dxa" w:w="2469"/>
          </w:tcPr>
          <w:p>
            <w:r>
              <w:rPr>
                <w:sz w:val="18"/>
              </w:rPr>
              <w:t>625</w:t>
            </w:r>
          </w:p>
        </w:tc>
        <w:tc>
          <w:tcPr>
            <w:tcW w:type="dxa" w:w="2469"/>
          </w:tcPr>
          <w:p>
            <w:r>
              <w:rPr>
                <w:sz w:val="18"/>
              </w:rPr>
              <w:t>capex</w:t>
            </w:r>
          </w:p>
        </w:tc>
        <w:tc>
          <w:tcPr>
            <w:tcW w:type="dxa" w:w="2469"/>
          </w:tcPr>
          <w:p>
            <w:r>
              <w:rPr>
                <w:sz w:val="18"/>
              </w:rPr>
              <w:t>51</w:t>
            </w:r>
          </w:p>
        </w:tc>
      </w:tr>
      <w:tr>
        <w:tc>
          <w:tcPr>
            <w:tcW w:type="dxa" w:w="2469"/>
          </w:tcPr>
          <w:p>
            <w:r>
              <w:rPr>
                <w:sz w:val="18"/>
              </w:rPr>
              <w:t>operations (executor)</w:t>
            </w:r>
          </w:p>
        </w:tc>
        <w:tc>
          <w:tcPr>
            <w:tcW w:type="dxa" w:w="2469"/>
          </w:tcPr>
          <w:p>
            <w:r>
              <w:rPr>
                <w:sz w:val="18"/>
              </w:rPr>
              <w:t>373</w:t>
            </w:r>
          </w:p>
        </w:tc>
        <w:tc>
          <w:tcPr>
            <w:tcW w:type="dxa" w:w="2469"/>
          </w:tcPr>
          <w:p>
            <w:r>
              <w:rPr>
                <w:sz w:val="18"/>
              </w:rPr>
              <w:t>what-if</w:t>
            </w:r>
          </w:p>
        </w:tc>
        <w:tc>
          <w:tcPr>
            <w:tcW w:type="dxa" w:w="2469"/>
          </w:tcPr>
          <w:p>
            <w:r>
              <w:rPr>
                <w:sz w:val="18"/>
              </w:rPr>
              <w:t>45</w:t>
            </w:r>
          </w:p>
        </w:tc>
      </w:tr>
      <w:tr>
        <w:tc>
          <w:tcPr>
            <w:tcW w:type="dxa" w:w="2469"/>
          </w:tcPr>
          <w:p>
            <w:r>
              <w:rPr>
                <w:sz w:val="18"/>
              </w:rPr>
              <w:t>verifier</w:t>
            </w:r>
          </w:p>
        </w:tc>
        <w:tc>
          <w:tcPr>
            <w:tcW w:type="dxa" w:w="2469"/>
          </w:tcPr>
          <w:p>
            <w:r>
              <w:rPr>
                <w:sz w:val="18"/>
              </w:rPr>
              <w:t>258</w:t>
            </w:r>
          </w:p>
        </w:tc>
        <w:tc>
          <w:tcPr>
            <w:tcW w:type="dxa" w:w="2469"/>
          </w:tcPr>
          <w:p>
            <w:r>
              <w:rPr>
                <w:sz w:val="18"/>
              </w:rPr>
              <w:t>certification</w:t>
            </w:r>
          </w:p>
        </w:tc>
        <w:tc>
          <w:tcPr>
            <w:tcW w:type="dxa" w:w="2469"/>
          </w:tcPr>
          <w:p>
            <w:r>
              <w:rPr>
                <w:sz w:val="18"/>
              </w:rPr>
              <w:t>41</w:t>
            </w:r>
          </w:p>
        </w:tc>
      </w:tr>
      <w:tr>
        <w:tc>
          <w:tcPr>
            <w:tcW w:type="dxa" w:w="2469"/>
          </w:tcPr>
          <w:p>
            <w:r>
              <w:rPr>
                <w:sz w:val="18"/>
              </w:rPr>
              <w:t>security (attacks, fuzzers, metrics)</w:t>
            </w:r>
          </w:p>
        </w:tc>
        <w:tc>
          <w:tcPr>
            <w:tcW w:type="dxa" w:w="2469"/>
          </w:tcPr>
          <w:p>
            <w:r>
              <w:rPr>
                <w:sz w:val="18"/>
              </w:rPr>
              <w:t>236</w:t>
            </w:r>
          </w:p>
        </w:tc>
        <w:tc>
          <w:tcPr>
            <w:tcW w:type="dxa" w:w="2469"/>
          </w:tcPr>
          <w:p>
            <w:r>
              <w:rPr>
                <w:sz w:val="18"/>
              </w:rPr>
              <w:t>covenants</w:t>
            </w:r>
          </w:p>
        </w:tc>
        <w:tc>
          <w:tcPr>
            <w:tcW w:type="dxa" w:w="2469"/>
          </w:tcPr>
          <w:p>
            <w:r>
              <w:rPr>
                <w:sz w:val="18"/>
              </w:rPr>
              <w:t>38</w:t>
            </w:r>
          </w:p>
        </w:tc>
      </w:tr>
      <w:tr>
        <w:tc>
          <w:tcPr>
            <w:tcW w:type="dxa" w:w="2469"/>
          </w:tcPr>
          <w:p>
            <w:r>
              <w:rPr>
                <w:sz w:val="18"/>
              </w:rPr>
              <w:t>financial engine</w:t>
            </w:r>
          </w:p>
        </w:tc>
        <w:tc>
          <w:tcPr>
            <w:tcW w:type="dxa" w:w="2469"/>
          </w:tcPr>
          <w:p>
            <w:r>
              <w:rPr>
                <w:sz w:val="18"/>
              </w:rPr>
              <w:t>195</w:t>
            </w:r>
          </w:p>
        </w:tc>
        <w:tc>
          <w:tcPr>
            <w:tcW w:type="dxa" w:w="2469"/>
          </w:tcPr>
          <w:p>
            <w:r>
              <w:rPr>
                <w:sz w:val="18"/>
              </w:rPr>
              <w:t>concurrency</w:t>
            </w:r>
          </w:p>
        </w:tc>
        <w:tc>
          <w:tcPr>
            <w:tcW w:type="dxa" w:w="2469"/>
          </w:tcPr>
          <w:p>
            <w:r>
              <w:rPr>
                <w:sz w:val="18"/>
              </w:rPr>
              <w:t>30</w:t>
            </w:r>
          </w:p>
        </w:tc>
      </w:tr>
      <w:tr>
        <w:tc>
          <w:tcPr>
            <w:tcW w:type="dxa" w:w="2469"/>
          </w:tcPr>
          <w:p>
            <w:r>
              <w:rPr>
                <w:sz w:val="18"/>
              </w:rPr>
              <w:t>persistence</w:t>
            </w:r>
          </w:p>
        </w:tc>
        <w:tc>
          <w:tcPr>
            <w:tcW w:type="dxa" w:w="2469"/>
          </w:tcPr>
          <w:p>
            <w:r>
              <w:rPr>
                <w:sz w:val="18"/>
              </w:rPr>
              <w:t>92</w:t>
            </w:r>
          </w:p>
        </w:tc>
        <w:tc>
          <w:tcPr>
            <w:tcW w:type="dxa" w:w="2469"/>
          </w:tcPr>
          <w:p>
            <w:r>
              <w:rPr>
                <w:sz w:val="18"/>
              </w:rPr>
              <w:t>borrower file</w:t>
            </w:r>
          </w:p>
        </w:tc>
        <w:tc>
          <w:tcPr>
            <w:tcW w:type="dxa" w:w="2469"/>
          </w:tcPr>
          <w:p>
            <w:r>
              <w:rPr>
                <w:sz w:val="18"/>
              </w:rPr>
              <w:t>29</w:t>
            </w:r>
          </w:p>
        </w:tc>
      </w:tr>
      <w:tr>
        <w:tc>
          <w:tcPr>
            <w:tcW w:type="dxa" w:w="2469"/>
          </w:tcPr>
          <w:p>
            <w:r>
              <w:rPr>
                <w:sz w:val="18"/>
              </w:rPr>
              <w:t>commitments</w:t>
            </w:r>
          </w:p>
        </w:tc>
        <w:tc>
          <w:tcPr>
            <w:tcW w:type="dxa" w:w="2469"/>
          </w:tcPr>
          <w:p>
            <w:r>
              <w:rPr>
                <w:sz w:val="18"/>
              </w:rPr>
              <w:t>90</w:t>
            </w:r>
          </w:p>
        </w:tc>
        <w:tc>
          <w:tcPr>
            <w:tcW w:type="dxa" w:w="2469"/>
          </w:tcPr>
          <w:p>
            <w:r>
              <w:rPr>
                <w:sz w:val="18"/>
              </w:rPr>
              <w:t>evaluation harness</w:t>
            </w:r>
          </w:p>
        </w:tc>
        <w:tc>
          <w:tcPr>
            <w:tcW w:type="dxa" w:w="2469"/>
          </w:tcPr>
          <w:p>
            <w:r>
              <w:rPr>
                <w:sz w:val="18"/>
              </w:rPr>
              <w:t>24</w:t>
            </w:r>
          </w:p>
        </w:tc>
      </w:tr>
      <w:tr>
        <w:tc>
          <w:tcPr>
            <w:tcW w:type="dxa" w:w="2469"/>
          </w:tcPr>
          <w:p>
            <w:r>
              <w:rPr>
                <w:sz w:val="18"/>
              </w:rPr>
              <w:t>books</w:t>
            </w:r>
          </w:p>
        </w:tc>
        <w:tc>
          <w:tcPr>
            <w:tcW w:type="dxa" w:w="2469"/>
          </w:tcPr>
          <w:p>
            <w:r>
              <w:rPr>
                <w:sz w:val="18"/>
              </w:rPr>
              <w:t>83</w:t>
            </w:r>
          </w:p>
        </w:tc>
        <w:tc>
          <w:tcPr>
            <w:tcW w:type="dxa" w:w="2469"/>
          </w:tcPr>
          <w:p>
            <w:r>
              <w:rPr>
                <w:sz w:val="18"/>
              </w:rPr>
              <w:t>money and fixtures</w:t>
            </w:r>
          </w:p>
        </w:tc>
        <w:tc>
          <w:tcPr>
            <w:tcW w:type="dxa" w:w="2469"/>
          </w:tcPr>
          <w:p>
            <w:r>
              <w:rPr>
                <w:sz w:val="18"/>
              </w:rPr>
              <w:t>11</w:t>
            </w:r>
          </w:p>
        </w:tc>
      </w:tr>
      <w:tr>
        <w:tc>
          <w:tcPr>
            <w:tcW w:type="dxa" w:w="2469"/>
          </w:tcPr>
          <w:p>
            <w:r>
              <w:rPr>
                <w:sz w:val="18"/>
              </w:rPr>
              <w:t>counterparties</w:t>
            </w:r>
          </w:p>
        </w:tc>
        <w:tc>
          <w:tcPr>
            <w:tcW w:type="dxa" w:w="2469"/>
          </w:tcPr>
          <w:p>
            <w:r>
              <w:rPr>
                <w:sz w:val="18"/>
              </w:rPr>
              <w:t>76</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Windows, 3 Oct 2026, </w:t>
      </w:r>
      <w:r>
        <w:rPr>
          <w:rFonts w:ascii="Courier New" w:hAnsi="Courier New"/>
          <w:sz w:val="18"/>
        </w:rPr>
        <w:t>dev</w:t>
      </w:r>
      <w:r>
        <w:rPr/>
        <w:t xml:space="preserve"> at </w:t>
      </w:r>
      <w:r>
        <w:rPr>
          <w:rFonts w:ascii="Courier New" w:hAnsi="Courier New"/>
          <w:sz w:val="18"/>
        </w:rPr>
        <w:t>db097e0</w:t>
      </w:r>
      <w:r>
        <w:rPr/>
        <w:t xml:space="preserve">): </w:t>
      </w:r>
      <w:r>
        <w:rPr>
          <w:b/>
        </w:rPr>
        <w:t>5,446 passed, 33 skipped, 0 failed</w:t>
      </w:r>
      <w:r>
        <w:rPr/>
        <w:t xml:space="preserve">, run as two sequential chunks that together cover every test directory (chunk A 7 min 50 s, chunk B 6 min 3 s; chunk A is </w:t>
      </w:r>
      <w:r>
        <w:rPr>
          <w:rFonts w:ascii="Courier New" w:hAnsi="Courier New"/>
          <w:sz w:val="18"/>
        </w:rPr>
        <w:t>tests/alerts tests/api tests/books tests/borrower_file tests/capex tests/clock tests/commitments tests/compiler tests/counterparties tests/covenants tests/egress tests/evals tests/financial tests/funding</w:t>
      </w:r>
      <w:r>
        <w:rPr/>
        <w:t xml:space="preserve">, chunk B is </w:t>
      </w:r>
      <w:r>
        <w:rPr>
          <w:rFonts w:ascii="Courier New" w:hAnsi="Courier New"/>
          <w:sz w:val="18"/>
        </w:rPr>
        <w:t>tests/mandate tests/nl tests/operations tests/persistence tests/security tests/verifier tests/whatif tests/concurrency tests/certification tests/test_fixtures.py tests/test_money.py</w:t>
      </w:r>
      <w:r>
        <w:rPr/>
        <w:t>). The skips are 7 router latency benchmarks (</w:t>
      </w:r>
      <w:r>
        <w:rPr>
          <w:rFonts w:ascii="Courier New" w:hAnsi="Courier New"/>
          <w:sz w:val="18"/>
        </w:rPr>
        <w:t>SKIP_PERF_BENCH=1</w:t>
      </w:r>
      <w:r>
        <w:rPr/>
        <w:t xml:space="preserve">; their targets were set on another machine), 15 exhaustive router differential cases that run only with </w:t>
      </w:r>
      <w:r>
        <w:rPr>
          <w:rFonts w:ascii="Courier New" w:hAnsi="Courier New"/>
          <w:sz w:val="18"/>
        </w:rPr>
        <w:t>ROUTER_DIFF_FULL=1</w:t>
      </w:r>
      <w:r>
        <w:rPr/>
        <w:t xml:space="preserve">, 10 PostgreSQL concurrency cases that need </w:t>
      </w:r>
      <w:r>
        <w:rPr>
          <w:rFonts w:ascii="Courier New" w:hAnsi="Courier New"/>
          <w:sz w:val="18"/>
        </w:rPr>
        <w:t>TERMSLEDGER_TEST_DATABASE_URL</w:t>
      </w:r>
      <w:r>
        <w:rPr/>
        <w:t>, and the SQL variant of a corrupted-row test, which the attack catalogue covers (FR-12c). The run uses the recorded-output cache and an in-memory store, and the concurrency suite ran on SQLite only; live-model mode was not tested and PostgreSQL was not run (uncertainty debt U-001, U-002).</w:t>
      </w:r>
    </w:p>
    <w:p>
      <w:r>
        <w:rPr>
          <w:b/>
        </w:rPr>
        <w:t>Web app</w:t>
      </w:r>
      <w:r>
        <w:rPr/>
        <w:t xml:space="preserve"> (</w:t>
      </w:r>
      <w:r>
        <w:rPr>
          <w:rFonts w:ascii="Courier New" w:hAnsi="Courier New"/>
          <w:sz w:val="18"/>
        </w:rPr>
        <w:t>apps/web</w:t>
      </w:r>
      <w:r>
        <w:rPr/>
        <w:t xml:space="preserve">; the last counts recorded in </w:t>
      </w:r>
      <w:r>
        <w:rPr>
          <w:rFonts w:ascii="Courier New" w:hAnsi="Courier New"/>
          <w:sz w:val="18"/>
        </w:rPr>
        <w:t>docs/CONTINUOUS_OPTIMIZATION.md</w:t>
      </w:r>
      <w:r>
        <w:rPr/>
        <w:t xml:space="preserve">, before the later figure changes, and the web refresh is in progress): the mock-mode Playwright run passed </w:t>
      </w:r>
      <w:r>
        <w:rPr>
          <w:b/>
        </w:rPr>
        <w:t>35 tests</w:t>
      </w:r>
      <w:r>
        <w:rPr/>
        <w:t xml:space="preserve"> and the live project </w:t>
      </w:r>
      <w:r>
        <w:rPr>
          <w:b/>
        </w:rPr>
        <w:t>30</w:t>
      </w:r>
      <w:r>
        <w:rPr/>
        <w:t xml:space="preserve">. They cover the demo walk with the golden numbers (including the two-step day-34 cure and the day-37 landing), the owner home, the chat panel, owner sign-in, the Tier-2 approval queue, and the adapter contract. [TEAM: rerun </w:t>
      </w:r>
      <w:r>
        <w:rPr>
          <w:rFonts w:ascii="Courier New" w:hAnsi="Courier New"/>
          <w:sz w:val="18"/>
        </w:rPr>
        <w:t>pnpm lint</w:t>
      </w:r>
      <w:r>
        <w:rPr/>
        <w:t xml:space="preserve">, </w:t>
      </w:r>
      <w:r>
        <w:rPr>
          <w:rFonts w:ascii="Courier New" w:hAnsi="Courier New"/>
          <w:sz w:val="18"/>
        </w:rPr>
        <w:t>pnpm typecheck</w:t>
      </w:r>
      <w:r>
        <w:rPr/>
        <w:t xml:space="preserve">, </w:t>
      </w:r>
      <w:r>
        <w:rPr>
          <w:rFonts w:ascii="Courier New" w:hAnsi="Courier New"/>
          <w:sz w:val="18"/>
        </w:rPr>
        <w:t>pnpm build</w:t>
      </w:r>
      <w:r>
        <w:rPr/>
        <w:t xml:space="preserve">, </w:t>
      </w:r>
      <w:r>
        <w:rPr>
          <w:rFonts w:ascii="Courier New" w:hAnsi="Courier New"/>
          <w:sz w:val="18"/>
        </w:rPr>
        <w:t>pnpm test:unit</w:t>
      </w:r>
      <w:r>
        <w:rPr/>
        <w:t xml:space="preserve"> and both Playwright projects at the submitted commit; they were not re-run for this document.]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no cap on unauthenticated intake, concurrency proven on SQLite but not PostgreSQL so one worker only, the live-model certification not run)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not exercised.</w:t>
      </w:r>
      <w:r>
        <w:rPr/>
        <w:t xml:space="preserve"> The concurrency invariants are proven on SQLite with two processes; the same suite runs on PostgreSQL once a database URL is supplied, and until then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