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which you can run with one command (section 02).</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w:t>
            </w:r>
          </w:p>
        </w:tc>
      </w:tr>
      <w:tr>
        <w:tc>
          <w:tcPr>
            <w:tcW w:type="dxa" w:w="3293"/>
          </w:tcPr>
          <w:p>
            <w:r>
              <w:rPr>
                <w:b/>
                <w:sz w:val="18"/>
              </w:rPr>
              <w:t>Counterparty</w:t>
            </w:r>
            <w:r>
              <w:rPr>
                <w:sz w:val="18"/>
              </w:rPr>
              <w:t xml:space="preserve"> (buyer, lender, unknown sender, anyone else)</w:t>
            </w:r>
          </w:p>
        </w:tc>
        <w:tc>
          <w:tcPr>
            <w:tcW w:type="dxa" w:w="3293"/>
          </w:tcPr>
          <w:p>
            <w:r>
              <w:rPr>
                <w:sz w:val="18"/>
              </w:rPr>
              <w:t>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The schema has no field for an operation, an approval, a tier, a reply or a facility to add.</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w:t>
            </w:r>
          </w:p>
        </w:tc>
        <w:tc>
          <w:tcPr>
            <w:tcW w:type="dxa" w:w="2469"/>
          </w:tcPr>
          <w:p>
            <w:r>
              <w:rPr>
                <w:rFonts w:ascii="Courier New" w:hAnsi="Courier New"/>
                <w:sz w:val="18"/>
              </w:rPr>
              <w:t>demo-bank-feed-key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(0.8832% on the golden fixture),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submit an eligible, buyer-confirmed invoice to the onboarded financing facility;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generate the borrower file; draw on or submit to any facility that is not COMMITTED and owner-approved; any commitment above </w:t>
            </w:r>
            <w:r>
              <w:rPr>
                <w:rFonts w:ascii="Courier New" w:hAnsi="Courier New"/>
                <w:sz w:val="18"/>
              </w:rPr>
              <w:t>tier2_single_commitment_fen</w:t>
            </w:r>
            <w:r>
              <w:rPr>
                <w:sz w:val="18"/>
              </w:rPr>
              <w:t xml:space="preserve"> (¥100,000);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known key returns </w:t>
      </w:r>
      <w:r>
        <w:rPr>
          <w:rFonts w:ascii="Courier New" w:hAnsi="Courier New"/>
          <w:sz w:val="18"/>
        </w:rPr>
        <w:t>DUPLICATE</w:t>
      </w:r>
      <w:r>
        <w:rPr/>
        <w:t xml:space="preserve"> and nothing runs again.</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refusals in seven days open it, and only the owner can reset it.</w:t>
      </w:r>
    </w:p>
    <w:p>
      <w:pPr>
        <w:ind w:left="720" w:hanging="288"/>
      </w:pPr>
      <w:r>
        <w:t xml:space="preserve">6. </w:t>
      </w:r>
      <w:r>
        <w:rPr/>
        <w:t>For acceptances: the commitment must exist and not be revoked; the nonce must be single-use and match (constant-time compare); the commitment must not be expired; the terms hash must match; the mandate version must match; and a verifier verdict must back the terms.</w:t>
      </w:r>
    </w:p>
    <w:p>
      <w:pPr>
        <w:ind w:left="720" w:hanging="288"/>
      </w:pPr>
      <w:r>
        <w:t xml:space="preserve">7. </w:t>
      </w:r>
      <w:r>
        <w:rPr/>
        <w:t>Tier 2: queued.</w:t>
      </w:r>
    </w:p>
    <w:p>
      <w:pPr>
        <w:ind w:left="720" w:hanging="288"/>
      </w:pPr>
      <w:r>
        <w:t xml:space="preserve">8. </w:t>
      </w:r>
      <w:r>
        <w:rPr/>
        <w:t>Per-kind preconditions: limits, facility kind and status, receivable status, buyer confirmation.</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and it is currently unauthenticated (finding F-05).</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122 attacks, each stored as data: id, category, vector, language, expected controls and steps. The runner </w:t>
      </w:r>
      <w:r>
        <w:rPr>
          <w:rFonts w:ascii="Courier New" w:hAnsi="Courier New"/>
          <w:sz w:val="18"/>
        </w:rPr>
        <w:t>app/security/attacks.py</w:t>
      </w:r>
      <w:r>
        <w:rPr/>
        <w:t xml:space="preserve">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122 parametrised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Across all </w:t>
      </w:r>
      <w:r>
        <w:rPr>
          <w:b/>
        </w:rPr>
        <w:t>122</w:t>
      </w:r>
      <w:r>
        <w:rPr/>
        <w:t xml:space="preserve"> attacks: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40 / 21 / 20 / 21 attempts)</w:t>
            </w:r>
          </w:p>
        </w:tc>
      </w:tr>
      <w:tr>
        <w:tc>
          <w:tcPr>
            <w:tcW w:type="dxa" w:w="4939"/>
          </w:tcPr>
          <w:p>
            <w:r>
              <w:rPr>
                <w:sz w:val="18"/>
              </w:rPr>
              <w:t>Detection rate (SecurityEvent or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70.5%</w:t>
            </w:r>
            <w:r>
              <w:rPr>
                <w:sz w:val="18"/>
              </w:rPr>
              <w:t xml:space="preserve"> (86 of 122)</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16</w:t>
            </w:r>
          </w:p>
        </w:tc>
        <w:tc>
          <w:tcPr>
            <w:tcW w:type="dxa" w:w="1098"/>
          </w:tcPr>
          <w:p>
            <w:r>
              <w:rPr>
                <w:sz w:val="16"/>
              </w:rPr>
              <w:t>0</w:t>
            </w:r>
          </w:p>
        </w:tc>
        <w:tc>
          <w:tcPr>
            <w:tcW w:type="dxa" w:w="1098"/>
          </w:tcPr>
          <w:p>
            <w:r>
              <w:rPr>
                <w:sz w:val="16"/>
              </w:rPr>
              <w:t>16</w:t>
            </w:r>
          </w:p>
        </w:tc>
        <w:tc>
          <w:tcPr>
            <w:tcW w:type="dxa" w:w="1098"/>
          </w:tcPr>
          <w:p>
            <w:r>
              <w:rPr>
                <w:sz w:val="16"/>
              </w:rPr>
              <w:t>16</w:t>
            </w:r>
          </w:p>
        </w:tc>
        <w:tc>
          <w:tcPr>
            <w:tcW w:type="dxa" w:w="1098"/>
          </w:tcPr>
          <w:p>
            <w:r>
              <w:rPr>
                <w:sz w:val="16"/>
              </w:rPr>
              <w:t>14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9</w:t>
            </w:r>
          </w:p>
        </w:tc>
        <w:tc>
          <w:tcPr>
            <w:tcW w:type="dxa" w:w="1098"/>
          </w:tcPr>
          <w:p>
            <w:r>
              <w:rPr>
                <w:sz w:val="16"/>
              </w:rPr>
              <w:t>0</w:t>
            </w:r>
          </w:p>
        </w:tc>
        <w:tc>
          <w:tcPr>
            <w:tcW w:type="dxa" w:w="1098"/>
          </w:tcPr>
          <w:p>
            <w:r>
              <w:rPr>
                <w:sz w:val="16"/>
              </w:rPr>
              <w:t>9</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20</w:t>
            </w:r>
          </w:p>
        </w:tc>
        <w:tc>
          <w:tcPr>
            <w:tcW w:type="dxa" w:w="1098"/>
          </w:tcPr>
          <w:p>
            <w:r>
              <w:rPr>
                <w:sz w:val="16"/>
              </w:rPr>
              <w:t>0</w:t>
            </w:r>
          </w:p>
        </w:tc>
        <w:tc>
          <w:tcPr>
            <w:tcW w:type="dxa" w:w="1098"/>
          </w:tcPr>
          <w:p>
            <w:r>
              <w:rPr>
                <w:sz w:val="16"/>
              </w:rPr>
              <w:t>17</w:t>
            </w:r>
          </w:p>
        </w:tc>
        <w:tc>
          <w:tcPr>
            <w:tcW w:type="dxa" w:w="1098"/>
          </w:tcPr>
          <w:p>
            <w:r>
              <w:rPr>
                <w:sz w:val="16"/>
              </w:rPr>
              <w:t>13</w:t>
            </w:r>
          </w:p>
        </w:tc>
        <w:tc>
          <w:tcPr>
            <w:tcW w:type="dxa" w:w="1098"/>
          </w:tcPr>
          <w:p>
            <w:r>
              <w:rPr>
                <w:sz w:val="16"/>
              </w:rPr>
              <w:t>0</w:t>
            </w:r>
          </w:p>
        </w:tc>
        <w:tc>
          <w:tcPr>
            <w:tcW w:type="dxa" w:w="1098"/>
          </w:tcPr>
          <w:p>
            <w:r>
              <w:rPr>
                <w:sz w:val="16"/>
              </w:rPr>
              <w:t>3</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Reading the detection numbers honestly.</w:t>
      </w:r>
    </w:p>
    <w:p>
      <w:pPr>
        <w:pStyle w:val="ListBullet2"/>
        <w:tabs>
          <w:tab w:pos="792" w:val="left"/>
        </w:tabs>
        <w:ind w:left="792" w:hanging="288"/>
      </w:pPr>
      <w:r>
        <w:rPr/>
        <w:t xml:space="preserve">The 97.5%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three "contained only" attacks (PE-07, PE-14, PE-20)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sz w:val="16"/>
              </w:rPr>
              <w:t>Open</w:t>
            </w:r>
          </w:p>
        </w:tc>
        <w:tc>
          <w:tcPr>
            <w:tcW w:type="dxa" w:w="1646"/>
          </w:tcPr>
          <w:p>
            <w:r>
              <w:rPr>
                <w:b/>
                <w:sz w:val="16"/>
              </w:rPr>
              <w:t>No 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come from the intake payload, so a spoofed message "from BUYER-1" is treated as BUYER-1.</w:t>
            </w:r>
          </w:p>
        </w:tc>
        <w:tc>
          <w:tcPr>
            <w:tcW w:type="dxa" w:w="1646"/>
          </w:tcPr>
          <w:p>
            <w:r>
              <w:rPr>
                <w:sz w:val="16"/>
              </w:rPr>
              <w:t>Medium: a spoofed buyer can make offers; it still gets only verified, in-mandate outcomes.</w:t>
            </w:r>
          </w:p>
        </w:tc>
        <w:tc>
          <w:tcPr>
            <w:tcW w:type="dxa" w:w="1646"/>
          </w:tcPr>
          <w:p>
            <w:r>
              <w:rPr>
                <w:sz w:val="16"/>
              </w:rPr>
              <w:t>Funding claims are flagged whatever the sender (FL-07); claims need ledger evidence.</w:t>
            </w:r>
          </w:p>
        </w:tc>
        <w:tc>
          <w:tcPr>
            <w:tcW w:type="dxa" w:w="1646"/>
          </w:tcPr>
          <w:p>
            <w:r>
              <w:rPr>
                <w:sz w:val="16"/>
              </w:rPr>
              <w:t>Bind intake to authenticated channels (mail DKIM, portal login) and record channel provenance on each document.</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must take the actor from the authenticated session only; add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