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What the owner sees (the pages as of 12 Oct 2026).</w:t>
      </w:r>
      <w:r>
        <w:rP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rP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rPr/>
        <w:t xml:space="preserve">). The browser computes no money and no date words: every amount and every "when" is a display string written by the server in English and Chinese (INVARIANT 13, </w:t>
      </w:r>
      <w:r>
        <w:rPr>
          <w:rFonts w:ascii="Courier New" w:hAnsi="Courier New"/>
          <w:sz w:val="18"/>
        </w:rPr>
        <w:t>docs/INVARIANTS.md</w:t>
      </w:r>
      <w:r>
        <w:rPr/>
        <w:t xml:space="preserve">; </w:t>
      </w:r>
      <w:r>
        <w:rPr>
          <w:rFonts w:ascii="Courier New" w:hAnsi="Courier New"/>
          <w:sz w:val="18"/>
        </w:rPr>
        <w:t>app/api/display.py</w:t>
      </w:r>
      <w:r>
        <w:rPr/>
        <w:t xml:space="preserve"> and </w:t>
      </w:r>
      <w:r>
        <w:rPr>
          <w:rFonts w:ascii="Courier New" w:hAnsi="Courier New"/>
          <w:sz w:val="18"/>
        </w:rPr>
        <w:t>app/api/presentation.py</w:t>
      </w:r>
      <w:r>
        <w:rPr/>
        <w:t>, handoff 08 section 4). The pages are Home, Deals, Cash and funding, Receivables and Activity, with Approvals, Documents, Limits and the decision record behind them (handoff 09 section 2).</w:t>
      </w:r>
    </w:p>
    <w:p>
      <w:r>
        <w:rPr>
          <w:b/>
        </w:rPr>
        <w:t>Decisions have a lifecycle, kept in a record (ADR-0011).</w:t>
      </w:r>
      <w:r>
        <w:rP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rPr/>
        <w:t xml:space="preserve"> sections 1 and 5; </w:t>
      </w:r>
      <w:r>
        <w:rPr>
          <w:rFonts w:ascii="Courier New" w:hAnsi="Courier New"/>
          <w:sz w:val="18"/>
        </w:rPr>
        <w:t>tests/decisions/test_isolation.py</w:t>
      </w:r>
      <w:r>
        <w:rP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rPr/>
        <w:t xml:space="preserve"> sections 3 and 5, </w:t>
      </w:r>
      <w:r>
        <w:rPr>
          <w:rFonts w:ascii="Courier New" w:hAnsi="Courier New"/>
          <w:sz w:val="18"/>
        </w:rPr>
        <w:t>docs/SYSTEM_WALKTHROUGH.md</w:t>
      </w:r>
      <w:r>
        <w:rPr/>
        <w:t xml:space="preserve"> section 12).</w:t>
      </w:r>
    </w:p>
    <w:p>
      <w:r>
        <w:rPr>
          <w:b/>
        </w:rPr>
        <w:t>Contracts the owner confirms (ADR-0012).</w:t>
      </w:r>
      <w:r>
        <w:rP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rPr/>
        <w:t xml:space="preserve">; README, features table). A later confirmed buyer contract marks the earlier one superseded (handoff 09 section 2). </w:t>
      </w:r>
      <w:r>
        <w:rPr>
          <w:b/>
        </w:rPr>
        <w:t>What is not claimed:</w:t>
      </w:r>
      <w:r>
        <w:rP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rPr/>
        <w:t>; ADR-0012, Consequences).</w:t>
      </w:r>
    </w:p>
    <w:p>
      <w:r>
        <w:rPr>
          <w:b/>
        </w:rPr>
        <w:t>Strategy answers behind flags, read-only.</w:t>
      </w:r>
      <w:r>
        <w:rP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rPr/>
        <w:t xml:space="preserve">, </w:t>
      </w:r>
      <w:r>
        <w:rPr>
          <w:rFonts w:ascii="Courier New" w:hAnsi="Courier New"/>
          <w:sz w:val="18"/>
        </w:rPr>
        <w:t>FEATURE_PRICE_CURVE</w:t>
      </w:r>
      <w:r>
        <w:rPr/>
        <w:t xml:space="preserve">, </w:t>
      </w:r>
      <w:r>
        <w:rPr>
          <w:rFonts w:ascii="Courier New" w:hAnsi="Courier New"/>
          <w:sz w:val="18"/>
        </w:rPr>
        <w:t>FEATURE_COLLECTIONS_WORTH</w:t>
      </w:r>
      <w:r>
        <w:rPr/>
        <w:t xml:space="preserve"> in </w:t>
      </w:r>
      <w:r>
        <w:rPr>
          <w:rFonts w:ascii="Courier New" w:hAnsi="Courier New"/>
          <w:sz w:val="18"/>
        </w:rPr>
        <w:t>app/config.py</w:t>
      </w:r>
      <w:r>
        <w:rPr/>
        <w:t xml:space="preserve">), and the web shows them only with </w:t>
      </w:r>
      <w:r>
        <w:rPr>
          <w:rFonts w:ascii="Courier New" w:hAnsi="Courier New"/>
          <w:sz w:val="18"/>
        </w:rPr>
        <w:t>NEXT_PUBLIC_STRATEGY_MVP=1</w:t>
      </w:r>
      <w:r>
        <w:rPr/>
        <w:t xml:space="preserve">; with the flags off the routes answer 403 </w:t>
      </w:r>
      <w:r>
        <w:rPr>
          <w:rFonts w:ascii="Courier New" w:hAnsi="Courier New"/>
          <w:sz w:val="18"/>
        </w:rPr>
        <w:t>FEATURE_DISABLED</w:t>
      </w:r>
      <w:r>
        <w:rPr/>
        <w:t xml:space="preserve"> (</w:t>
      </w:r>
      <w:r>
        <w:rPr>
          <w:rFonts w:ascii="Courier New" w:hAnsi="Courier New"/>
          <w:sz w:val="18"/>
        </w:rPr>
        <w:t>docs/STRATEGY_MVP_REPORT.md</w:t>
      </w:r>
      <w:r>
        <w:rPr/>
        <w:t xml:space="preserve"> section 1). Nothing executes from them: no operation, no tier, no mandate change.</w:t>
      </w:r>
    </w:p>
    <w:p>
      <w:r>
        <w:rPr>
          <w:b/>
        </w:rPr>
        <w:t>Nothing executes outside the signed mandate.</w:t>
      </w:r>
      <w:r>
        <w:rP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rPr/>
        <w:t xml:space="preserve"> section 1).</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pPr>
        <w:ind w:left="720" w:hanging="288"/>
      </w:pPr>
      <w:r>
        <w:t xml:space="preserve">7. </w:t>
      </w:r>
      <w:r>
        <w:rPr/>
        <w:t>A document the agent read never changes the books: the owner's confirmation is a hash-bound record on the chain, and the deal summary only reads it (ADR-0012).</w:t>
      </w:r>
    </w:p>
    <w:p>
      <w:pPr>
        <w:ind w:left="720" w:hanging="288"/>
      </w:pPr>
      <w:r>
        <w:t xml:space="preserve">8. </w:t>
      </w:r>
      <w:r>
        <w:rPr/>
        <w:t>The strategy answers are read-only and flagged off by default; they compute on labelled copies and execute nothing (</w:t>
      </w:r>
      <w:r>
        <w:rPr>
          <w:rFonts w:ascii="Courier New" w:hAnsi="Courier New"/>
          <w:sz w:val="18"/>
        </w:rPr>
        <w:t>docs/STRATEGY_MVP_REPORT.md</w:t>
      </w:r>
      <w:r>
        <w:rPr/>
        <w:t xml:space="preserve"> section 1).</w:t>
      </w:r>
    </w:p>
    <w:p>
      <w:r>
        <w:rP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uploaded contract --&gt; ingest/ --&gt; contracts/ record --&gt; owner confirms (executor, log only, no books)</w:t>
        <w:br/>
      </w:r>
      <w:r>
        <w:rPr>
          <w:rFonts w:ascii="Courier New" w:hAnsi="Courier New" w:eastAsia="Courier New"/>
          <w:sz w:val="14"/>
        </w:rPr>
        <w:t xml:space="preserve">  decisions/ record (ADR-0011) and strategy/ (flagged, read-only) read the stores; the engine imports neither</w:t>
        <w:br/>
      </w:r>
      <w:r>
        <w:rPr>
          <w:rFonts w:ascii="Courier New" w:hAnsi="Courier New" w:eastAsia="Courier New"/>
          <w:sz w:val="14"/>
        </w:rPr>
        <w:t xml:space="preserve">  apps/web (Next.js): five pages,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6"/>
              </w:rPr>
              <w:t>Component</w:t>
            </w:r>
          </w:p>
        </w:tc>
        <w:tc>
          <w:tcPr>
            <w:tcW w:type="dxa" w:w="3293"/>
            <w:shd w:val="clear" w:color="auto" w:fill="E8EEFB"/>
          </w:tcPr>
          <w:p>
            <w:r>
              <w:rPr>
                <w:b/>
                <w:sz w:val="16"/>
              </w:rPr>
              <w:t>Responsibility</w:t>
            </w:r>
          </w:p>
        </w:tc>
        <w:tc>
          <w:tcPr>
            <w:tcW w:type="dxa" w:w="3293"/>
            <w:shd w:val="clear" w:color="auto" w:fill="E8EEFB"/>
          </w:tcPr>
          <w:p>
            <w:r>
              <w:rPr>
                <w:b/>
                <w:sz w:val="16"/>
              </w:rPr>
              <w:t>Trust</w:t>
            </w:r>
          </w:p>
        </w:tc>
      </w:tr>
      <w:tr>
        <w:tc>
          <w:tcPr>
            <w:tcW w:type="dxa" w:w="3293"/>
          </w:tcPr>
          <w:p>
            <w:r>
              <w:rPr>
                <w:rFonts w:ascii="Courier New" w:hAnsi="Courier New"/>
                <w:sz w:val="16"/>
              </w:rPr>
              <w:t>compiler/</w:t>
            </w:r>
          </w:p>
        </w:tc>
        <w:tc>
          <w:tcPr>
            <w:tcW w:type="dxa" w:w="3293"/>
          </w:tcPr>
          <w:p>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type="dxa" w:w="3293"/>
          </w:tcPr>
          <w:p>
            <w:r>
              <w:rPr>
                <w:sz w:val="16"/>
              </w:rPr>
              <w:t>Untrusted output; schema-validated</w:t>
            </w:r>
          </w:p>
        </w:tc>
      </w:tr>
      <w:tr>
        <w:tc>
          <w:tcPr>
            <w:tcW w:type="dxa" w:w="3293"/>
          </w:tcPr>
          <w:p>
            <w:r>
              <w:rPr>
                <w:rFonts w:ascii="Courier New" w:hAnsi="Courier New"/>
                <w:sz w:val="16"/>
              </w:rPr>
              <w:t>financial/</w:t>
            </w:r>
          </w:p>
        </w:tc>
        <w:tc>
          <w:tcPr>
            <w:tcW w:type="dxa" w:w="3293"/>
          </w:tcPr>
          <w:p>
            <w:r>
              <w:rPr>
                <w:sz w:val="16"/>
              </w:rPr>
              <w:t>The daily cash recursion, debt ledger and forward-concession valuation, in integer fen, in conservative and expected modes</w:t>
            </w:r>
          </w:p>
        </w:tc>
        <w:tc>
          <w:tcPr>
            <w:tcW w:type="dxa" w:w="3293"/>
          </w:tcPr>
          <w:p>
            <w:r>
              <w:rPr>
                <w:sz w:val="16"/>
              </w:rPr>
              <w:t>Trusted, deterministic</w:t>
            </w:r>
          </w:p>
        </w:tc>
      </w:tr>
      <w:tr>
        <w:tc>
          <w:tcPr>
            <w:tcW w:type="dxa" w:w="3293"/>
          </w:tcPr>
          <w:p>
            <w:r>
              <w:rPr>
                <w:rFonts w:ascii="Courier New" w:hAnsi="Courier New"/>
                <w:sz w:val="16"/>
              </w:rPr>
              <w:t>covenants/</w:t>
            </w:r>
          </w:p>
        </w:tc>
        <w:tc>
          <w:tcPr>
            <w:tcW w:type="dxa" w:w="3293"/>
          </w:tcPr>
          <w:p>
            <w:r>
              <w:rPr>
                <w:sz w:val="16"/>
              </w:rPr>
              <w:t>DSCR, leverage and clean-down per facility definition, evaluated monthly on the projected state</w:t>
            </w:r>
          </w:p>
        </w:tc>
        <w:tc>
          <w:tcPr>
            <w:tcW w:type="dxa" w:w="3293"/>
          </w:tcPr>
          <w:p>
            <w:r>
              <w:rPr>
                <w:sz w:val="16"/>
              </w:rPr>
              <w:t>Trusted, deterministic</w:t>
            </w:r>
          </w:p>
        </w:tc>
      </w:tr>
      <w:tr>
        <w:tc>
          <w:tcPr>
            <w:tcW w:type="dxa" w:w="3293"/>
          </w:tcPr>
          <w:p>
            <w:r>
              <w:rPr>
                <w:rFonts w:ascii="Courier New" w:hAnsi="Courier New"/>
                <w:sz w:val="16"/>
              </w:rPr>
              <w:t>funding/</w:t>
            </w:r>
          </w:p>
        </w:tc>
        <w:tc>
          <w:tcPr>
            <w:tcW w:type="dxa" w:w="3293"/>
          </w:tcPr>
          <w:p>
            <w:r>
              <w:rPr>
                <w:sz w:val="16"/>
              </w:rPr>
              <w:t>The Debt Desk router: grid search for the cheapest admissible mix; marginal cost of funds; break-even early-pay discount; the terms extension priced as a loan</w:t>
            </w:r>
          </w:p>
        </w:tc>
        <w:tc>
          <w:tcPr>
            <w:tcW w:type="dxa" w:w="3293"/>
          </w:tcPr>
          <w:p>
            <w:r>
              <w:rPr>
                <w:sz w:val="16"/>
              </w:rPr>
              <w:t>Trusted, deterministic</w:t>
            </w:r>
          </w:p>
        </w:tc>
      </w:tr>
      <w:tr>
        <w:tc>
          <w:tcPr>
            <w:tcW w:type="dxa" w:w="3293"/>
          </w:tcPr>
          <w:p>
            <w:r>
              <w:rPr>
                <w:rFonts w:ascii="Courier New" w:hAnsi="Courier New"/>
                <w:sz w:val="16"/>
              </w:rPr>
              <w:t>mandate/</w:t>
            </w:r>
          </w:p>
        </w:tc>
        <w:tc>
          <w:tcPr>
            <w:tcW w:type="dxa" w:w="3293"/>
          </w:tcPr>
          <w:p>
            <w:r>
              <w:rPr>
                <w:sz w:val="16"/>
              </w:rPr>
              <w:t>Canonical serialisation, Ed25519 signing and verification with a pinned owner key, validity (expiry, revocation, version), tier computation, mandate predicates</w:t>
            </w:r>
          </w:p>
        </w:tc>
        <w:tc>
          <w:tcPr>
            <w:tcW w:type="dxa" w:w="3293"/>
          </w:tcPr>
          <w:p>
            <w:r>
              <w:rPr>
                <w:sz w:val="16"/>
              </w:rPr>
              <w:t>Trusted; signed by the owner</w:t>
            </w:r>
          </w:p>
        </w:tc>
      </w:tr>
      <w:tr>
        <w:tc>
          <w:tcPr>
            <w:tcW w:type="dxa" w:w="3293"/>
          </w:tcPr>
          <w:p>
            <w:r>
              <w:rPr>
                <w:rFonts w:ascii="Courier New" w:hAnsi="Courier New"/>
                <w:sz w:val="16"/>
              </w:rPr>
              <w:t>verifier/</w:t>
            </w:r>
          </w:p>
        </w:tc>
        <w:tc>
          <w:tcPr>
            <w:tcW w:type="dxa" w:w="3293"/>
          </w:tcPr>
          <w:p>
            <w:r>
              <w:rPr>
                <w:sz w:val="16"/>
              </w:rPr>
              <w:t>The verdict algorithm, reason codes, formulas and counters priced from the marginal cost of funds. It imports no text-bearing field (enforced by an AST test).</w:t>
            </w:r>
          </w:p>
        </w:tc>
        <w:tc>
          <w:tcPr>
            <w:tcW w:type="dxa" w:w="3293"/>
          </w:tcPr>
          <w:p>
            <w:r>
              <w:rPr>
                <w:sz w:val="16"/>
              </w:rPr>
              <w:t>Trusted, deterministic</w:t>
            </w:r>
          </w:p>
        </w:tc>
      </w:tr>
      <w:tr>
        <w:tc>
          <w:tcPr>
            <w:tcW w:type="dxa" w:w="3293"/>
          </w:tcPr>
          <w:p>
            <w:r>
              <w:rPr>
                <w:rFonts w:ascii="Courier New" w:hAnsi="Courier New"/>
                <w:sz w:val="16"/>
              </w:rPr>
              <w:t>operations/</w:t>
            </w:r>
          </w:p>
        </w:tc>
        <w:tc>
          <w:tcPr>
            <w:tcW w:type="dxa" w:w="3293"/>
          </w:tcPr>
          <w:p>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type="dxa" w:w="3293"/>
          </w:tcPr>
          <w:p>
            <w:r>
              <w:rPr>
                <w:sz w:val="16"/>
              </w:rPr>
              <w:t>Trusted</w:t>
            </w:r>
          </w:p>
        </w:tc>
      </w:tr>
      <w:tr>
        <w:tc>
          <w:tcPr>
            <w:tcW w:type="dxa" w:w="3293"/>
          </w:tcPr>
          <w:p>
            <w:r>
              <w:rPr>
                <w:rFonts w:ascii="Courier New" w:hAnsi="Courier New"/>
                <w:sz w:val="16"/>
              </w:rPr>
              <w:t>commitments/</w:t>
            </w:r>
          </w:p>
        </w:tc>
        <w:tc>
          <w:tcPr>
            <w:tcW w:type="dxa" w:w="3293"/>
          </w:tcPr>
          <w:p>
            <w:r>
              <w:rPr>
                <w:sz w:val="16"/>
              </w:rPr>
              <w:t>Commitment lifecycle (PROPOSED → ACCEPTED → ACTIVE → FULFILLED, or EXPIRED / REVOKED), terms hash, nonce, expiry</w:t>
            </w:r>
          </w:p>
        </w:tc>
        <w:tc>
          <w:tcPr>
            <w:tcW w:type="dxa" w:w="3293"/>
          </w:tcPr>
          <w:p>
            <w:r>
              <w:rPr>
                <w:sz w:val="16"/>
              </w:rPr>
              <w:t>Trusted</w:t>
            </w:r>
          </w:p>
        </w:tc>
      </w:tr>
      <w:tr>
        <w:tc>
          <w:tcPr>
            <w:tcW w:type="dxa" w:w="3293"/>
          </w:tcPr>
          <w:p>
            <w:r>
              <w:rPr>
                <w:rFonts w:ascii="Courier New" w:hAnsi="Courier New"/>
                <w:sz w:val="16"/>
              </w:rPr>
              <w:t>books/</w:t>
            </w:r>
            <w:r>
              <w:rPr>
                <w:sz w:val="16"/>
              </w:rPr>
              <w:t xml:space="preserve">, </w:t>
            </w:r>
            <w:r>
              <w:rPr>
                <w:rFonts w:ascii="Courier New" w:hAnsi="Courier New"/>
                <w:sz w:val="16"/>
              </w:rPr>
              <w:t>clock/</w:t>
            </w:r>
          </w:p>
        </w:tc>
        <w:tc>
          <w:tcPr>
            <w:tcW w:type="dxa" w:w="3293"/>
          </w:tcPr>
          <w:p>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type="dxa" w:w="3293"/>
          </w:tcPr>
          <w:p>
            <w:r>
              <w:rPr>
                <w:sz w:val="16"/>
              </w:rPr>
              <w:t>Trusted, deterministic</w:t>
            </w:r>
          </w:p>
        </w:tc>
      </w:tr>
      <w:tr>
        <w:tc>
          <w:tcPr>
            <w:tcW w:type="dxa" w:w="3293"/>
          </w:tcPr>
          <w:p>
            <w:r>
              <w:rPr>
                <w:rFonts w:ascii="Courier New" w:hAnsi="Courier New"/>
                <w:sz w:val="16"/>
              </w:rPr>
              <w:t>persistence/</w:t>
            </w:r>
          </w:p>
        </w:tc>
        <w:tc>
          <w:tcPr>
            <w:tcW w:type="dxa" w:w="3293"/>
          </w:tcPr>
          <w:p>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type="dxa" w:w="3293"/>
          </w:tcPr>
          <w:p>
            <w:r>
              <w:rPr>
                <w:sz w:val="16"/>
              </w:rPr>
              <w:t>Trusted</w:t>
            </w:r>
          </w:p>
        </w:tc>
      </w:tr>
      <w:tr>
        <w:tc>
          <w:tcPr>
            <w:tcW w:type="dxa" w:w="3293"/>
          </w:tcPr>
          <w:p>
            <w:r>
              <w:rPr>
                <w:rFonts w:ascii="Courier New" w:hAnsi="Courier New"/>
                <w:sz w:val="16"/>
              </w:rPr>
              <w:t>counterparties/</w:t>
            </w:r>
          </w:p>
        </w:tc>
        <w:tc>
          <w:tcPr>
            <w:tcW w:type="dxa" w:w="3293"/>
          </w:tcPr>
          <w:p>
            <w:r>
              <w:rPr>
                <w:sz w:val="16"/>
              </w:rPr>
              <w:t>A deterministic buyer kernel with a hidden reservation and a template verbaliser</w:t>
            </w:r>
          </w:p>
        </w:tc>
        <w:tc>
          <w:tcPr>
            <w:tcW w:type="dxa" w:w="3293"/>
          </w:tcPr>
          <w:p>
            <w:r>
              <w:rPr>
                <w:sz w:val="16"/>
              </w:rPr>
              <w:t>Separate fixtures; can refuse</w:t>
            </w:r>
          </w:p>
        </w:tc>
      </w:tr>
      <w:tr>
        <w:tc>
          <w:tcPr>
            <w:tcW w:type="dxa" w:w="3293"/>
          </w:tcPr>
          <w:p>
            <w:r>
              <w:rPr>
                <w:rFonts w:ascii="Courier New" w:hAnsi="Courier New"/>
                <w:sz w:val="16"/>
              </w:rPr>
              <w:t>egress/</w:t>
            </w:r>
          </w:p>
        </w:tc>
        <w:tc>
          <w:tcPr>
            <w:tcW w:type="dxa" w:w="3293"/>
          </w:tcPr>
          <w:p>
            <w:r>
              <w:rPr>
                <w:sz w:val="16"/>
              </w:rPr>
              <w:t>Scans every outbound text for protected values and planted canaries, and blocks the whole message on a hit</w:t>
            </w:r>
          </w:p>
        </w:tc>
        <w:tc>
          <w:tcPr>
            <w:tcW w:type="dxa" w:w="3293"/>
          </w:tcPr>
          <w:p>
            <w:r>
              <w:rPr>
                <w:sz w:val="16"/>
              </w:rPr>
              <w:t>Trusted, last step</w:t>
            </w:r>
          </w:p>
        </w:tc>
      </w:tr>
      <w:tr>
        <w:tc>
          <w:tcPr>
            <w:tcW w:type="dxa" w:w="3293"/>
          </w:tcPr>
          <w:p>
            <w:r>
              <w:rPr>
                <w:rFonts w:ascii="Courier New" w:hAnsi="Courier New"/>
                <w:sz w:val="16"/>
              </w:rPr>
              <w:t>nl/</w:t>
            </w:r>
          </w:p>
        </w:tc>
        <w:tc>
          <w:tcPr>
            <w:tcW w:type="dxa" w:w="3293"/>
          </w:tcPr>
          <w:p>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credential that opened it. Free text executes only as a closed affirmative command (</w:t>
            </w:r>
            <w:r>
              <w:rPr>
                <w:rFonts w:ascii="Courier New" w:hAnsi="Courier New"/>
                <w:sz w:val="16"/>
              </w:rPr>
              <w:t>consent.py</w:t>
            </w:r>
            <w:r>
              <w:rPr>
                <w:sz w:val="16"/>
              </w:rPr>
              <w:t>); plans are proposed first and "go ahead" runs the exact operations shown.</w:t>
            </w:r>
          </w:p>
        </w:tc>
        <w:tc>
          <w:tcPr>
            <w:tcW w:type="dxa" w:w="3293"/>
          </w:tcPr>
          <w:p>
            <w:r>
              <w:rPr>
                <w:sz w:val="16"/>
              </w:rPr>
              <w:t>Trusted orchestration; never skips the verifier</w:t>
            </w:r>
          </w:p>
        </w:tc>
      </w:tr>
      <w:tr>
        <w:tc>
          <w:tcPr>
            <w:tcW w:type="dxa" w:w="3293"/>
          </w:tcPr>
          <w:p>
            <w:r>
              <w:rPr>
                <w:rFonts w:ascii="Courier New" w:hAnsi="Courier New"/>
                <w:sz w:val="16"/>
              </w:rPr>
              <w:t>security/</w:t>
            </w:r>
          </w:p>
        </w:tc>
        <w:tc>
          <w:tcPr>
            <w:tcW w:type="dxa" w:w="3293"/>
          </w:tcPr>
          <w:p>
            <w:r>
              <w:rPr>
                <w:sz w:val="16"/>
              </w:rPr>
              <w:t>Attack catalogue runner, security-event helpers, refusal templates</w:t>
            </w:r>
          </w:p>
        </w:tc>
        <w:tc>
          <w:tcPr>
            <w:tcW w:type="dxa" w:w="3293"/>
          </w:tcPr>
          <w:p>
            <w:r>
              <w:rPr>
                <w:sz w:val="16"/>
              </w:rPr>
              <w:t>Test and audit</w:t>
            </w:r>
          </w:p>
        </w:tc>
      </w:tr>
      <w:tr>
        <w:tc>
          <w:tcPr>
            <w:tcW w:type="dxa" w:w="3293"/>
          </w:tcPr>
          <w:p>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type="dxa" w:w="3293"/>
          </w:tcPr>
          <w:p>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6"/>
              </w:rPr>
              <w:t>Trusted, deterministic</w:t>
            </w:r>
          </w:p>
        </w:tc>
      </w:tr>
      <w:tr>
        <w:tc>
          <w:tcPr>
            <w:tcW w:type="dxa" w:w="3293"/>
          </w:tcPr>
          <w:p>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type="dxa" w:w="3293"/>
          </w:tcPr>
          <w:p>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type="dxa" w:w="3293"/>
          </w:tcPr>
          <w:p>
            <w:r>
              <w:rPr>
                <w:sz w:val="16"/>
              </w:rPr>
              <w:t>Trusted, deterministic; the reading inside is untrusted model output</w:t>
            </w:r>
          </w:p>
        </w:tc>
      </w:tr>
      <w:tr>
        <w:tc>
          <w:tcPr>
            <w:tcW w:type="dxa" w:w="3293"/>
          </w:tcPr>
          <w:p>
            <w:r>
              <w:rPr>
                <w:rFonts w:ascii="Courier New" w:hAnsi="Courier New"/>
                <w:sz w:val="16"/>
              </w:rPr>
              <w:t>decisions/</w:t>
            </w:r>
          </w:p>
        </w:tc>
        <w:tc>
          <w:tcPr>
            <w:tcW w:type="dxa" w:w="3293"/>
          </w:tcPr>
          <w:p>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type="dxa" w:w="3293"/>
          </w:tcPr>
          <w:p>
            <w:r>
              <w:rPr>
                <w:sz w:val="16"/>
              </w:rPr>
              <w:t>Trusted, deterministic</w:t>
            </w:r>
          </w:p>
        </w:tc>
      </w:tr>
      <w:tr>
        <w:tc>
          <w:tcPr>
            <w:tcW w:type="dxa" w:w="3293"/>
          </w:tcPr>
          <w:p>
            <w:r>
              <w:rPr>
                <w:rFonts w:ascii="Courier New" w:hAnsi="Courier New"/>
                <w:sz w:val="16"/>
              </w:rPr>
              <w:t>strategy/</w:t>
            </w:r>
          </w:p>
        </w:tc>
        <w:tc>
          <w:tcPr>
            <w:tcW w:type="dxa" w:w="3293"/>
          </w:tcPr>
          <w:p>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type="dxa" w:w="3293"/>
          </w:tcPr>
          <w:p>
            <w:r>
              <w:rPr>
                <w:sz w:val="16"/>
              </w:rPr>
              <w:t>Trusted, deterministic; flags default off</w:t>
            </w:r>
          </w:p>
        </w:tc>
      </w:tr>
      <w:tr>
        <w:tc>
          <w:tcPr>
            <w:tcW w:type="dxa" w:w="3293"/>
          </w:tcPr>
          <w:p>
            <w:r>
              <w:rPr>
                <w:rFonts w:ascii="Courier New" w:hAnsi="Courier New"/>
                <w:sz w:val="16"/>
              </w:rPr>
              <w:t>pilot/</w:t>
            </w:r>
          </w:p>
        </w:tc>
        <w:tc>
          <w:tcPr>
            <w:tcW w:type="dxa" w:w="3293"/>
          </w:tcPr>
          <w:p>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type="dxa" w:w="3293"/>
          </w:tcPr>
          <w:p>
            <w:r>
              <w:rPr>
                <w:sz w:val="16"/>
              </w:rPr>
              <w:t>Trusted</w:t>
            </w:r>
          </w:p>
        </w:tc>
      </w:tr>
      <w:tr>
        <w:tc>
          <w:tcPr>
            <w:tcW w:type="dxa" w:w="3293"/>
          </w:tcPr>
          <w:p>
            <w:r>
              <w:rPr>
                <w:rFonts w:ascii="Courier New" w:hAnsi="Courier New"/>
                <w:sz w:val="16"/>
              </w:rPr>
              <w:t>api/</w:t>
            </w:r>
          </w:p>
        </w:tc>
        <w:tc>
          <w:tcPr>
            <w:tcW w:type="dxa" w:w="3293"/>
          </w:tcPr>
          <w:p>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type="dxa" w:w="3293"/>
          </w:tcPr>
          <w:p>
            <w:r>
              <w:rPr>
                <w:sz w:val="16"/>
              </w:rPr>
              <w:t>Trust boundary</w:t>
            </w:r>
          </w:p>
        </w:tc>
      </w:tr>
      <w:tr>
        <w:tc>
          <w:tcPr>
            <w:tcW w:type="dxa" w:w="3293"/>
          </w:tcPr>
          <w:p>
            <w:r>
              <w:rPr>
                <w:rFonts w:ascii="Courier New" w:hAnsi="Courier New"/>
                <w:sz w:val="16"/>
              </w:rPr>
              <w:t>apps/web</w:t>
            </w:r>
          </w:p>
        </w:tc>
        <w:tc>
          <w:tcPr>
            <w:tcW w:type="dxa" w:w="3293"/>
          </w:tcPr>
          <w:p>
            <w:r>
              <w:rPr>
                <w:sz w:val="16"/>
              </w:rPr>
              <w:t xml:space="preserve">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type="dxa" w:w="3293"/>
          </w:tcPr>
          <w:p>
            <w:r>
              <w:rPr>
                <w:sz w:val="16"/>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rPr/>
        <w:t xml:space="preserve"> (</w:t>
      </w:r>
      <w:r>
        <w:rPr>
          <w:rFonts w:ascii="Courier New" w:hAnsi="Courier New"/>
          <w:sz w:val="18"/>
        </w:rPr>
        <w:t>app/financial</w:t>
      </w:r>
      <w:r>
        <w:rPr/>
        <w:t xml:space="preserve">,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alerts</w:t>
      </w:r>
      <w:r>
        <w:rPr/>
        <w:t xml:space="preserve">, </w:t>
      </w:r>
      <w:r>
        <w:rPr>
          <w:rFonts w:ascii="Courier New" w:hAnsi="Courier New"/>
          <w:sz w:val="18"/>
        </w:rPr>
        <w:t>operations</w:t>
      </w:r>
      <w:r>
        <w:rPr/>
        <w:t xml:space="preserve">, </w:t>
      </w:r>
      <w:r>
        <w:rPr>
          <w:rFonts w:ascii="Courier New" w:hAnsi="Courier New"/>
          <w:sz w:val="18"/>
        </w:rPr>
        <w:t>clock</w:t>
      </w:r>
      <w:r>
        <w:rPr/>
        <w:t xml:space="preserve">, </w:t>
      </w:r>
      <w:r>
        <w:rPr>
          <w:rFonts w:ascii="Courier New" w:hAnsi="Courier New"/>
          <w:sz w:val="18"/>
        </w:rPr>
        <w:t>books</w:t>
      </w:r>
      <w:r>
        <w:rPr/>
        <w:t xml:space="preserve">, </w:t>
      </w:r>
      <w:r>
        <w:rPr>
          <w:rFonts w:ascii="Courier New" w:hAnsi="Courier New"/>
          <w:sz w:val="18"/>
        </w:rPr>
        <w:t>mandate</w:t>
      </w:r>
      <w:r>
        <w:rPr/>
        <w:t xml:space="preserve"> and </w:t>
      </w:r>
      <w:r>
        <w:rPr>
          <w:rFonts w:ascii="Courier New" w:hAnsi="Courier New"/>
          <w:sz w:val="18"/>
        </w:rPr>
        <w:t>domain/models.py</w:t>
      </w:r>
      <w:r>
        <w:rPr/>
        <w:t>) changes only when a reproduction proves cause or the owner grants an explicit exception; the one exception so far is ADR-0012's additive types and executor operations (handoff 08 section 4). The UI never computes money (INVARIANT 13).</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Tool</w:t>
            </w:r>
          </w:p>
        </w:tc>
        <w:tc>
          <w:tcPr>
            <w:tcW w:type="dxa" w:w="3293"/>
            <w:shd w:val="clear" w:color="auto" w:fill="E8EEFB"/>
          </w:tcPr>
          <w:p>
            <w:r>
              <w:rPr>
                <w:b/>
                <w:sz w:val="18"/>
              </w:rPr>
              <w:t>Route</w:t>
            </w:r>
          </w:p>
        </w:tc>
        <w:tc>
          <w:tcPr>
            <w:tcW w:type="dxa" w:w="3293"/>
            <w:shd w:val="clear" w:color="auto" w:fill="E8EEFB"/>
          </w:tcPr>
          <w:p/>
        </w:tc>
      </w:tr>
      <w:tr>
        <w:tc>
          <w:tcPr>
            <w:tcW w:type="dxa" w:w="3293"/>
          </w:tcPr>
          <w:p>
            <w:r>
              <w:rPr>
                <w:sz w:val="18"/>
              </w:rPr>
              <w:t>Natural-language harness</w:t>
            </w:r>
          </w:p>
        </w:tc>
        <w:tc>
          <w:tcPr>
            <w:tcW w:type="dxa" w:w="3293"/>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type="dxa" w:w="3293"/>
          </w:tcPr>
          <w:p/>
        </w:tc>
      </w:tr>
      <w:tr>
        <w:tc>
          <w:tcPr>
            <w:tcW w:type="dxa" w:w="3293"/>
          </w:tcPr>
          <w:p>
            <w:r>
              <w:rPr>
                <w:sz w:val="18"/>
              </w:rPr>
              <w:t>Clock, alerts and reconciliation</w:t>
            </w:r>
          </w:p>
        </w:tc>
        <w:tc>
          <w:tcPr>
            <w:tcW w:type="dxa" w:w="3293"/>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type="dxa" w:w="3293"/>
          </w:tcPr>
          <w:p/>
        </w:tc>
      </w:tr>
      <w:tr>
        <w:tc>
          <w:tcPr>
            <w:tcW w:type="dxa" w:w="3293"/>
          </w:tcPr>
          <w:p>
            <w:r>
              <w:rPr>
                <w:sz w:val="18"/>
              </w:rPr>
              <w:t>Offer intake and evaluation</w:t>
            </w:r>
          </w:p>
        </w:tc>
        <w:tc>
          <w:tcPr>
            <w:tcW w:type="dxa" w:w="3293"/>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type="dxa" w:w="3293"/>
          </w:tcPr>
          <w:p/>
        </w:tc>
      </w:tr>
      <w:tr>
        <w:tc>
          <w:tcPr>
            <w:tcW w:type="dxa" w:w="3293"/>
          </w:tcPr>
          <w:p>
            <w:r>
              <w:rPr>
                <w:sz w:val="18"/>
              </w:rPr>
              <w:t>Debt Desk</w:t>
            </w:r>
          </w:p>
        </w:tc>
        <w:tc>
          <w:tcPr>
            <w:tcW w:type="dxa" w:w="3293"/>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type="dxa" w:w="3293"/>
          </w:tcPr>
          <w:p/>
        </w:tc>
      </w:tr>
      <w:tr>
        <w:tc>
          <w:tcPr>
            <w:tcW w:type="dxa" w:w="3293"/>
          </w:tcPr>
          <w:p>
            <w:r>
              <w:rPr>
                <w:sz w:val="18"/>
              </w:rPr>
              <w:t>Execution</w:t>
            </w:r>
          </w:p>
        </w:tc>
        <w:tc>
          <w:tcPr>
            <w:tcW w:type="dxa" w:w="3293"/>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type="dxa" w:w="3293"/>
          </w:tcPr>
          <w:p/>
        </w:tc>
      </w:tr>
      <w:tr>
        <w:tc>
          <w:tcPr>
            <w:tcW w:type="dxa" w:w="3293"/>
          </w:tcPr>
          <w:p>
            <w:r>
              <w:rPr>
                <w:sz w:val="18"/>
              </w:rPr>
              <w:t>Read views and evidence (owner token)</w:t>
            </w:r>
          </w:p>
        </w:tc>
        <w:tc>
          <w:tcPr>
            <w:tcW w:type="dxa" w:w="3293"/>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type="dxa" w:w="3293"/>
          </w:tcPr>
          <w:p/>
        </w:tc>
      </w:tr>
      <w:tr>
        <w:tc>
          <w:tcPr>
            <w:tcW w:type="dxa" w:w="3293"/>
          </w:tcPr>
          <w:p>
            <w:r>
              <w:rPr>
                <w:sz w:val="18"/>
              </w:rPr>
              <w:t>The pages' reads (owner token)</w:t>
            </w:r>
          </w:p>
        </w:tc>
        <w:tc>
          <w:tcPr>
            <w:tcW w:type="dxa" w:w="3293"/>
          </w:tcPr>
          <w:p>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type="dxa" w:w="3293"/>
          </w:tcPr>
          <w:p>
            <w:r>
              <w:rPr>
                <w:sz w:val="18"/>
              </w:rPr>
              <w:t>zh</w:t>
            </w:r>
            <w:r>
              <w:rPr>
                <w:rFonts w:ascii="Courier New" w:hAnsi="Courier New"/>
                <w:sz w:val="18"/>
              </w:rPr>
              <w:t xml:space="preserve"> with the same figures (</w:t>
            </w:r>
            <w:r>
              <w:rPr>
                <w:sz w:val="18"/>
              </w:rPr>
              <w:t>docs/ARCHITECTURE.md`, API section; handoff 09 section 2)</w:t>
            </w:r>
          </w:p>
        </w:tc>
      </w:tr>
      <w:tr>
        <w:tc>
          <w:tcPr>
            <w:tcW w:type="dxa" w:w="3293"/>
          </w:tcPr>
          <w:p>
            <w:r>
              <w:rPr>
                <w:sz w:val="18"/>
              </w:rPr>
              <w:t>Decision record (owner token)</w:t>
            </w:r>
          </w:p>
        </w:tc>
        <w:tc>
          <w:tcPr>
            <w:tcW w:type="dxa" w:w="3293"/>
          </w:tcPr>
          <w:p>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type="dxa" w:w="3293"/>
          </w:tcPr>
          <w:p/>
        </w:tc>
      </w:tr>
      <w:tr>
        <w:tc>
          <w:tcPr>
            <w:tcW w:type="dxa" w:w="3293"/>
          </w:tcPr>
          <w:p>
            <w:r>
              <w:rPr>
                <w:sz w:val="18"/>
              </w:rPr>
              <w:t>Strategy reads (flags default off)</w:t>
            </w:r>
          </w:p>
        </w:tc>
        <w:tc>
          <w:tcPr>
            <w:tcW w:type="dxa" w:w="3293"/>
          </w:tcPr>
          <w:p>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type="dxa" w:w="3293"/>
          </w:tcPr>
          <w:p/>
        </w:tc>
      </w:tr>
      <w:tr>
        <w:tc>
          <w:tcPr>
            <w:tcW w:type="dxa" w:w="3293"/>
          </w:tcPr>
          <w:p>
            <w:r>
              <w:rPr>
                <w:sz w:val="18"/>
              </w:rPr>
              <w:t>Contracts (owner token)</w:t>
            </w:r>
          </w:p>
        </w:tc>
        <w:tc>
          <w:tcPr>
            <w:tcW w:type="dxa" w:w="3293"/>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type="dxa" w:w="3293"/>
          </w:tcP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fixtures/scenarios/public_sme.json</w:t>
      </w:r>
      <w:r>
        <w:rPr/>
        <w:t xml:space="preserve"> and </w:t>
      </w:r>
      <w:r>
        <w:rPr>
          <w:rFonts w:ascii="Courier New" w:hAnsi="Courier New"/>
          <w:sz w:val="18"/>
        </w:rPr>
        <w:t>fixtures/strategy/</w:t>
      </w:r>
      <w:r>
        <w:rP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rPr/>
        <w:t xml:space="preserve"> sections 1 and 8).</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credential that opened it.</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2"/>
        <w:tabs>
          <w:tab w:pos="792" w:val="left"/>
        </w:tabs>
        <w:ind w:left="792" w:hanging="288"/>
      </w:pPr>
      <w:r>
        <w:rPr>
          <w:i/>
        </w:rPr>
        <w:t>Decision record</w:t>
      </w:r>
      <w:r>
        <w:rPr/>
        <w:t xml:space="preserve"> (ADR-0011). The state of a deal or a cure is read from the canonical stores and three stored facts, with deterministic decision ids (</w:t>
      </w:r>
      <w:r>
        <w:rPr>
          <w:rFonts w:ascii="Courier New" w:hAnsi="Courier New"/>
          <w:sz w:val="18"/>
        </w:rPr>
        <w:t>deal:{offer_id}</w:t>
      </w:r>
      <w:r>
        <w:rPr/>
        <w:t xml:space="preserve">, </w:t>
      </w:r>
      <w:r>
        <w:rPr>
          <w:rFonts w:ascii="Courier New" w:hAnsi="Courier New"/>
          <w:sz w:val="18"/>
        </w:rPr>
        <w:t>alert:{id}:v{state_version}</w:t>
      </w:r>
      <w:r>
        <w:rPr/>
        <w:t xml:space="preserve">, </w:t>
      </w:r>
      <w:r>
        <w:rPr>
          <w:rFonts w:ascii="Courier New" w:hAnsi="Courier New"/>
          <w:sz w:val="18"/>
        </w:rPr>
        <w:t>approval:{id}</w:t>
      </w:r>
      <w:r>
        <w:rPr/>
        <w:t>); a failed fact write never fails the route, and the read says "not recorded" instead of recomputing history (</w:t>
      </w:r>
      <w:r>
        <w:rPr>
          <w:rFonts w:ascii="Courier New" w:hAnsi="Courier New"/>
          <w:sz w:val="18"/>
        </w:rPr>
        <w:t>docs/UX_REMEDIATION_REPORT.md</w:t>
      </w:r>
      <w:r>
        <w:rPr/>
        <w:t xml:space="preserve"> section 5). The bound send refuses a changed counter with 409 </w:t>
      </w:r>
      <w:r>
        <w:rPr>
          <w:rFonts w:ascii="Courier New" w:hAnsi="Courier New"/>
          <w:sz w:val="18"/>
        </w:rPr>
        <w:t>COUNTER_CHANGED</w:t>
      </w:r>
      <w:r>
        <w:rPr/>
        <w:t xml:space="preserve"> and a repeat with 409 </w:t>
      </w:r>
      <w:r>
        <w:rPr>
          <w:rFonts w:ascii="Courier New" w:hAnsi="Courier New"/>
          <w:sz w:val="18"/>
        </w:rPr>
        <w:t>ALREADY_SENT</w:t>
      </w:r>
      <w:r>
        <w:rPr/>
        <w:t xml:space="preserve"> (</w:t>
      </w:r>
      <w:r>
        <w:rPr>
          <w:rFonts w:ascii="Courier New" w:hAnsi="Courier New"/>
          <w:sz w:val="18"/>
        </w:rPr>
        <w:t>docs/SYSTEM_WALKTHROUGH.md</w:t>
      </w:r>
      <w:r>
        <w:rPr/>
        <w:t xml:space="preserve"> section 12).</w:t>
      </w:r>
    </w:p>
    <w:p>
      <w:pPr>
        <w:pStyle w:val="ListBullet2"/>
        <w:tabs>
          <w:tab w:pos="792" w:val="left"/>
        </w:tabs>
        <w:ind w:left="792" w:hanging="288"/>
      </w:pPr>
      <w:r>
        <w:rPr>
          <w:i/>
        </w:rPr>
        <w:t>Contract records</w:t>
      </w:r>
      <w:r>
        <w:rPr/>
        <w:t xml:space="preserve"> (ADR-0012). A </w:t>
      </w:r>
      <w:r>
        <w:rPr>
          <w:rFonts w:ascii="Courier New" w:hAnsi="Courier New"/>
          <w:sz w:val="18"/>
        </w:rPr>
        <w:t>ContractRecord</w:t>
      </w:r>
      <w:r>
        <w:rP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rPr/>
        <w:t xml:space="preserve">, a stale hash 409 </w:t>
      </w:r>
      <w:r>
        <w:rPr>
          <w:rFonts w:ascii="Courier New" w:hAnsi="Courier New"/>
          <w:sz w:val="18"/>
        </w:rPr>
        <w:t>TERMS_CHANGED</w:t>
      </w:r>
      <w:r>
        <w:rPr/>
        <w:t>; extraction is capped (20 MB unzipped, 60 PDF pages, 40 reading chunks) and runs outside the runtime lock (</w:t>
      </w:r>
      <w:r>
        <w:rPr>
          <w:rFonts w:ascii="Courier New" w:hAnsi="Courier New"/>
          <w:sz w:val="18"/>
        </w:rPr>
        <w:t>docs/SYSTEM_WALKTHROUGH.md</w:t>
      </w:r>
      <w:r>
        <w:rPr/>
        <w:t xml:space="preserve"> section 14).</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r>
        <w:rPr>
          <w:b/>
        </w:rPr>
        <w:t>8. The strategy layer (</w:t>
      </w:r>
      <w:r>
        <w:rPr>
          <w:rFonts w:ascii="Courier New" w:hAnsi="Courier New"/>
          <w:b/>
          <w:sz w:val="18"/>
        </w:rPr>
        <w:t>strategy/</w:t>
      </w:r>
      <w:r>
        <w:rPr>
          <w:b/>
        </w:rPr>
        <w:t>, flags off by default, read-only).</w:t>
      </w:r>
      <w:r>
        <w:rPr/>
        <w:t xml:space="preserve"> Three answers, each computed on a labelled copy of the books with the kernel's own functions (</w:t>
      </w:r>
      <w:r>
        <w:rPr>
          <w:rFonts w:ascii="Courier New" w:hAnsi="Courier New"/>
          <w:sz w:val="18"/>
        </w:rPr>
        <w:t>docs/STRATEGY_MVP_REPORT.md</w:t>
      </w:r>
      <w:r>
        <w:rP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confirmed, and 17 of 17 comparisons of bisection against an exhaustive 273-cell scan (</w:t>
      </w:r>
      <w:r>
        <w:rPr>
          <w:rFonts w:ascii="Courier New" w:hAnsi="Courier New"/>
          <w:sz w:val="18"/>
        </w:rPr>
        <w:t>docs/research/strategy/06-backtest-2026-10-08.md</w:t>
      </w:r>
      <w:r>
        <w:rP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rPr/>
        <w:t xml:space="preserve"> section 7); the Chinese sentences await a native reader (section 8 of that report).</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the concurrency suite on PostgreSQL;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w:t>
            </w:r>
            <w:r>
              <w:rPr>
                <w:rFonts w:ascii="Courier New" w:hAnsi="Courier New"/>
                <w:sz w:val="18"/>
              </w:rPr>
              <w:t>/nl</w:t>
            </w:r>
            <w:r>
              <w:rPr>
                <w:sz w:val="18"/>
              </w:rPr>
              <w:t xml:space="preserve"> sender is that registered buyer; it never confers authority to execute</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xml:space="preserv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The record and the strategy layer sit outside the engine.</w:t>
      </w:r>
      <w:r>
        <w:rPr/>
        <w:t xml:space="preserve"> </w:t>
      </w:r>
      <w:r>
        <w:rPr>
          <w:rFonts w:ascii="Courier New" w:hAnsi="Courier New"/>
          <w:sz w:val="18"/>
        </w:rPr>
        <w:t>tests/decisions/test_isolation.py</w:t>
      </w:r>
      <w:r>
        <w:rPr/>
        <w:t xml:space="preserve"> and </w:t>
      </w:r>
      <w:r>
        <w:rPr>
          <w:rFonts w:ascii="Courier New" w:hAnsi="Courier New"/>
          <w:sz w:val="18"/>
        </w:rPr>
        <w:t>tests/pilot/test_isolation.py</w:t>
      </w:r>
      <w:r>
        <w:rPr/>
        <w:t xml:space="preserve"> pin that the engine imports neither the decision record nor the journal (handoff 08 section 4); the strategy layer's diff against </w:t>
      </w:r>
      <w:r>
        <w:rPr>
          <w:rFonts w:ascii="Courier New" w:hAnsi="Courier New"/>
          <w:sz w:val="18"/>
        </w:rPr>
        <w:t>dev</w:t>
      </w:r>
      <w:r>
        <w:rP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rPr/>
        <w:t xml:space="preserve"> section 1).</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and the document and deal routes) require the owner token.</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python -m app.security.attacks --report</w:t>
      </w:r>
      <w:r>
        <w:rPr/>
        <w:t xml:space="preserve">, 5 Oct 2026).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and none is planned. The audit's NO-GO conclusion on autonomy dated from before those fixes, and the system remains a simulation.</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harness ready, run pending a database URL</w:t>
      </w:r>
      <w:r>
        <w:rPr/>
        <w:t xml:space="preserve">; until then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with its channel key who probes the chat can find the accept/counter threshold to 1 bp in 12 messages, with no throttle, and each accepted probe queues its own owner approval; it is at 0.74% / 0.75% on the golden books (NL-OP01K, NL-OP02K). (S9) The agent key can read protected labels through chat status replies, although the read routes are owner-only; the newer read intents already need the owner token (NL-AC05, NL-CS10, NL-CS16, NL-CS31). None caused harm in the suite; both are listed as known limitations.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6,932</w:t>
      </w:r>
      <w:r>
        <w:rPr/>
        <w:t xml:space="preserve"> API tests (12 Oct 2026, on </w:t>
      </w:r>
      <w:r>
        <w:rPr>
          <w:rFonts w:ascii="Courier New" w:hAnsi="Courier New"/>
          <w:sz w:val="18"/>
        </w:rPr>
        <w:t>dev</w:t>
      </w:r>
      <w:r>
        <w:rPr/>
        <w:t xml:space="preserve"> at 86123a3c), by test directory:</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1,151</w:t>
            </w:r>
          </w:p>
        </w:tc>
        <w:tc>
          <w:tcPr>
            <w:tcW w:type="dxa" w:w="2469"/>
          </w:tcPr>
          <w:p>
            <w:r>
              <w:rPr>
                <w:sz w:val="18"/>
              </w:rPr>
              <w:t>commitments</w:t>
            </w:r>
          </w:p>
        </w:tc>
        <w:tc>
          <w:tcPr>
            <w:tcW w:type="dxa" w:w="2469"/>
          </w:tcPr>
          <w:p>
            <w:r>
              <w:rPr>
                <w:sz w:val="18"/>
              </w:rPr>
              <w:t>90</w:t>
            </w:r>
          </w:p>
        </w:tc>
      </w:tr>
      <w:tr>
        <w:tc>
          <w:tcPr>
            <w:tcW w:type="dxa" w:w="2469"/>
          </w:tcPr>
          <w:p>
            <w:r>
              <w:rPr>
                <w:sz w:val="18"/>
              </w:rPr>
              <w:t>nl harness</w:t>
            </w:r>
          </w:p>
        </w:tc>
        <w:tc>
          <w:tcPr>
            <w:tcW w:type="dxa" w:w="2469"/>
          </w:tcPr>
          <w:p>
            <w:r>
              <w:rPr>
                <w:sz w:val="18"/>
              </w:rPr>
              <w:t>1,088</w:t>
            </w:r>
          </w:p>
        </w:tc>
        <w:tc>
          <w:tcPr>
            <w:tcW w:type="dxa" w:w="2469"/>
          </w:tcPr>
          <w:p>
            <w:r>
              <w:rPr>
                <w:sz w:val="18"/>
              </w:rPr>
              <w:t>books</w:t>
            </w:r>
          </w:p>
        </w:tc>
        <w:tc>
          <w:tcPr>
            <w:tcW w:type="dxa" w:w="2469"/>
          </w:tcPr>
          <w:p>
            <w:r>
              <w:rPr>
                <w:sz w:val="18"/>
              </w:rPr>
              <w:t>83</w:t>
            </w:r>
          </w:p>
        </w:tc>
      </w:tr>
      <w:tr>
        <w:tc>
          <w:tcPr>
            <w:tcW w:type="dxa" w:w="2469"/>
          </w:tcPr>
          <w:p>
            <w:r>
              <w:rPr>
                <w:sz w:val="18"/>
              </w:rPr>
              <w:t>egress guard</w:t>
            </w:r>
          </w:p>
        </w:tc>
        <w:tc>
          <w:tcPr>
            <w:tcW w:type="dxa" w:w="2469"/>
          </w:tcPr>
          <w:p>
            <w:r>
              <w:rPr>
                <w:sz w:val="18"/>
              </w:rPr>
              <w:t>971</w:t>
            </w:r>
          </w:p>
        </w:tc>
        <w:tc>
          <w:tcPr>
            <w:tcW w:type="dxa" w:w="2469"/>
          </w:tcPr>
          <w:p>
            <w:r>
              <w:rPr>
                <w:sz w:val="18"/>
              </w:rPr>
              <w:t>counterparties</w:t>
            </w:r>
          </w:p>
        </w:tc>
        <w:tc>
          <w:tcPr>
            <w:tcW w:type="dxa" w:w="2469"/>
          </w:tcPr>
          <w:p>
            <w:r>
              <w:rPr>
                <w:sz w:val="18"/>
              </w:rPr>
              <w:t>76</w:t>
            </w:r>
          </w:p>
        </w:tc>
      </w:tr>
      <w:tr>
        <w:tc>
          <w:tcPr>
            <w:tcW w:type="dxa" w:w="2469"/>
          </w:tcPr>
          <w:p>
            <w:r>
              <w:rPr>
                <w:sz w:val="18"/>
              </w:rPr>
              <w:t>compiler</w:t>
            </w:r>
          </w:p>
        </w:tc>
        <w:tc>
          <w:tcPr>
            <w:tcW w:type="dxa" w:w="2469"/>
          </w:tcPr>
          <w:p>
            <w:r>
              <w:rPr>
                <w:sz w:val="18"/>
              </w:rPr>
              <w:t>684</w:t>
            </w:r>
          </w:p>
        </w:tc>
        <w:tc>
          <w:tcPr>
            <w:tcW w:type="dxa" w:w="2469"/>
          </w:tcPr>
          <w:p>
            <w:r>
              <w:rPr>
                <w:sz w:val="18"/>
              </w:rPr>
              <w:t>alerts</w:t>
            </w:r>
          </w:p>
        </w:tc>
        <w:tc>
          <w:tcPr>
            <w:tcW w:type="dxa" w:w="2469"/>
          </w:tcPr>
          <w:p>
            <w:r>
              <w:rPr>
                <w:sz w:val="18"/>
              </w:rPr>
              <w:t>76</w:t>
            </w:r>
          </w:p>
        </w:tc>
      </w:tr>
      <w:tr>
        <w:tc>
          <w:tcPr>
            <w:tcW w:type="dxa" w:w="2469"/>
          </w:tcPr>
          <w:p>
            <w:r>
              <w:rPr>
                <w:sz w:val="18"/>
              </w:rPr>
              <w:t>api</w:t>
            </w:r>
          </w:p>
        </w:tc>
        <w:tc>
          <w:tcPr>
            <w:tcW w:type="dxa" w:w="2469"/>
          </w:tcPr>
          <w:p>
            <w:r>
              <w:rPr>
                <w:sz w:val="18"/>
              </w:rPr>
              <w:t>505</w:t>
            </w:r>
          </w:p>
        </w:tc>
        <w:tc>
          <w:tcPr>
            <w:tcW w:type="dxa" w:w="2469"/>
          </w:tcPr>
          <w:p>
            <w:r>
              <w:rPr>
                <w:sz w:val="18"/>
              </w:rPr>
              <w:t>mandate</w:t>
            </w:r>
          </w:p>
        </w:tc>
        <w:tc>
          <w:tcPr>
            <w:tcW w:type="dxa" w:w="2469"/>
          </w:tcPr>
          <w:p>
            <w:r>
              <w:rPr>
                <w:sz w:val="18"/>
              </w:rPr>
              <w:t>72</w:t>
            </w:r>
          </w:p>
        </w:tc>
      </w:tr>
      <w:tr>
        <w:tc>
          <w:tcPr>
            <w:tcW w:type="dxa" w:w="2469"/>
          </w:tcPr>
          <w:p>
            <w:r>
              <w:rPr>
                <w:sz w:val="18"/>
              </w:rPr>
              <w:t>operations (executor)</w:t>
            </w:r>
          </w:p>
        </w:tc>
        <w:tc>
          <w:tcPr>
            <w:tcW w:type="dxa" w:w="2469"/>
          </w:tcPr>
          <w:p>
            <w:r>
              <w:rPr>
                <w:sz w:val="18"/>
              </w:rPr>
              <w:t>401</w:t>
            </w:r>
          </w:p>
        </w:tc>
        <w:tc>
          <w:tcPr>
            <w:tcW w:type="dxa" w:w="2469"/>
          </w:tcPr>
          <w:p>
            <w:r>
              <w:rPr>
                <w:sz w:val="18"/>
              </w:rPr>
              <w:t>what-if</w:t>
            </w:r>
          </w:p>
        </w:tc>
        <w:tc>
          <w:tcPr>
            <w:tcW w:type="dxa" w:w="2469"/>
          </w:tcPr>
          <w:p>
            <w:r>
              <w:rPr>
                <w:sz w:val="18"/>
              </w:rPr>
              <w:t>51</w:t>
            </w:r>
          </w:p>
        </w:tc>
      </w:tr>
      <w:tr>
        <w:tc>
          <w:tcPr>
            <w:tcW w:type="dxa" w:w="2469"/>
          </w:tcPr>
          <w:p>
            <w:r>
              <w:rPr>
                <w:sz w:val="18"/>
              </w:rPr>
              <w:t>verifier</w:t>
            </w:r>
          </w:p>
        </w:tc>
        <w:tc>
          <w:tcPr>
            <w:tcW w:type="dxa" w:w="2469"/>
          </w:tcPr>
          <w:p>
            <w:r>
              <w:rPr>
                <w:sz w:val="18"/>
              </w:rPr>
              <w:t>258</w:t>
            </w:r>
          </w:p>
        </w:tc>
        <w:tc>
          <w:tcPr>
            <w:tcW w:type="dxa" w:w="2469"/>
          </w:tcPr>
          <w:p>
            <w:r>
              <w:rPr>
                <w:sz w:val="18"/>
              </w:rPr>
              <w:t>capex</w:t>
            </w:r>
          </w:p>
        </w:tc>
        <w:tc>
          <w:tcPr>
            <w:tcW w:type="dxa" w:w="2469"/>
          </w:tcPr>
          <w:p>
            <w:r>
              <w:rPr>
                <w:sz w:val="18"/>
              </w:rPr>
              <w:t>51</w:t>
            </w:r>
          </w:p>
        </w:tc>
      </w:tr>
      <w:tr>
        <w:tc>
          <w:tcPr>
            <w:tcW w:type="dxa" w:w="2469"/>
          </w:tcPr>
          <w:p>
            <w:r>
              <w:rPr>
                <w:sz w:val="18"/>
              </w:rPr>
              <w:t>security (attacks, fuzzers, metrics)</w:t>
            </w:r>
          </w:p>
        </w:tc>
        <w:tc>
          <w:tcPr>
            <w:tcW w:type="dxa" w:w="2469"/>
          </w:tcPr>
          <w:p>
            <w:r>
              <w:rPr>
                <w:sz w:val="18"/>
              </w:rPr>
              <w:t>248</w:t>
            </w:r>
          </w:p>
        </w:tc>
        <w:tc>
          <w:tcPr>
            <w:tcW w:type="dxa" w:w="2469"/>
          </w:tcPr>
          <w:p>
            <w:r>
              <w:rPr>
                <w:sz w:val="18"/>
              </w:rPr>
              <w:t>deals</w:t>
            </w:r>
          </w:p>
        </w:tc>
        <w:tc>
          <w:tcPr>
            <w:tcW w:type="dxa" w:w="2469"/>
          </w:tcPr>
          <w:p>
            <w:r>
              <w:rPr>
                <w:sz w:val="18"/>
              </w:rPr>
              <w:t>42</w:t>
            </w:r>
          </w:p>
        </w:tc>
      </w:tr>
      <w:tr>
        <w:tc>
          <w:tcPr>
            <w:tcW w:type="dxa" w:w="2469"/>
          </w:tcPr>
          <w:p>
            <w:r>
              <w:rPr>
                <w:sz w:val="18"/>
              </w:rPr>
              <w:t>strategy</w:t>
            </w:r>
          </w:p>
        </w:tc>
        <w:tc>
          <w:tcPr>
            <w:tcW w:type="dxa" w:w="2469"/>
          </w:tcPr>
          <w:p>
            <w:r>
              <w:rPr>
                <w:sz w:val="18"/>
              </w:rPr>
              <w:t>229</w:t>
            </w:r>
          </w:p>
        </w:tc>
        <w:tc>
          <w:tcPr>
            <w:tcW w:type="dxa" w:w="2469"/>
          </w:tcPr>
          <w:p>
            <w:r>
              <w:rPr>
                <w:sz w:val="18"/>
              </w:rPr>
              <w:t>certification</w:t>
            </w:r>
          </w:p>
        </w:tc>
        <w:tc>
          <w:tcPr>
            <w:tcW w:type="dxa" w:w="2469"/>
          </w:tcPr>
          <w:p>
            <w:r>
              <w:rPr>
                <w:sz w:val="18"/>
              </w:rPr>
              <w:t>41</w:t>
            </w:r>
          </w:p>
        </w:tc>
      </w:tr>
      <w:tr>
        <w:tc>
          <w:tcPr>
            <w:tcW w:type="dxa" w:w="2469"/>
          </w:tcPr>
          <w:p>
            <w:r>
              <w:rPr>
                <w:sz w:val="18"/>
              </w:rPr>
              <w:t>financial engine</w:t>
            </w:r>
          </w:p>
        </w:tc>
        <w:tc>
          <w:tcPr>
            <w:tcW w:type="dxa" w:w="2469"/>
          </w:tcPr>
          <w:p>
            <w:r>
              <w:rPr>
                <w:sz w:val="18"/>
              </w:rPr>
              <w:t>195</w:t>
            </w:r>
          </w:p>
        </w:tc>
        <w:tc>
          <w:tcPr>
            <w:tcW w:type="dxa" w:w="2469"/>
          </w:tcPr>
          <w:p>
            <w:r>
              <w:rPr>
                <w:sz w:val="18"/>
              </w:rPr>
              <w:t>covenants</w:t>
            </w:r>
          </w:p>
        </w:tc>
        <w:tc>
          <w:tcPr>
            <w:tcW w:type="dxa" w:w="2469"/>
          </w:tcPr>
          <w:p>
            <w:r>
              <w:rPr>
                <w:sz w:val="18"/>
              </w:rPr>
              <w:t>38</w:t>
            </w:r>
          </w:p>
        </w:tc>
      </w:tr>
      <w:tr>
        <w:tc>
          <w:tcPr>
            <w:tcW w:type="dxa" w:w="2469"/>
          </w:tcPr>
          <w:p>
            <w:r>
              <w:rPr>
                <w:sz w:val="18"/>
              </w:rPr>
              <w:t>pilot journal</w:t>
            </w:r>
          </w:p>
        </w:tc>
        <w:tc>
          <w:tcPr>
            <w:tcW w:type="dxa" w:w="2469"/>
          </w:tcPr>
          <w:p>
            <w:r>
              <w:rPr>
                <w:sz w:val="18"/>
              </w:rPr>
              <w:t>167</w:t>
            </w:r>
          </w:p>
        </w:tc>
        <w:tc>
          <w:tcPr>
            <w:tcW w:type="dxa" w:w="2469"/>
          </w:tcPr>
          <w:p>
            <w:r>
              <w:rPr>
                <w:sz w:val="18"/>
              </w:rPr>
              <w:t>document text extraction</w:t>
            </w:r>
          </w:p>
        </w:tc>
        <w:tc>
          <w:tcPr>
            <w:tcW w:type="dxa" w:w="2469"/>
          </w:tcPr>
          <w:p>
            <w:r>
              <w:rPr>
                <w:sz w:val="18"/>
              </w:rPr>
              <w:t>33</w:t>
            </w:r>
          </w:p>
        </w:tc>
      </w:tr>
      <w:tr>
        <w:tc>
          <w:tcPr>
            <w:tcW w:type="dxa" w:w="2469"/>
          </w:tcPr>
          <w:p>
            <w:r>
              <w:rPr>
                <w:sz w:val="18"/>
              </w:rPr>
              <w:t>decisions</w:t>
            </w:r>
          </w:p>
        </w:tc>
        <w:tc>
          <w:tcPr>
            <w:tcW w:type="dxa" w:w="2469"/>
          </w:tcPr>
          <w:p>
            <w:r>
              <w:rPr>
                <w:sz w:val="18"/>
              </w:rPr>
              <w:t>138</w:t>
            </w:r>
          </w:p>
        </w:tc>
        <w:tc>
          <w:tcPr>
            <w:tcW w:type="dxa" w:w="2469"/>
          </w:tcPr>
          <w:p>
            <w:r>
              <w:rPr>
                <w:sz w:val="18"/>
              </w:rPr>
              <w:t>concurrency</w:t>
            </w:r>
          </w:p>
        </w:tc>
        <w:tc>
          <w:tcPr>
            <w:tcW w:type="dxa" w:w="2469"/>
          </w:tcPr>
          <w:p>
            <w:r>
              <w:rPr>
                <w:sz w:val="18"/>
              </w:rPr>
              <w:t>30</w:t>
            </w:r>
          </w:p>
        </w:tc>
      </w:tr>
      <w:tr>
        <w:tc>
          <w:tcPr>
            <w:tcW w:type="dxa" w:w="2469"/>
          </w:tcPr>
          <w:p>
            <w:r>
              <w:rPr>
                <w:sz w:val="18"/>
              </w:rPr>
              <w:t>persistence</w:t>
            </w:r>
          </w:p>
        </w:tc>
        <w:tc>
          <w:tcPr>
            <w:tcW w:type="dxa" w:w="2469"/>
          </w:tcPr>
          <w:p>
            <w:r>
              <w:rPr>
                <w:sz w:val="18"/>
              </w:rPr>
              <w:t>132</w:t>
            </w:r>
          </w:p>
        </w:tc>
        <w:tc>
          <w:tcPr>
            <w:tcW w:type="dxa" w:w="2469"/>
          </w:tcPr>
          <w:p>
            <w:r>
              <w:rPr>
                <w:sz w:val="18"/>
              </w:rPr>
              <w:t>borrower file</w:t>
            </w:r>
          </w:p>
        </w:tc>
        <w:tc>
          <w:tcPr>
            <w:tcW w:type="dxa" w:w="2469"/>
          </w:tcPr>
          <w:p>
            <w:r>
              <w:rPr>
                <w:sz w:val="18"/>
              </w:rPr>
              <w:t>29</w:t>
            </w:r>
          </w:p>
        </w:tc>
      </w:tr>
      <w:tr>
        <w:tc>
          <w:tcPr>
            <w:tcW w:type="dxa" w:w="2469"/>
          </w:tcPr>
          <w:p>
            <w:r>
              <w:rPr>
                <w:sz w:val="18"/>
              </w:rPr>
              <w:t>evaluation harness</w:t>
            </w:r>
          </w:p>
        </w:tc>
        <w:tc>
          <w:tcPr>
            <w:tcW w:type="dxa" w:w="2469"/>
          </w:tcPr>
          <w:p>
            <w:r>
              <w:rPr>
                <w:sz w:val="18"/>
              </w:rPr>
              <w:t>24</w:t>
            </w:r>
          </w:p>
        </w:tc>
        <w:tc>
          <w:tcPr>
            <w:tcW w:type="dxa" w:w="2469"/>
          </w:tcPr>
          <w:p>
            <w:r>
              <w:rPr>
                <w:sz w:val="18"/>
              </w:rPr>
              <w:t>contract records and held-out scorer</w:t>
            </w:r>
          </w:p>
        </w:tc>
        <w:tc>
          <w:tcPr>
            <w:tcW w:type="dxa" w:w="2469"/>
          </w:tcPr>
          <w:p>
            <w:r>
              <w:rPr>
                <w:sz w:val="18"/>
              </w:rPr>
              <w:t>9</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t>
      </w:r>
      <w:r>
        <w:rPr>
          <w:b/>
        </w:rPr>
        <w:t>6,895 passed, 37 skipped, 0 failed</w:t>
      </w:r>
      <w:r>
        <w:rPr/>
        <w:t xml:space="preserve"> on 12 Oct 2026 on </w:t>
      </w:r>
      <w:r>
        <w:rPr>
          <w:rFonts w:ascii="Courier New" w:hAnsi="Courier New"/>
          <w:sz w:val="18"/>
        </w:rPr>
        <w:t>dev</w:t>
      </w:r>
      <w:r>
        <w:rP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rPr/>
        <w:t xml:space="preserve"> on 3 Oct 2026. The 37 skips are the performance benchmarks hidden by </w:t>
      </w:r>
      <w:r>
        <w:rPr>
          <w:rFonts w:ascii="Courier New" w:hAnsi="Courier New"/>
          <w:sz w:val="18"/>
        </w:rPr>
        <w:t>SKIP_PERF_BENCH=1</w:t>
      </w:r>
      <w:r>
        <w:rPr/>
        <w:t xml:space="preserve">, the exhaustive router differential cases that run only with </w:t>
      </w:r>
      <w:r>
        <w:rPr>
          <w:rFonts w:ascii="Courier New" w:hAnsi="Courier New"/>
          <w:sz w:val="18"/>
        </w:rPr>
        <w:t>ROUTER_DIFF_FULL=1</w:t>
      </w:r>
      <w:r>
        <w:rPr/>
        <w:t xml:space="preserve">, and the PostgreSQL concurrency cases that need </w:t>
      </w:r>
      <w:r>
        <w:rPr>
          <w:rFonts w:ascii="Courier New" w:hAnsi="Courier New"/>
          <w:sz w:val="18"/>
        </w:rPr>
        <w:t>TERMSLEDGER_TEST_DATABASE_URL</w:t>
      </w:r>
      <w:r>
        <w:rP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rPr/>
        <w:t xml:space="preserve"> 49/49 with 87 turns; </w:t>
      </w:r>
      <w:r>
        <w:rPr>
          <w:rFonts w:ascii="Courier New" w:hAnsi="Courier New"/>
          <w:sz w:val="18"/>
        </w:rPr>
        <w:t>scripts/demo_run.py</w:t>
      </w:r>
      <w:r>
        <w:rPr/>
        <w:t xml:space="preserve"> exit 0; </w:t>
      </w:r>
      <w:r>
        <w:rPr>
          <w:rFonts w:ascii="Courier New" w:hAnsi="Courier New"/>
          <w:sz w:val="18"/>
        </w:rPr>
        <w:t>python -m app.security.attacks --report</w:t>
      </w:r>
      <w:r>
        <w:rPr/>
        <w:t xml:space="preserve"> 259 attacks (126 through the API, 43 + 64 + 26 through chat), 0 with harm.</w:t>
      </w:r>
    </w:p>
    <w:p>
      <w:r>
        <w:rPr>
          <w:b/>
        </w:rPr>
        <w:t>Web app</w:t>
      </w:r>
      <w:r>
        <w:rPr/>
        <w:t xml:space="preserve"> (</w:t>
      </w:r>
      <w:r>
        <w:rPr>
          <w:rFonts w:ascii="Courier New" w:hAnsi="Courier New"/>
          <w:sz w:val="18"/>
        </w:rPr>
        <w:t>apps/web</w:t>
      </w:r>
      <w:r>
        <w:rPr/>
        <w:t xml:space="preserve">, 12 Oct 2026, on </w:t>
      </w:r>
      <w:r>
        <w:rPr>
          <w:rFonts w:ascii="Courier New" w:hAnsi="Courier New"/>
          <w:sz w:val="18"/>
        </w:rPr>
        <w:t>dev</w:t>
      </w:r>
      <w:r>
        <w:rPr/>
        <w:t xml:space="preserve"> after the UI overhaul and the Deals page; README, "Test"): </w:t>
      </w:r>
      <w:r>
        <w:rPr>
          <w:rFonts w:ascii="Courier New" w:hAnsi="Courier New"/>
          <w:sz w:val="18"/>
        </w:rPr>
        <w:t>pnpm lint</w:t>
      </w:r>
      <w:r>
        <w:rPr/>
        <w:t xml:space="preserve">, </w:t>
      </w:r>
      <w:r>
        <w:rPr>
          <w:rFonts w:ascii="Courier New" w:hAnsi="Courier New"/>
          <w:sz w:val="18"/>
        </w:rPr>
        <w:t>pnpm typecheck</w:t>
      </w:r>
      <w:r>
        <w:rPr/>
        <w:t xml:space="preserve"> and </w:t>
      </w:r>
      <w:r>
        <w:rPr>
          <w:rFonts w:ascii="Courier New" w:hAnsi="Courier New"/>
          <w:sz w:val="18"/>
        </w:rPr>
        <w:t>pnpm build</w:t>
      </w:r>
      <w:r>
        <w:rPr/>
        <w:t xml:space="preserve"> pass and </w:t>
      </w:r>
      <w:r>
        <w:rPr>
          <w:rFonts w:ascii="Courier New" w:hAnsi="Courier New"/>
          <w:sz w:val="18"/>
        </w:rPr>
        <w:t>pnpm test:unit</w:t>
      </w:r>
      <w:r>
        <w:rPr/>
        <w:t xml:space="preserve"> runs </w:t>
      </w:r>
      <w:r>
        <w:rPr>
          <w:b/>
        </w:rPr>
        <w:t>91</w:t>
      </w:r>
      <w:r>
        <w:rPr/>
        <w:t xml:space="preserve"> tests. The mock-mode Playwright run passed </w:t>
      </w:r>
      <w:r>
        <w:rPr>
          <w:b/>
        </w:rPr>
        <w:t>211 tests</w:t>
      </w:r>
      <w:r>
        <w:rPr/>
        <w:t xml:space="preserve"> (41 skipped), </w:t>
      </w:r>
      <w:r>
        <w:rPr>
          <w:b/>
        </w:rPr>
        <w:t>221</w:t>
      </w:r>
      <w:r>
        <w:rPr/>
        <w:t xml:space="preserve"> (31 skipped) with </w:t>
      </w:r>
      <w:r>
        <w:rPr>
          <w:rFonts w:ascii="Courier New" w:hAnsi="Courier New"/>
          <w:sz w:val="18"/>
        </w:rPr>
        <w:t>E2E_STRATEGY=1</w:t>
      </w:r>
      <w:r>
        <w:rPr/>
        <w:t xml:space="preserve">; the live project, which starts its own API and web build, passed </w:t>
      </w:r>
      <w:r>
        <w:rPr>
          <w:b/>
        </w:rPr>
        <w:t>96</w:t>
      </w:r>
      <w:r>
        <w:rPr/>
        <w:t xml:space="preserve"> (14 skipped), </w:t>
      </w:r>
      <w:r>
        <w:rPr>
          <w:b/>
        </w:rPr>
        <w:t>104</w:t>
      </w:r>
      <w:r>
        <w:rP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rPr/>
        <w:t xml:space="preserve"> section 12). No screen-reader session, zoom or real-device pass was run and no WCAG conformance is claimed (</w:t>
      </w:r>
      <w:r>
        <w:rPr>
          <w:rFonts w:ascii="Courier New" w:hAnsi="Courier New"/>
          <w:sz w:val="18"/>
        </w:rPr>
        <w:t>docs/SYSTEM_WALKTHROUGH.md</w:t>
      </w:r>
      <w:r>
        <w:rPr/>
        <w:t xml:space="preserve"> section 12).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Contract reading is shown, not measured.</w:t>
      </w:r>
      <w:r>
        <w:rP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rPr/>
        <w:t xml:space="preserve"> section 2).</w:t>
      </w:r>
    </w:p>
    <w:p>
      <w:pPr>
        <w:pStyle w:val="ListBullet2"/>
        <w:tabs>
          <w:tab w:pos="792" w:val="left"/>
        </w:tabs>
        <w:ind w:left="792" w:hanging="288"/>
      </w:pPr>
      <w:r>
        <w:rPr>
          <w:b/>
        </w:rPr>
        <w:t>The strategy answers are flagged and unvalidated against real use.</w:t>
      </w:r>
      <w:r>
        <w:rPr/>
        <w:t xml:space="preserve"> First envelope read is 6 to 11 s cold on the golden books (</w:t>
      </w:r>
      <w:r>
        <w:rPr>
          <w:rFonts w:ascii="Courier New" w:hAnsi="Courier New"/>
          <w:sz w:val="18"/>
        </w:rPr>
        <w:t>docs/STRATEGY_MVP_REPORT.md</w:t>
      </w:r>
      <w:r>
        <w:rPr/>
        <w:t xml:space="preserve"> section 8).</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no cap on unauthenticated intake, concurrency proven on SQLite but not PostgreSQL so one worker only, the live-model certification not run)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Two accepted limits of the overhaul</w:t>
      </w:r>
      <w:r>
        <w:rP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pPr>
        <w:pStyle w:val="ListBullet2"/>
        <w:tabs>
          <w:tab w:pos="792" w:val="left"/>
        </w:tabs>
        <w:ind w:left="792" w:hanging="288"/>
      </w:pPr>
      <w:r>
        <w:rPr>
          <w:b/>
        </w:rPr>
        <w:t>A benchmark that fails on one machine.</w:t>
      </w:r>
      <w:r>
        <w:rPr/>
        <w:t xml:space="preserve"> The EX01 evaluation benchmark (</w:t>
      </w:r>
      <w:r>
        <w:rPr>
          <w:rFonts w:ascii="Courier New" w:hAnsi="Courier New"/>
          <w:sz w:val="18"/>
        </w:rPr>
        <w:t>tests/funding/test_benchmark.py</w:t>
      </w:r>
      <w:r>
        <w:rPr/>
        <w:t xml:space="preserve">, 350 ms) ran at about 400 ms on the Windows machine before the overhaul and after it; </w:t>
      </w:r>
      <w:r>
        <w:rPr>
          <w:rFonts w:ascii="Courier New" w:hAnsi="Courier New"/>
          <w:sz w:val="18"/>
        </w:rPr>
        <w:t>SKIP_PERF_BENCH=1</w:t>
      </w:r>
      <w:r>
        <w:rPr/>
        <w:t xml:space="preserve"> hides it (handoff 09 section 3).</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not exercised.</w:t>
      </w:r>
      <w:r>
        <w:rPr/>
        <w:t xml:space="preserve"> The concurrency invariants are proven on SQLite with two processes; the same suite runs on PostgreSQL once a database URL is supplied, and until then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