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pPr>
        <w:spacing w:before="0" w:after="60" w:line="259" w:lineRule="auto"/>
      </w:pPr>
      <w:r>
        <w:rPr>
          <w:b/>
          <w:sz w:val="20"/>
        </w:rPr>
        <w:t>FLOW is an AI working-capital agent that works for a small supplier, not for its bank or its buyers.</w:t>
      </w:r>
      <w:r>
        <w:rPr>
          <w:sz w:val="20"/>
        </w:rPr>
        <w:t xml:space="preserve"> When a large buyer asks for better payment terms, FLOW reads the request, works out what it would cost the supplier in cash and borrowing, and answers within limits the owner has signed. It counters, declines or accepts, arranges the funding the decision needs, and then follows the deal through to payment. A language model reads text and nothing more. Deterministic code decides, and only one component, the executor, can change the books. Every action is recorded in a tamper-evident log.</w:t>
      </w:r>
    </w:p>
    <w:p>
      <w:pPr>
        <w:spacing w:before="0" w:after="60" w:line="259" w:lineRule="auto"/>
      </w:pPr>
      <w:r>
        <w:rPr>
          <w:sz w:val="20"/>
        </w:rPr>
        <w:t>This is a working simulation. The engine, agent, security controls and web app are real code. The buyers, lenders and bank feed are simulated, and no real money moves.</w:t>
      </w:r>
    </w:p>
    <w:p>
      <w:pPr>
        <w:spacing w:before="0" w:after="60" w:line="259" w:lineRule="auto"/>
      </w:pPr>
      <w:r>
        <w:rPr>
          <w:b/>
          <w:sz w:val="20"/>
        </w:rPr>
        <w:t xml:space="preserve">Table 1. FLOW at a glance (build </w:t>
      </w:r>
      <w:r>
        <w:rPr>
          <w:rFonts w:ascii="Courier New" w:hAnsi="Courier New"/>
          <w:b/>
          <w:sz w:val="18"/>
        </w:rPr>
        <w:t>dev</w:t>
      </w:r>
      <w:r>
        <w:rPr>
          <w:b/>
          <w:sz w:val="20"/>
        </w:rPr>
        <w:t xml:space="preserve"> at </w:t>
      </w:r>
      <w:r>
        <w:rPr>
          <w:rFonts w:ascii="Courier New" w:hAnsi="Courier New"/>
          <w:b/>
          <w:sz w:val="18"/>
        </w:rPr>
        <w:t>975e082f</w:t>
      </w:r>
      <w:r>
        <w:rPr>
          <w:b/>
          <w:sz w:val="20"/>
        </w:rPr>
        <w:t>, 17 October 2026, offline; see Table 13 for each source).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336"/>
            <w:shd w:val="clear" w:color="auto" w:fill="E8EEFB"/>
          </w:tcPr>
          <w:p>
            <w:pPr>
              <w:keepNext/>
              <w:spacing w:before="20" w:after="20" w:line="240" w:lineRule="auto"/>
            </w:pPr>
            <w:r>
              <w:rPr>
                <w:b/>
                <w:sz w:val="18"/>
              </w:rPr>
              <w:t>What</w:t>
            </w:r>
          </w:p>
        </w:tc>
        <w:tc>
          <w:tcPr>
            <w:tcW w:type="dxa" w:w="8024"/>
            <w:shd w:val="clear" w:color="auto" w:fill="E8EEFB"/>
          </w:tcPr>
          <w:p>
            <w:pPr>
              <w:keepNext/>
              <w:spacing w:before="20" w:after="20" w:line="240" w:lineRule="auto"/>
            </w:pPr>
            <w:r>
              <w:rPr>
                <w:b/>
                <w:sz w:val="18"/>
              </w:rPr>
              <w:t>Result</w:t>
            </w:r>
          </w:p>
        </w:tc>
      </w:tr>
      <w:tr>
        <w:trPr>
          <w:cantSplit w:val="true"/>
        </w:trPr>
        <w:tc>
          <w:tcPr>
            <w:tcW w:type="dxa" w:w="1336"/>
          </w:tcPr>
          <w:p>
            <w:pPr>
              <w:spacing w:before="20" w:after="20" w:line="240" w:lineRule="auto"/>
            </w:pPr>
            <w:r>
              <w:rPr>
                <w:sz w:val="18"/>
              </w:rPr>
              <w:t>Decisions</w:t>
            </w:r>
          </w:p>
        </w:tc>
        <w:tc>
          <w:tcPr>
            <w:tcW w:type="dxa" w:w="8024"/>
          </w:tcPr>
          <w:p>
            <w:pPr>
              <w:spacing w:before="20" w:after="20" w:line="240" w:lineRule="auto"/>
            </w:pPr>
            <w:r>
              <w:rPr>
                <w:sz w:val="18"/>
              </w:rPr>
              <w:t>Six verdicts (accept, counter, reject, no deal, needs the owner, no verdict), each with the failing rule, the figures and its formula</w:t>
            </w:r>
          </w:p>
        </w:tc>
      </w:tr>
      <w:tr>
        <w:trPr>
          <w:cantSplit w:val="true"/>
        </w:trPr>
        <w:tc>
          <w:tcPr>
            <w:tcW w:type="dxa" w:w="1336"/>
          </w:tcPr>
          <w:p>
            <w:pPr>
              <w:spacing w:before="20" w:after="20" w:line="240" w:lineRule="auto"/>
            </w:pPr>
            <w:r>
              <w:rPr>
                <w:sz w:val="18"/>
              </w:rPr>
              <w:t>Engine correctness</w:t>
            </w:r>
          </w:p>
        </w:tc>
        <w:tc>
          <w:tcPr>
            <w:tcW w:type="dxa" w:w="8024"/>
          </w:tcPr>
          <w:p>
            <w:pPr>
              <w:spacing w:before="20" w:after="20" w:line="240" w:lineRule="auto"/>
            </w:pPr>
            <w:r>
              <w:rPr>
                <w:sz w:val="18"/>
              </w:rPr>
              <w:t>Financial values exact to the fen against an independent oracle: 67/67. Covenant and capex values: 27/27</w:t>
            </w:r>
          </w:p>
        </w:tc>
      </w:tr>
      <w:tr>
        <w:trPr>
          <w:cantSplit w:val="true"/>
        </w:trPr>
        <w:tc>
          <w:tcPr>
            <w:tcW w:type="dxa" w:w="1336"/>
          </w:tcPr>
          <w:p>
            <w:pPr>
              <w:spacing w:before="20" w:after="20" w:line="240" w:lineRule="auto"/>
            </w:pPr>
            <w:r>
              <w:rPr>
                <w:sz w:val="18"/>
              </w:rPr>
              <w:t>Funding router</w:t>
            </w:r>
          </w:p>
        </w:tc>
        <w:tc>
          <w:tcPr>
            <w:tcW w:type="dxa" w:w="8024"/>
          </w:tcPr>
          <w:p>
            <w:pPr>
              <w:spacing w:before="20" w:after="20" w:line="240" w:lineRule="auto"/>
            </w:pPr>
            <w:r>
              <w:rPr>
                <w:sz w:val="18"/>
              </w:rPr>
              <w:t>Optimal against an exhaustive brute force on 26/26 scenarios</w:t>
            </w:r>
          </w:p>
        </w:tc>
      </w:tr>
      <w:tr>
        <w:trPr>
          <w:cantSplit w:val="true"/>
        </w:trPr>
        <w:tc>
          <w:tcPr>
            <w:tcW w:type="dxa" w:w="1336"/>
          </w:tcPr>
          <w:p>
            <w:pPr>
              <w:spacing w:before="20" w:after="20" w:line="240" w:lineRule="auto"/>
            </w:pPr>
            <w:r>
              <w:rPr>
                <w:sz w:val="18"/>
              </w:rPr>
              <w:t>Safety</w:t>
            </w:r>
          </w:p>
        </w:tc>
        <w:tc>
          <w:tcPr>
            <w:tcW w:type="dxa" w:w="8024"/>
          </w:tcPr>
          <w:p>
            <w:pPr>
              <w:spacing w:before="20" w:after="20" w:line="240" w:lineRule="auto"/>
            </w:pPr>
            <w:r>
              <w:rPr>
                <w:sz w:val="18"/>
              </w:rPr>
              <w:t>0 wrong autonomous accepts on two held-out sets (115 buyer messages)</w:t>
            </w:r>
          </w:p>
        </w:tc>
      </w:tr>
      <w:tr>
        <w:trPr>
          <w:cantSplit w:val="true"/>
        </w:trPr>
        <w:tc>
          <w:tcPr>
            <w:tcW w:type="dxa" w:w="1336"/>
          </w:tcPr>
          <w:p>
            <w:pPr>
              <w:spacing w:before="20" w:after="20" w:line="240" w:lineRule="auto"/>
            </w:pPr>
            <w:r>
              <w:rPr>
                <w:sz w:val="18"/>
              </w:rPr>
              <w:t>Usefulness</w:t>
            </w:r>
          </w:p>
        </w:tc>
        <w:tc>
          <w:tcPr>
            <w:tcW w:type="dxa" w:w="8024"/>
          </w:tcPr>
          <w:p>
            <w:pPr>
              <w:spacing w:before="20" w:after="20" w:line="240" w:lineRule="auto"/>
            </w:pPr>
            <w:r>
              <w:rPr>
                <w:sz w:val="18"/>
              </w:rPr>
              <w:t>Answers 57 of 115 held-out buyer messages with no owner involvement. Only 3 of the 14 genuinely acceptable offers are accepted on its own; the other 11 go to the owner for one review (section 03, Table 7)</w:t>
            </w:r>
          </w:p>
        </w:tc>
      </w:tr>
      <w:tr>
        <w:trPr>
          <w:cantSplit w:val="true"/>
        </w:trPr>
        <w:tc>
          <w:tcPr>
            <w:tcW w:type="dxa" w:w="1336"/>
          </w:tcPr>
          <w:p>
            <w:pPr>
              <w:spacing w:before="20" w:after="20" w:line="240" w:lineRule="auto"/>
            </w:pPr>
            <w:r>
              <w:rPr>
                <w:sz w:val="18"/>
              </w:rPr>
              <w:t>Security</w:t>
            </w:r>
          </w:p>
        </w:tc>
        <w:tc>
          <w:tcPr>
            <w:tcW w:type="dxa" w:w="8024"/>
          </w:tcPr>
          <w:p>
            <w:pPr>
              <w:spacing w:before="20" w:after="20" w:line="240" w:lineRule="auto"/>
            </w:pPr>
            <w:r>
              <w:rPr>
                <w:sz w:val="18"/>
              </w:rPr>
              <w:t>260 stored attack cases through the API and chat: 0 violations of the defined harm oracles in each specified run. Reviewed and certified by the team's Security Lead, an AI agent in a separate session (an internal review, not external accreditation)</w:t>
            </w:r>
          </w:p>
        </w:tc>
      </w:tr>
      <w:tr>
        <w:trPr>
          <w:cantSplit w:val="true"/>
        </w:trPr>
        <w:tc>
          <w:tcPr>
            <w:tcW w:type="dxa" w:w="1336"/>
          </w:tcPr>
          <w:p>
            <w:pPr>
              <w:spacing w:before="20" w:after="20" w:line="240" w:lineRule="auto"/>
            </w:pPr>
            <w:r>
              <w:rPr>
                <w:sz w:val="18"/>
              </w:rPr>
              <w:t>Agent tasks</w:t>
            </w:r>
          </w:p>
        </w:tc>
        <w:tc>
          <w:tcPr>
            <w:tcW w:type="dxa" w:w="8024"/>
          </w:tcPr>
          <w:p>
            <w:pPr>
              <w:spacing w:before="20" w:after="20" w:line="240" w:lineRule="auto"/>
            </w:pPr>
            <w:r>
              <w:rPr>
                <w:sz w:val="18"/>
              </w:rPr>
              <w:t>49/49 scripted conversations completed, each with a verifiable evidence chain</w:t>
            </w:r>
          </w:p>
        </w:tc>
      </w:tr>
      <w:tr>
        <w:trPr>
          <w:cantSplit w:val="true"/>
        </w:trPr>
        <w:tc>
          <w:tcPr>
            <w:tcW w:type="dxa" w:w="1336"/>
          </w:tcPr>
          <w:p>
            <w:pPr>
              <w:spacing w:before="20" w:after="20" w:line="240" w:lineRule="auto"/>
            </w:pPr>
            <w:r>
              <w:rPr>
                <w:sz w:val="18"/>
              </w:rPr>
              <w:t>Tests</w:t>
            </w:r>
          </w:p>
        </w:tc>
        <w:tc>
          <w:tcPr>
            <w:tcW w:type="dxa" w:w="8024"/>
          </w:tcPr>
          <w:p>
            <w:pPr>
              <w:spacing w:before="20" w:after="20" w:line="240" w:lineRule="auto"/>
            </w:pPr>
            <w:r>
              <w:rPr>
                <w:sz w:val="18"/>
              </w:rPr>
              <w:t>9,085 API tests (9,040 passed, 1 known machine-specific hash failure, the rest skipped by design), 169 web unit tests, 445 mock and 139 live browser tests</w:t>
            </w:r>
          </w:p>
        </w:tc>
      </w:tr>
      <w:tr>
        <w:trPr>
          <w:cantSplit w:val="true"/>
        </w:trPr>
        <w:tc>
          <w:tcPr>
            <w:tcW w:type="dxa" w:w="1336"/>
          </w:tcPr>
          <w:p>
            <w:pPr>
              <w:spacing w:before="20" w:after="20" w:line="240" w:lineRule="auto"/>
            </w:pPr>
            <w:r>
              <w:rPr>
                <w:sz w:val="18"/>
              </w:rPr>
              <w:t>Languages</w:t>
            </w:r>
          </w:p>
        </w:tc>
        <w:tc>
          <w:tcPr>
            <w:tcW w:type="dxa" w:w="8024"/>
          </w:tcPr>
          <w:p>
            <w:pPr>
              <w:spacing w:before="20" w:after="20" w:line="240" w:lineRule="auto"/>
            </w:pPr>
            <w:r>
              <w:rPr>
                <w:sz w:val="18"/>
              </w:rPr>
              <w:t>Every screen and reply in English and Chinese. Chinese contracts are read with every term tied to its clause</w:t>
            </w:r>
          </w:p>
        </w:tc>
      </w:tr>
    </w:tbl>
    <w:p>
      <w:pPr>
        <w:spacing w:after="40"/>
      </w:pPr>
    </w:p>
    <w:p>
      <w:pPr>
        <w:spacing w:before="0" w:after="60" w:line="259" w:lineRule="auto"/>
      </w:pPr>
      <w:r>
        <w:rPr>
          <w:b/>
          <w:sz w:val="20"/>
        </w:rPr>
        <w:t>How to read this document.</w:t>
      </w:r>
      <w:r>
        <w:rPr>
          <w:sz w:val="20"/>
        </w:rPr>
        <w:t xml:space="preserve"> Section 01 explains the problem and what FLOW adds. Sections 02 and 03 explain how it works and how well, including where it falls short. Section 04 covers security and section 05 covers running, testing and known limits. Detailed inventories are in appendices at the end of section 05. Every number is synthetic, from the repository's fixtures, and was measured on the build named in Table 1 unless a different date is given beside it.</w:t>
      </w:r>
    </w:p>
    <w:p>
      <w:pPr>
        <w:pStyle w:val="Heading1"/>
      </w:pPr>
      <w:r>
        <w:t>01 Project Overview</w:t>
      </w:r>
    </w:p>
    <w:p>
      <w:pPr>
        <w:pStyle w:val="ListBullet"/>
        <w:spacing w:after="100"/>
      </w:pPr>
      <w:r>
        <w:t>Problem, target users and selected topic</w:t>
      </w:r>
    </w:p>
    <w:p>
      <w:pPr>
        <w:spacing w:before="0" w:after="60" w:line="259" w:lineRule="auto"/>
      </w:pPr>
      <w:r>
        <w:rPr>
          <w:b/>
          <w:sz w:val="20"/>
        </w:rPr>
        <w:t>Selected topic.</w:t>
      </w:r>
      <w:r>
        <w:rPr>
          <w:sz w:val="20"/>
        </w:rPr>
        <w:t xml:space="preserve"> International AI Track, Topic E: SME Finance Copilot. The theme is "AI as a Financial Participant".</w:t>
      </w:r>
    </w:p>
    <w:p>
      <w:pPr>
        <w:spacing w:before="0"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whether to borrow to survive them.</w:t>
      </w:r>
    </w:p>
    <w:p>
      <w:pPr>
        <w:spacing w:before="0" w:after="60" w:line="259" w:lineRule="auto"/>
      </w:pPr>
      <w:r>
        <w:rPr>
          <w:b/>
          <w:sz w:val="20"/>
        </w:rPr>
        <w:t>The insight that drives FLOW: a longer payment term is a loan from the supplier to the buyer.</w:t>
      </w:r>
      <w:r>
        <w:rPr>
          <w:sz w:val="20"/>
        </w:rPr>
        <w:t xml:space="preserve"> It moves no money today, so every spending limit, approval rule and wallet control lets it through. But the supplier must fund the gap, usually by borrowing. On the synthetic demo company, whose largest buyer takes a ¥420,000 invoice every month:</w:t>
      </w:r>
    </w:p>
    <w:p>
      <w:pPr>
        <w:pStyle w:val="ListBullet2"/>
        <w:tabs>
          <w:tab w:pos="792" w:val="left"/>
        </w:tabs>
        <w:spacing w:before="0" w:after="60" w:line="259" w:lineRule="auto"/>
        <w:ind w:left="792" w:hanging="288"/>
      </w:pPr>
      <w:r>
        <w:rPr>
          <w:sz w:val="20"/>
        </w:rPr>
        <w:t xml:space="preserve">moving that buyer from 45 to 60 days ties up </w:t>
      </w:r>
      <w:r>
        <w:rPr>
          <w:b/>
          <w:sz w:val="20"/>
        </w:rPr>
        <w:t>¥210,000</w:t>
      </w:r>
      <w:r>
        <w:rPr>
          <w:sz w:val="20"/>
        </w:rPr>
        <w:t xml:space="preserve"> of extra receivables, permanently;</w:t>
      </w:r>
    </w:p>
    <w:p>
      <w:pPr>
        <w:pStyle w:val="ListBullet2"/>
        <w:tabs>
          <w:tab w:pos="792" w:val="left"/>
        </w:tabs>
        <w:spacing w:before="0" w:after="60" w:line="259" w:lineRule="auto"/>
        <w:ind w:left="792" w:hanging="288"/>
      </w:pPr>
      <w:r>
        <w:rPr>
          <w:sz w:val="20"/>
        </w:rPr>
        <w:t xml:space="preserve">funding that on the cheapest committed source able to carry a permanent need (invoice financing at 10.84% all-in) costs </w:t>
      </w:r>
      <w:r>
        <w:rPr>
          <w:b/>
          <w:sz w:val="20"/>
        </w:rPr>
        <w:t>¥1,871.30 per invoice</w:t>
      </w:r>
      <w:r>
        <w:rPr>
          <w:sz w:val="20"/>
        </w:rPr>
        <w:t xml:space="preserve">, or </w:t>
      </w:r>
      <w:r>
        <w:rPr>
          <w:b/>
          <w:sz w:val="20"/>
        </w:rPr>
        <w:t>¥24,326.92 a year</w:t>
      </w:r>
      <w:r>
        <w:rPr>
          <w:sz w:val="20"/>
        </w:rPr>
        <w:t>;</w:t>
      </w:r>
    </w:p>
    <w:p>
      <w:pPr>
        <w:pStyle w:val="ListBullet2"/>
        <w:tabs>
          <w:tab w:pos="792" w:val="left"/>
        </w:tabs>
        <w:spacing w:before="0" w:after="60" w:line="259" w:lineRule="auto"/>
        <w:ind w:left="792" w:hanging="288"/>
      </w:pPr>
      <w:r>
        <w:rPr>
          <w:sz w:val="20"/>
        </w:rPr>
        <w:t>the same request also asks for a 1.2% early-payment discount (¥5,040) and a rebate of up to ¥4,000.</w:t>
      </w:r>
    </w:p>
    <w:p>
      <w:pPr>
        <w:spacing w:before="0" w:after="60" w:line="259" w:lineRule="auto"/>
      </w:pPr>
      <w:r>
        <w:rPr>
          <w:sz w:val="20"/>
        </w:rPr>
        <w:t>The owner sees "60 days instead of 45". FLOW shows that the package costs more than five times the owner's own limit for such promises, and that it would push cash below the safety reserve on day 47.</w:t>
      </w:r>
    </w:p>
    <w:p>
      <w:pPr>
        <w:spacing w:before="0"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pPr>
        <w:pStyle w:val="ListBullet"/>
        <w:spacing w:after="100"/>
      </w:pPr>
      <w:r>
        <w:t>Core value and innovation</w:t>
      </w:r>
    </w:p>
    <w:p>
      <w:pPr>
        <w:spacing w:before="0" w:after="60" w:line="259" w:lineRule="auto"/>
      </w:pPr>
      <w:r>
        <w:rPr>
          <w:b/>
          <w:sz w:val="20"/>
        </w:rPr>
        <w:t>What FLOW does for the owner.</w:t>
      </w:r>
    </w:p>
    <w:p>
      <w:pPr>
        <w:spacing w:before="0"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term is tied to the exact words it came from.</w:t>
      </w:r>
    </w:p>
    <w:p>
      <w:pPr>
        <w:spacing w:before="0"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pPr>
        <w:spacing w:before="0"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pPr>
        <w:spacing w:before="0" w:after="60" w:line="259" w:lineRule="auto"/>
        <w:ind w:left="720" w:hanging="288"/>
      </w:pPr>
      <w:r>
        <w:rPr>
          <w:sz w:val="20"/>
        </w:rPr>
        <w:t xml:space="preserve">4. </w:t>
      </w:r>
      <w:r>
        <w:rPr>
          <w:b/>
          <w:sz w:val="20"/>
        </w:rPr>
        <w:t>Arranges the money.</w:t>
      </w:r>
      <w:r>
        <w:rPr>
          <w:sz w:val="20"/>
        </w:rPr>
        <w:t xml:space="preserve"> It finds the cheapest admissible way to cover any cash gap from the owner's own committed facilities, and checks loan covenants every month.</w:t>
      </w:r>
    </w:p>
    <w:p>
      <w:pPr>
        <w:spacing w:before="0"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pPr>
        <w:spacing w:before="0"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so each makes the other better. A concession is priced at the supplier's real marginal cost of debt. And because Debt Desk knows the funding alternative, FLOW can walk away from a bad deal and still cover the gap.</w:t>
      </w:r>
    </w:p>
    <w:p>
      <w:pPr>
        <w:spacing w:before="0" w:after="60" w:line="259" w:lineRule="auto"/>
      </w:pPr>
      <w:r>
        <w:rPr>
          <w:b/>
          <w:sz w:val="20"/>
        </w:rPr>
        <w:t>The demo story, end to end</w:t>
      </w:r>
      <w:r>
        <w:rPr>
          <w:sz w:val="20"/>
        </w:rPr>
        <w:t xml:space="preserve"> (golden books, </w:t>
      </w:r>
      <w:r>
        <w:rPr>
          <w:rFonts w:ascii="Courier New" w:hAnsi="Courier New"/>
          <w:sz w:val="18"/>
        </w:rPr>
        <w:t>scripts/demo_run.py</w:t>
      </w:r>
      <w:r>
        <w:rPr>
          <w:sz w:val="20"/>
        </w:rPr>
        <w:t>, 17 steps, re-run 17 Oct 2026):</w:t>
      </w:r>
    </w:p>
    <w:p>
      <w:pPr>
        <w:spacing w:before="0" w:after="60" w:line="259" w:lineRule="auto"/>
        <w:ind w:left="720" w:hanging="288"/>
      </w:pPr>
      <w:r>
        <w:rPr>
          <w:sz w:val="20"/>
        </w:rPr>
        <w:t xml:space="preserve">1. </w:t>
      </w:r>
      <w:r>
        <w:rPr>
          <w:sz w:val="20"/>
        </w:rPr>
        <w:t>Foshan Home Retail asks for 60-day terms, a 1.2% early-payment discount and a rebate. FLOW rejects the package as asked and offers two counters.</w:t>
      </w:r>
    </w:p>
    <w:p>
      <w:pPr>
        <w:spacing w:before="0" w:after="60" w:line="259" w:lineRule="auto"/>
        <w:ind w:left="720" w:hanging="288"/>
      </w:pPr>
      <w:r>
        <w:rPr>
          <w:sz w:val="20"/>
        </w:rPr>
        <w:t xml:space="preserve">2. </w:t>
      </w:r>
      <w:r>
        <w:rPr>
          <w:sz w:val="20"/>
        </w:rPr>
        <w:t xml:space="preserve">The buyer accepts </w:t>
      </w:r>
      <w:r>
        <w:rPr>
          <w:b/>
          <w:sz w:val="20"/>
        </w:rPr>
        <w:t>Option A</w:t>
      </w:r>
      <w:r>
        <w:rPr>
          <w:sz w:val="20"/>
        </w:rPr>
        <w:t xml:space="preserve">: early payment on up to ¥260,000 of its invoice at 0.85%. It pays </w:t>
      </w:r>
      <w:r>
        <w:rPr>
          <w:b/>
          <w:sz w:val="20"/>
        </w:rPr>
        <w:t>¥257,790.00 on day 2</w:t>
      </w:r>
      <w:r>
        <w:rPr>
          <w:sz w:val="20"/>
        </w:rPr>
        <w:t>.</w:t>
      </w:r>
    </w:p>
    <w:p>
      <w:pPr>
        <w:spacing w:before="0" w:after="60" w:line="259" w:lineRule="auto"/>
        <w:ind w:left="720" w:hanging="288"/>
      </w:pPr>
      <w:r>
        <w:rPr>
          <w:sz w:val="20"/>
        </w:rPr>
        <w:t xml:space="preserve">3. </w:t>
      </w:r>
      <w:r>
        <w:rPr>
          <w:b/>
          <w:sz w:val="20"/>
        </w:rPr>
        <w:t>Day 34:</w:t>
      </w:r>
      <w:r>
        <w:rPr>
          <w:sz w:val="20"/>
        </w:rPr>
        <w:t xml:space="preserve"> ¥160,000 is still unpaid and cash is heading under the reserve. FLOW speaks first and proposes a ¥200,000 advance on the next invoice, costing ¥1,782.19.</w:t>
      </w:r>
    </w:p>
    <w:p>
      <w:pPr>
        <w:spacing w:before="0" w:after="60" w:line="259" w:lineRule="auto"/>
        <w:ind w:left="720" w:hanging="288"/>
      </w:pPr>
      <w:r>
        <w:rPr>
          <w:sz w:val="20"/>
        </w:rPr>
        <w:t xml:space="preserve">4. </w:t>
      </w:r>
      <w:r>
        <w:rPr>
          <w:sz w:val="20"/>
        </w:rPr>
        <w:t xml:space="preserve">That cure costs 32.5% a year, above the owner's 15% ceiling. So "go ahead" </w:t>
      </w:r>
      <w:r>
        <w:rPr>
          <w:b/>
          <w:sz w:val="20"/>
        </w:rPr>
        <w:t>queues it for approval and nothing runs</w:t>
      </w:r>
      <w:r>
        <w:rPr>
          <w:sz w:val="20"/>
        </w:rPr>
        <w:t>. Only the owner's explicit approval runs it, and the cash lands on day 37.</w:t>
      </w:r>
    </w:p>
    <w:p>
      <w:pPr>
        <w:spacing w:before="0" w:after="60" w:line="259" w:lineRule="auto"/>
        <w:ind w:left="720" w:hanging="288"/>
      </w:pPr>
      <w:r>
        <w:rPr>
          <w:sz w:val="20"/>
        </w:rPr>
        <w:t xml:space="preserve">5. </w:t>
      </w:r>
      <w:r>
        <w:rPr>
          <w:sz w:val="20"/>
        </w:rPr>
        <w:t>The late money arrives on day 36. The financed invoice is paid on day 47 and its advance is repaid from that receipt.</w:t>
      </w:r>
    </w:p>
    <w:p>
      <w:pPr>
        <w:spacing w:before="0" w:after="60" w:line="259" w:lineRule="auto"/>
        <w:ind w:left="720" w:hanging="288"/>
      </w:pPr>
      <w:r>
        <w:rPr>
          <w:sz w:val="20"/>
        </w:rPr>
        <w:t xml:space="preserve">6. </w:t>
      </w:r>
      <w:r>
        <w:rPr>
          <w:sz w:val="20"/>
        </w:rPr>
        <w:t>FLOW proposes repaying the credit-line draw, reconciliation closes the deal, and the record holds 14 hash-chained entries that verify.</w:t>
      </w:r>
    </w:p>
    <w:p>
      <w:pPr>
        <w:jc w:val="center"/>
      </w:pPr>
      <w:r>
        <w:drawing>
          <wp:inline xmlns:a="http://schemas.openxmlformats.org/drawingml/2006/main" xmlns:pic="http://schemas.openxmlformats.org/drawingml/2006/picture">
            <wp:extent cx="3397360" cy="4389120"/>
            <wp:docPr id="1" name="Picture 1"/>
            <wp:cNvGraphicFramePr>
              <a:graphicFrameLocks noChangeAspect="1"/>
            </wp:cNvGraphicFramePr>
            <a:graphic>
              <a:graphicData uri="http://schemas.openxmlformats.org/drawingml/2006/picture">
                <pic:pic>
                  <pic:nvPicPr>
                    <pic:cNvPr id="0" name="shot2-deal-decision.png"/>
                    <pic:cNvPicPr/>
                  </pic:nvPicPr>
                  <pic:blipFill>
                    <a:blip r:embed="rId10"/>
                    <a:stretch>
                      <a:fillRect/>
                    </a:stretch>
                  </pic:blipFill>
                  <pic:spPr>
                    <a:xfrm>
                      <a:off x="0" y="0"/>
                      <a:ext cx="3397360" cy="4389120"/>
                    </a:xfrm>
                    <a:prstGeom prst="rect"/>
                  </pic:spPr>
                </pic:pic>
              </a:graphicData>
            </a:graphic>
          </wp:inline>
        </w:drawing>
      </w:r>
    </w:p>
    <w:p>
      <w:pPr>
        <w:pStyle w:val="Caption"/>
      </w:pPr>
      <w:r>
        <w:t>Figure 1. A buyer's request in FLOW. (1) The verdict and why the request cannot be accepted as asked. (2) The priced choices: Option A, early payment on ¥260,000 at 0.85%, costs ¥3,035.99; Option B is 55-day terms with a 0.30% price rise. (3) Nothing is sent or agreed without the owner.</w:t>
      </w:r>
    </w:p>
    <w:p>
      <w:pPr>
        <w:spacing w:before="0"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pPr>
        <w:pStyle w:val="ListBullet2"/>
        <w:tabs>
          <w:tab w:pos="792" w:val="left"/>
        </w:tabs>
        <w:spacing w:before="0"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pPr>
        <w:pStyle w:val="ListBullet2"/>
        <w:tabs>
          <w:tab w:pos="792" w:val="left"/>
        </w:tabs>
        <w:spacing w:before="0"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pPr>
        <w:pStyle w:val="ListBullet2"/>
        <w:tabs>
          <w:tab w:pos="792" w:val="left"/>
        </w:tabs>
        <w:spacing w:before="0"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pPr>
        <w:pStyle w:val="ListBullet2"/>
        <w:tabs>
          <w:tab w:pos="792" w:val="left"/>
        </w:tabs>
        <w:spacing w:before="0" w:after="60" w:line="259" w:lineRule="auto"/>
        <w:ind w:left="792" w:hanging="288"/>
      </w:pPr>
      <w:r>
        <w:rPr>
          <w:b/>
          <w:sz w:val="20"/>
        </w:rPr>
        <w:t>One deterministic pipeline.</w:t>
      </w:r>
      <w:r>
        <w:rPr>
          <w:sz w:val="20"/>
        </w:rPr>
        <w:t xml:space="preserve"> Reading, forecasting, funding, covenants, signed mandate, commitments and an injection-resistant typed interface are a single pipeline, not a set of independent tools.</w:t>
      </w:r>
    </w:p>
    <w:p>
      <w:pPr>
        <w:spacing w:before="0" w:after="60" w:line="259" w:lineRule="auto"/>
      </w:pPr>
      <w:r>
        <w:rPr>
          <w:b/>
          <w:sz w:val="20"/>
        </w:rPr>
        <w:t>Table 2. Products in the same space (vendor descriptions; "difference" is our reading of public material).</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063"/>
            <w:shd w:val="clear" w:color="auto" w:fill="E8EEFB"/>
          </w:tcPr>
          <w:p>
            <w:pPr>
              <w:keepNext/>
              <w:spacing w:before="20" w:after="20" w:line="240" w:lineRule="auto"/>
            </w:pPr>
            <w:r>
              <w:rPr>
                <w:b/>
                <w:sz w:val="18"/>
              </w:rPr>
              <w:t>Product</w:t>
            </w:r>
          </w:p>
        </w:tc>
        <w:tc>
          <w:tcPr>
            <w:tcW w:type="dxa" w:w="3432"/>
            <w:shd w:val="clear" w:color="auto" w:fill="E8EEFB"/>
          </w:tcPr>
          <w:p>
            <w:pPr>
              <w:keepNext/>
              <w:spacing w:before="20" w:after="20" w:line="240" w:lineRule="auto"/>
            </w:pPr>
            <w:r>
              <w:rPr>
                <w:b/>
                <w:sz w:val="18"/>
              </w:rPr>
              <w:t>What it does</w:t>
            </w:r>
          </w:p>
        </w:tc>
        <w:tc>
          <w:tcPr>
            <w:tcW w:type="dxa" w:w="3865"/>
            <w:shd w:val="clear" w:color="auto" w:fill="E8EEFB"/>
          </w:tcPr>
          <w:p>
            <w:pPr>
              <w:keepNext/>
              <w:spacing w:before="20" w:after="20" w:line="240" w:lineRule="auto"/>
            </w:pPr>
            <w:r>
              <w:rPr>
                <w:b/>
                <w:sz w:val="18"/>
              </w:rPr>
              <w:t>How FLOW differs</w:t>
            </w:r>
          </w:p>
        </w:tc>
      </w:tr>
      <w:tr>
        <w:trPr>
          <w:cantSplit w:val="true"/>
        </w:trPr>
        <w:tc>
          <w:tcPr>
            <w:tcW w:type="dxa" w:w="2063"/>
          </w:tcPr>
          <w:p>
            <w:pPr>
              <w:spacing w:before="20" w:after="20" w:line="240" w:lineRule="auto"/>
            </w:pPr>
            <w:r>
              <w:rPr>
                <w:sz w:val="18"/>
              </w:rPr>
              <w:t>Pactum</w:t>
            </w:r>
          </w:p>
        </w:tc>
        <w:tc>
          <w:tcPr>
            <w:tcW w:type="dxa" w:w="3432"/>
          </w:tcPr>
          <w:p>
            <w:pPr>
              <w:spacing w:before="20" w:after="20" w:line="240" w:lineRule="auto"/>
            </w:pPr>
            <w:r>
              <w:rPr>
                <w:sz w:val="18"/>
              </w:rPr>
              <w:t>Buyer-side agents that negotiate payment days, discounts and rebates</w:t>
            </w:r>
          </w:p>
        </w:tc>
        <w:tc>
          <w:tcPr>
            <w:tcW w:type="dxa" w:w="3865"/>
          </w:tcPr>
          <w:p>
            <w:pPr>
              <w:spacing w:before="20" w:after="20" w:line="240" w:lineRule="auto"/>
            </w:pPr>
            <w:r>
              <w:rPr>
                <w:sz w:val="18"/>
              </w:rPr>
              <w:t>FLOW sits on the other side of the table</w:t>
            </w:r>
          </w:p>
        </w:tc>
      </w:tr>
      <w:tr>
        <w:trPr>
          <w:cantSplit w:val="true"/>
        </w:trPr>
        <w:tc>
          <w:tcPr>
            <w:tcW w:type="dxa" w:w="2063"/>
          </w:tcPr>
          <w:p>
            <w:pPr>
              <w:spacing w:before="20" w:after="20" w:line="240" w:lineRule="auto"/>
            </w:pPr>
            <w:r>
              <w:rPr>
                <w:sz w:val="18"/>
              </w:rPr>
              <w:t>MYbank 百灵 / AI票据管家</w:t>
            </w:r>
          </w:p>
        </w:tc>
        <w:tc>
          <w:tcPr>
            <w:tcW w:type="dxa" w:w="3432"/>
          </w:tcPr>
          <w:p>
            <w:pPr>
              <w:spacing w:before="20" w:after="20" w:line="240" w:lineRule="auto"/>
            </w:pPr>
            <w:r>
              <w:rPr>
                <w:sz w:val="18"/>
              </w:rPr>
              <w:t>Lender agents that tailor the bank's own credit and bill products</w:t>
            </w:r>
          </w:p>
        </w:tc>
        <w:tc>
          <w:tcPr>
            <w:tcW w:type="dxa" w:w="3865"/>
          </w:tcPr>
          <w:p>
            <w:pPr>
              <w:spacing w:before="20" w:after="20" w:line="240" w:lineRule="auto"/>
            </w:pPr>
            <w:r>
              <w:rPr>
                <w:sz w:val="18"/>
              </w:rPr>
              <w:t>FLOW is supplier-owned and compares several sources, starting from the trade terms that cause the need</w:t>
            </w:r>
          </w:p>
        </w:tc>
      </w:tr>
      <w:tr>
        <w:trPr>
          <w:cantSplit w:val="true"/>
        </w:trPr>
        <w:tc>
          <w:tcPr>
            <w:tcW w:type="dxa" w:w="2063"/>
          </w:tcPr>
          <w:p>
            <w:pPr>
              <w:spacing w:before="20" w:after="20" w:line="240" w:lineRule="auto"/>
            </w:pPr>
            <w:r>
              <w:rPr>
                <w:sz w:val="18"/>
              </w:rPr>
              <w:t>Xero JAX Cash Flow Actions</w:t>
            </w:r>
          </w:p>
        </w:tc>
        <w:tc>
          <w:tcPr>
            <w:tcW w:type="dxa" w:w="3432"/>
          </w:tcPr>
          <w:p>
            <w:pPr>
              <w:spacing w:before="20" w:after="20" w:line="240" w:lineRule="auto"/>
            </w:pPr>
            <w:r>
              <w:rPr>
                <w:sz w:val="18"/>
              </w:rPr>
              <w:t>Ledger-side cash-gap detection and suggested plans</w:t>
            </w:r>
          </w:p>
        </w:tc>
        <w:tc>
          <w:tcPr>
            <w:tcW w:type="dxa" w:w="3865"/>
          </w:tcPr>
          <w:p>
            <w:pPr>
              <w:spacing w:before="20" w:after="20" w:line="240" w:lineRule="auto"/>
            </w:pPr>
            <w:r>
              <w:rPr>
                <w:sz w:val="18"/>
              </w:rPr>
              <w:t>FLOW reads incoming offers and decides them inside a signed mandate and covenants</w:t>
            </w:r>
          </w:p>
        </w:tc>
      </w:tr>
      <w:tr>
        <w:trPr>
          <w:cantSplit w:val="true"/>
        </w:trPr>
        <w:tc>
          <w:tcPr>
            <w:tcW w:type="dxa" w:w="2063"/>
          </w:tcPr>
          <w:p>
            <w:pPr>
              <w:spacing w:before="20" w:after="20" w:line="240" w:lineRule="auto"/>
            </w:pPr>
            <w:r>
              <w:rPr>
                <w:sz w:val="18"/>
              </w:rPr>
              <w:t>Cerebro Capital, Capitalise, Codat, Lendio</w:t>
            </w:r>
          </w:p>
        </w:tc>
        <w:tc>
          <w:tcPr>
            <w:tcW w:type="dxa" w:w="3432"/>
          </w:tcPr>
          <w:p>
            <w:pPr>
              <w:spacing w:before="20" w:after="20" w:line="240" w:lineRule="auto"/>
            </w:pPr>
            <w:r>
              <w:rPr>
                <w:sz w:val="18"/>
              </w:rPr>
              <w:t>Lender marketplaces and debt-capacity tools for banks or mid-market firms</w:t>
            </w:r>
          </w:p>
        </w:tc>
        <w:tc>
          <w:tcPr>
            <w:tcW w:type="dxa" w:w="3865"/>
          </w:tcPr>
          <w:p>
            <w:pPr>
              <w:spacing w:before="20" w:after="20" w:line="240" w:lineRule="auto"/>
            </w:pPr>
            <w:r>
              <w:rPr>
                <w:sz w:val="18"/>
              </w:rPr>
              <w:t>FLOW starts before the owner decides to borrow, at the request that creates the need</w:t>
            </w:r>
          </w:p>
        </w:tc>
      </w:tr>
    </w:tbl>
    <w:p>
      <w:pPr>
        <w:spacing w:after="40"/>
      </w:pPr>
    </w:p>
    <w:p>
      <w:pPr>
        <w:spacing w:before="0" w:after="60" w:line="259" w:lineRule="auto"/>
      </w:pPr>
      <w:r>
        <w:rPr>
          <w:b/>
          <w:sz w:val="20"/>
        </w:rPr>
        <w:t>What we claim, and what we do not.</w:t>
      </w:r>
      <w:r>
        <w:rPr>
          <w:sz w:val="20"/>
        </w:rPr>
        <w:t xml:space="preserve"> Claims:</w:t>
      </w:r>
    </w:p>
    <w:p>
      <w:pPr>
        <w:pStyle w:val="ListBullet2"/>
        <w:tabs>
          <w:tab w:pos="792" w:val="left"/>
        </w:tabs>
        <w:spacing w:before="0" w:after="60" w:line="259" w:lineRule="auto"/>
        <w:ind w:left="792" w:hanging="288"/>
      </w:pPr>
      <w:r>
        <w:rPr>
          <w:sz w:val="20"/>
        </w:rPr>
        <w:t>No model output alone can create a commitment, borrow or move money in FLOW.</w:t>
      </w:r>
    </w:p>
    <w:p>
      <w:pPr>
        <w:pStyle w:val="ListBullet2"/>
        <w:tabs>
          <w:tab w:pos="792" w:val="left"/>
        </w:tabs>
        <w:spacing w:before="0" w:after="60" w:line="259" w:lineRule="auto"/>
        <w:ind w:left="792" w:hanging="288"/>
      </w:pPr>
      <w:r>
        <w:rPr>
          <w:sz w:val="20"/>
        </w:rPr>
        <w:t>Every verdict carries its failing rule, the figures, the formula and the source words.</w:t>
      </w:r>
    </w:p>
    <w:p>
      <w:pPr>
        <w:pStyle w:val="ListBullet2"/>
        <w:tabs>
          <w:tab w:pos="792" w:val="left"/>
        </w:tabs>
        <w:spacing w:before="0" w:after="60" w:line="259" w:lineRule="auto"/>
        <w:ind w:left="792" w:hanging="288"/>
      </w:pPr>
      <w:r>
        <w:rPr>
          <w:sz w:val="20"/>
        </w:rPr>
        <w:t>In the cases we tested, no misread message was accepted without the owner after ADR-0005.</w:t>
      </w:r>
    </w:p>
    <w:p>
      <w:pPr>
        <w:spacing w:before="0" w:after="60" w:line="259" w:lineRule="auto"/>
      </w:pPr>
      <w:r>
        <w:rPr>
          <w:sz w:val="20"/>
        </w:rPr>
        <w:t>We do not claim that FLOW is a lender, broker or adviser, that it complies with any bank's covenants, or that it reads contracts or messages perfectly. It does not. Section 03 says by how much.</w:t>
      </w:r>
    </w:p>
    <w:p>
      <w:pPr>
        <w:pStyle w:val="Heading1"/>
      </w:pPr>
      <w:r>
        <w:t>02 System Architecture</w:t>
      </w:r>
    </w:p>
    <w:p>
      <w:pPr>
        <w:pStyle w:val="ListBullet"/>
        <w:spacing w:after="100"/>
      </w:pPr>
      <w:r>
        <w:t>Architecture diagram and component responsibilities</w:t>
      </w:r>
    </w:p>
    <w:p>
      <w:pPr>
        <w:spacing w:before="0"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w:t>
      </w:r>
    </w:p>
    <w:p>
      <w:pPr>
        <w:jc w:val="center"/>
      </w:pPr>
      <w:r>
        <w:drawing>
          <wp:inline xmlns:a="http://schemas.openxmlformats.org/drawingml/2006/main" xmlns:pic="http://schemas.openxmlformats.org/drawingml/2006/picture">
            <wp:extent cx="4876800" cy="4389120"/>
            <wp:docPr id="2" name="Picture 2"/>
            <wp:cNvGraphicFramePr>
              <a:graphicFrameLocks noChangeAspect="1"/>
            </wp:cNvGraphicFramePr>
            <a:graphic>
              <a:graphicData uri="http://schemas.openxmlformats.org/drawingml/2006/picture">
                <pic:pic>
                  <pic:nvPicPr>
                    <pic:cNvPr id="0" name="fig1-architecture.png"/>
                    <pic:cNvPicPr/>
                  </pic:nvPicPr>
                  <pic:blipFill>
                    <a:blip r:embed="rId11"/>
                    <a:stretch>
                      <a:fillRect/>
                    </a:stretch>
                  </pic:blipFill>
                  <pic:spPr>
                    <a:xfrm>
                      <a:off x="0" y="0"/>
                      <a:ext cx="4876800" cy="4389120"/>
                    </a:xfrm>
                    <a:prstGeom prst="rect"/>
                  </pic:spPr>
                </pic:pic>
              </a:graphicData>
            </a:graphic>
          </wp:inline>
        </w:drawing>
      </w:r>
    </w:p>
    <w:p>
      <w:pPr>
        <w:pStyle w:val="Caption"/>
      </w:pPr>
      <w:r>
        <w:t>Figure 2. FLOW in one picture. Untrusted text enters on the left, where the compiler is the only model-backed step. The deterministic core decides on typed obligations and never reads free text. Only the executor writes, and it records every outcome in a hash-chained log.</w:t>
      </w:r>
    </w:p>
    <w:p>
      <w:pPr>
        <w:spacing w:before="0" w:after="60" w:line="259" w:lineRule="auto"/>
      </w:pPr>
      <w:r>
        <w:rPr>
          <w:b/>
          <w:sz w:val="20"/>
        </w:rPr>
        <w:t>Table 3. The four roles in the pipeline.</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434"/>
            <w:shd w:val="clear" w:color="auto" w:fill="E8EEFB"/>
          </w:tcPr>
          <w:p>
            <w:pPr>
              <w:keepNext/>
              <w:spacing w:before="20" w:after="20" w:line="240" w:lineRule="auto"/>
            </w:pPr>
            <w:r>
              <w:rPr>
                <w:b/>
                <w:sz w:val="18"/>
              </w:rPr>
              <w:t>Role</w:t>
            </w:r>
          </w:p>
        </w:tc>
        <w:tc>
          <w:tcPr>
            <w:tcW w:type="dxa" w:w="2637"/>
            <w:shd w:val="clear" w:color="auto" w:fill="E8EEFB"/>
          </w:tcPr>
          <w:p>
            <w:pPr>
              <w:keepNext/>
              <w:spacing w:before="20" w:after="20" w:line="240" w:lineRule="auto"/>
            </w:pPr>
            <w:r>
              <w:rPr>
                <w:b/>
                <w:sz w:val="18"/>
              </w:rPr>
              <w:t>Code</w:t>
            </w:r>
          </w:p>
        </w:tc>
        <w:tc>
          <w:tcPr>
            <w:tcW w:type="dxa" w:w="2709"/>
            <w:shd w:val="clear" w:color="auto" w:fill="E8EEFB"/>
          </w:tcPr>
          <w:p>
            <w:pPr>
              <w:keepNext/>
              <w:spacing w:before="20" w:after="20" w:line="240" w:lineRule="auto"/>
            </w:pPr>
            <w:r>
              <w:rPr>
                <w:b/>
                <w:sz w:val="18"/>
              </w:rPr>
              <w:t>May</w:t>
            </w:r>
          </w:p>
        </w:tc>
        <w:tc>
          <w:tcPr>
            <w:tcW w:type="dxa" w:w="2579"/>
            <w:shd w:val="clear" w:color="auto" w:fill="E8EEFB"/>
          </w:tcPr>
          <w:p>
            <w:pPr>
              <w:keepNext/>
              <w:spacing w:before="20" w:after="20" w:line="240" w:lineRule="auto"/>
            </w:pPr>
            <w:r>
              <w:rPr>
                <w:b/>
                <w:sz w:val="18"/>
              </w:rPr>
              <w:t>May not</w:t>
            </w:r>
          </w:p>
        </w:tc>
      </w:tr>
      <w:tr>
        <w:trPr>
          <w:cantSplit w:val="true"/>
        </w:trPr>
        <w:tc>
          <w:tcPr>
            <w:tcW w:type="dxa" w:w="1434"/>
          </w:tcPr>
          <w:p>
            <w:pPr>
              <w:spacing w:before="20" w:after="20" w:line="240" w:lineRule="auto"/>
            </w:pPr>
            <w:r>
              <w:rPr>
                <w:b/>
                <w:sz w:val="18"/>
              </w:rPr>
              <w:t>Compiler</w:t>
            </w:r>
            <w:r>
              <w:rPr>
                <w:sz w:val="18"/>
              </w:rPr>
              <w:t xml:space="preserve"> (the only model-backed role, untrusted)</w:t>
            </w:r>
          </w:p>
        </w:tc>
        <w:tc>
          <w:tcPr>
            <w:tcW w:type="dxa" w:w="2637"/>
          </w:tcPr>
          <w:p>
            <w:pPr>
              <w:spacing w:before="20" w:after="20" w:line="240" w:lineRule="auto"/>
            </w:pPr>
            <w:r>
              <w:rPr>
                <w:rFonts w:ascii="Courier New" w:hAnsi="Courier New"/>
                <w:sz w:val="18"/>
              </w:rPr>
              <w:t>compiler/</w:t>
            </w:r>
          </w:p>
        </w:tc>
        <w:tc>
          <w:tcPr>
            <w:tcW w:type="dxa" w:w="2709"/>
          </w:tcPr>
          <w:p>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type="dxa" w:w="2579"/>
          </w:tcPr>
          <w:p>
            <w:pPr>
              <w:spacing w:before="20" w:after="20" w:line="240" w:lineRule="auto"/>
            </w:pPr>
            <w:r>
              <w:rPr>
                <w:sz w:val="18"/>
              </w:rPr>
              <w:t>See the books, the mandate, the funding options or a buyer's limits. Emit an operation, a tier or a reply</w:t>
            </w:r>
          </w:p>
        </w:tc>
      </w:tr>
      <w:tr>
        <w:trPr>
          <w:cantSplit w:val="true"/>
        </w:trPr>
        <w:tc>
          <w:tcPr>
            <w:tcW w:type="dxa" w:w="1434"/>
          </w:tcPr>
          <w:p>
            <w:pPr>
              <w:spacing w:before="20" w:after="20" w:line="240" w:lineRule="auto"/>
            </w:pPr>
            <w:r>
              <w:rPr>
                <w:b/>
                <w:sz w:val="18"/>
              </w:rPr>
              <w:t>Verifier</w:t>
            </w:r>
          </w:p>
        </w:tc>
        <w:tc>
          <w:tcPr>
            <w:tcW w:type="dxa" w:w="2637"/>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709"/>
          </w:tcPr>
          <w:p>
            <w:pPr>
              <w:spacing w:before="20" w:after="20" w:line="240" w:lineRule="auto"/>
            </w:pPr>
            <w:r>
              <w:rPr>
                <w:sz w:val="18"/>
              </w:rPr>
              <w:t>Project the cash trajectory, test the mandate and covenants, return a verdict with formulas and priced counters</w:t>
            </w:r>
          </w:p>
        </w:tc>
        <w:tc>
          <w:tcPr>
            <w:tcW w:type="dxa" w:w="2579"/>
          </w:tcPr>
          <w:p>
            <w:pPr>
              <w:spacing w:before="20" w:after="20" w:line="240" w:lineRule="auto"/>
            </w:pPr>
            <w:r>
              <w:rPr>
                <w:sz w:val="18"/>
              </w:rPr>
              <w:t>Read free text (enforced by a test on its imports)</w:t>
            </w:r>
          </w:p>
        </w:tc>
      </w:tr>
      <w:tr>
        <w:trPr>
          <w:cantSplit w:val="true"/>
        </w:trPr>
        <w:tc>
          <w:tcPr>
            <w:tcW w:type="dxa" w:w="1434"/>
          </w:tcPr>
          <w:p>
            <w:pPr>
              <w:spacing w:before="20" w:after="20" w:line="240" w:lineRule="auto"/>
            </w:pPr>
            <w:r>
              <w:rPr>
                <w:b/>
                <w:sz w:val="18"/>
              </w:rPr>
              <w:t>Negotiator</w:t>
            </w:r>
          </w:p>
        </w:tc>
        <w:tc>
          <w:tcPr>
            <w:tcW w:type="dxa" w:w="2637"/>
          </w:tcPr>
          <w:p>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709"/>
          </w:tcPr>
          <w:p>
            <w:pPr>
              <w:spacing w:before="20" w:after="20" w:line="240" w:lineRule="auto"/>
            </w:pPr>
            <w:r>
              <w:rPr>
                <w:sz w:val="18"/>
              </w:rPr>
              <w:t>Price counters from the marginal cost of funds, run bounded rounds with the buyer, fill outbound templates</w:t>
            </w:r>
          </w:p>
        </w:tc>
        <w:tc>
          <w:tcPr>
            <w:tcW w:type="dxa" w:w="2579"/>
          </w:tcPr>
          <w:p>
            <w:pPr>
              <w:spacing w:before="20" w:after="20" w:line="240" w:lineRule="auto"/>
            </w:pPr>
            <w:r>
              <w:rPr>
                <w:sz w:val="18"/>
              </w:rPr>
              <w:t>Reveal the reserve, caps, funding options or limits</w:t>
            </w:r>
          </w:p>
        </w:tc>
      </w:tr>
      <w:tr>
        <w:trPr>
          <w:cantSplit w:val="true"/>
        </w:trPr>
        <w:tc>
          <w:tcPr>
            <w:tcW w:type="dxa" w:w="1434"/>
          </w:tcPr>
          <w:p>
            <w:pPr>
              <w:spacing w:before="20" w:after="20" w:line="240" w:lineRule="auto"/>
            </w:pPr>
            <w:r>
              <w:rPr>
                <w:b/>
                <w:sz w:val="18"/>
              </w:rPr>
              <w:t>Treasurer</w:t>
            </w:r>
          </w:p>
        </w:tc>
        <w:tc>
          <w:tcPr>
            <w:tcW w:type="dxa" w:w="2637"/>
          </w:tcPr>
          <w:p>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type="dxa" w:w="2709"/>
          </w:tcPr>
          <w:p>
            <w:pPr>
              <w:spacing w:before="20" w:after="20" w:line="240" w:lineRule="auto"/>
            </w:pPr>
            <w:r>
              <w:rPr>
                <w:sz w:val="18"/>
              </w:rPr>
              <w:t>Find the cheapest admissible funding plan and execute typed operations through the permission gates</w:t>
            </w:r>
          </w:p>
        </w:tc>
        <w:tc>
          <w:tcPr>
            <w:tcW w:type="dxa" w:w="2579"/>
          </w:tcPr>
          <w:p>
            <w:pPr>
              <w:spacing w:before="20" w:after="20" w:line="240" w:lineRule="auto"/>
            </w:pPr>
            <w:r>
              <w:rPr>
                <w:sz w:val="18"/>
              </w:rPr>
              <w:t>Rely on an uncommitted facility for a hard constraint; execute a Tier-3 action</w:t>
            </w:r>
          </w:p>
        </w:tc>
      </w:tr>
    </w:tbl>
    <w:p>
      <w:pPr>
        <w:spacing w:after="40"/>
      </w:pPr>
    </w:p>
    <w:p>
      <w:pPr>
        <w:spacing w:before="0" w:after="60" w:line="259" w:lineRule="auto"/>
      </w:pPr>
      <w:r>
        <w:rPr>
          <w:b/>
          <w:sz w:val="20"/>
        </w:rPr>
        <w:t>One buyer request, end to end.</w:t>
      </w:r>
    </w:p>
    <w:p>
      <w:pPr>
        <w:spacing w:before="0"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pPr>
        <w:spacing w:before="0"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pPr>
        <w:spacing w:before="0"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pPr>
        <w:spacing w:before="0"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pPr>
        <w:spacing w:before="0"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pPr>
        <w:spacing w:before="0"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pPr>
        <w:spacing w:before="0" w:after="60" w:line="259" w:lineRule="auto"/>
        <w:ind w:left="720" w:hanging="288"/>
      </w:pPr>
      <w:r>
        <w:rPr>
          <w:sz w:val="20"/>
        </w:rPr>
        <w:t xml:space="preserve">7. </w:t>
      </w:r>
      <w:r>
        <w:rPr>
          <w:b/>
          <w:sz w:val="20"/>
        </w:rPr>
        <w:t>Execute.</w:t>
      </w:r>
      <w:r>
        <w:rPr>
          <w:sz w:val="20"/>
        </w:rPr>
        <w:t xml:space="preserve"> Code, never the model, turns the verdict into typed operations. The executor runs Tier 1, queues Tier 2 for the owner, refuses Tier 3, and appends every outcome of an admitted operation to the hash-chained log. A request refused before it reaches the executor is recorded as a security event instead.</w:t>
      </w:r>
    </w:p>
    <w:p>
      <w:pPr>
        <w:jc w:val="center"/>
      </w:pPr>
      <w:r>
        <w:drawing>
          <wp:inline xmlns:a="http://schemas.openxmlformats.org/drawingml/2006/main" xmlns:pic="http://schemas.openxmlformats.org/drawingml/2006/picture">
            <wp:extent cx="3425654" cy="4389119"/>
            <wp:docPr id="3" name="Picture 3"/>
            <wp:cNvGraphicFramePr>
              <a:graphicFrameLocks noChangeAspect="1"/>
            </wp:cNvGraphicFramePr>
            <a:graphic>
              <a:graphicData uri="http://schemas.openxmlformats.org/drawingml/2006/picture">
                <pic:pic>
                  <pic:nvPicPr>
                    <pic:cNvPr id="0" name="fig2-offer-lifecycle.png"/>
                    <pic:cNvPicPr/>
                  </pic:nvPicPr>
                  <pic:blipFill>
                    <a:blip r:embed="rId12"/>
                    <a:stretch>
                      <a:fillRect/>
                    </a:stretch>
                  </pic:blipFill>
                  <pic:spPr>
                    <a:xfrm>
                      <a:off x="0" y="0"/>
                      <a:ext cx="3425654" cy="4389119"/>
                    </a:xfrm>
                    <a:prstGeom prst="rect"/>
                  </pic:spPr>
                </pic:pic>
              </a:graphicData>
            </a:graphic>
          </wp:inline>
        </w:drawing>
      </w:r>
    </w:p>
    <w:p>
      <w:pPr>
        <w:pStyle w:val="Caption"/>
      </w:pPr>
      <w:r>
        <w:t>Figure 3. One buyer request from message to money. The figure marks which steps run on their own, which wait for the owner, and which are simulated in this build: the buyer's replies, the bank feed, the facilities and the clock.</w:t>
      </w:r>
    </w:p>
    <w:p>
      <w:pPr>
        <w:spacing w:before="0" w:after="60" w:line="259" w:lineRule="auto"/>
      </w:pPr>
      <w:r>
        <w:rPr>
          <w:b/>
          <w:sz w:val="20"/>
        </w:rPr>
        <w:t>How agreement happens, and what is simulated.</w:t>
      </w:r>
      <w:r>
        <w:rPr>
          <w:sz w:val="20"/>
        </w:rPr>
        <w:t xml:space="preserve"> A counter can reach the buyer in two ways. Both pass through the same gates afterwards: nonce, terms hash, re-verification on today's books, and the hash-chained log.</w:t>
      </w:r>
    </w:p>
    <w:p>
      <w:pPr>
        <w:pStyle w:val="ListBullet2"/>
        <w:tabs>
          <w:tab w:pos="792" w:val="left"/>
        </w:tabs>
        <w:spacing w:before="0" w:after="60" w:line="259" w:lineRule="auto"/>
        <w:ind w:left="792" w:hanging="288"/>
      </w:pPr>
      <w:r>
        <w:rPr>
          <w:b/>
          <w:sz w:val="20"/>
        </w:rPr>
        <w:t>Through the simulated buyer.</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pPr>
        <w:pStyle w:val="ListBullet2"/>
        <w:tabs>
          <w:tab w:pos="792" w:val="left"/>
        </w:tabs>
        <w:spacing w:before="0" w:after="60" w:line="259" w:lineRule="auto"/>
        <w:ind w:left="792" w:hanging="288"/>
      </w:pPr>
      <w:r>
        <w:rPr>
          <w:b/>
          <w:sz w:val="20"/>
        </w:rPr>
        <w:t>Outside FLOW.</w:t>
      </w:r>
      <w:r>
        <w:rPr>
          <w:sz w:val="20"/>
        </w:rPr>
        <w:t xml:space="preserve"> The owner sends the counter themselves, for example by WeChat, and marks it as sent. FLOW then waits for the owner to record the buyer's answer, bound to the exact message hash. FLOW transmits nothing itself, and after a counter is marked as sent outside, no other path can answer that request.</w:t>
      </w:r>
    </w:p>
    <w:p>
      <w:pPr>
        <w:spacing w:before="0" w:after="60" w:line="259" w:lineRule="auto"/>
      </w:pPr>
      <w:r>
        <w:rPr>
          <w:b/>
          <w:sz w:val="20"/>
        </w:rPr>
        <w:t>Design decisions that matter.</w:t>
      </w:r>
    </w:p>
    <w:p>
      <w:pPr>
        <w:pStyle w:val="ListBullet2"/>
        <w:tabs>
          <w:tab w:pos="792" w:val="left"/>
        </w:tabs>
        <w:spacing w:before="0" w:after="60" w:line="259" w:lineRule="auto"/>
        <w:ind w:left="792" w:hanging="288"/>
      </w:pPr>
      <w:r>
        <w:rPr>
          <w:b/>
          <w:sz w:val="20"/>
        </w:rPr>
        <w:t>Exact money.</w:t>
      </w:r>
      <w:r>
        <w:rPr>
          <w:sz w:val="20"/>
        </w:rPr>
        <w:t xml:space="preserve"> Money is integer fen and rates are integer basis points, rounded half-up once per posting (ADR-0002).</w:t>
      </w:r>
    </w:p>
    <w:p>
      <w:pPr>
        <w:pStyle w:val="ListBullet2"/>
        <w:tabs>
          <w:tab w:pos="792" w:val="left"/>
        </w:tabs>
        <w:spacing w:before="0"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pPr>
        <w:pStyle w:val="ListBullet2"/>
        <w:tabs>
          <w:tab w:pos="792" w:val="left"/>
        </w:tabs>
        <w:spacing w:before="0" w:after="60" w:line="259" w:lineRule="auto"/>
        <w:ind w:left="792" w:hanging="288"/>
      </w:pPr>
      <w:r>
        <w:rPr>
          <w:b/>
          <w:sz w:val="20"/>
        </w:rPr>
        <w:t>Autonomy needs positive proof</w:t>
      </w:r>
      <w:r>
        <w:rPr>
          <w:sz w:val="20"/>
        </w:rPr>
        <w:t xml:space="preserve"> (ADR-0005).</w:t>
      </w:r>
    </w:p>
    <w:p>
      <w:pPr>
        <w:pStyle w:val="ListBullet2"/>
        <w:tabs>
          <w:tab w:pos="792" w:val="left"/>
        </w:tabs>
        <w:spacing w:before="0"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pPr>
        <w:spacing w:before="0" w:after="60" w:line="259" w:lineRule="auto"/>
      </w:pPr>
      <w:r>
        <w:rPr>
          <w:sz w:val="20"/>
        </w:rPr>
        <w:t>The full component list is Appendix B.</w:t>
      </w:r>
    </w:p>
    <w:p>
      <w:pPr>
        <w:pStyle w:val="ListBullet"/>
        <w:spacing w:after="100"/>
      </w:pPr>
      <w:r>
        <w:t>Models, tools, data sources and external services</w:t>
      </w:r>
    </w:p>
    <w:p>
      <w:pPr>
        <w:spacing w:before="0" w:after="60" w:line="259" w:lineRule="auto"/>
      </w:pPr>
      <w:r>
        <w:rPr>
          <w:b/>
          <w:sz w:val="20"/>
        </w:rPr>
        <w:t>Where the model is used.</w:t>
      </w:r>
      <w:r>
        <w:rPr>
          <w:sz w:val="20"/>
        </w:rPr>
        <w:t xml:space="preserve"> In exactly two places:</w:t>
      </w:r>
    </w:p>
    <w:p>
      <w:pPr>
        <w:pStyle w:val="ListBullet2"/>
        <w:tabs>
          <w:tab w:pos="792" w:val="left"/>
        </w:tabs>
        <w:spacing w:before="0" w:after="60" w:line="259" w:lineRule="auto"/>
        <w:ind w:left="792" w:hanging="288"/>
      </w:pPr>
      <w:r>
        <w:rPr>
          <w:b/>
          <w:sz w:val="20"/>
        </w:rPr>
        <w:t>Compiling</w:t>
      </w:r>
      <w:r>
        <w:rPr>
          <w:sz w:val="20"/>
        </w:rPr>
        <w:t xml:space="preserve"> buyer offers, term sheets and contracts into a strict JSON schema.</w:t>
      </w:r>
    </w:p>
    <w:p>
      <w:pPr>
        <w:pStyle w:val="ListBullet2"/>
        <w:tabs>
          <w:tab w:pos="792" w:val="left"/>
        </w:tabs>
        <w:spacing w:before="0" w:after="60" w:line="259" w:lineRule="auto"/>
        <w:ind w:left="792" w:hanging="288"/>
      </w:pPr>
      <w:r>
        <w:rPr>
          <w:b/>
          <w:sz w:val="20"/>
        </w:rPr>
        <w:t>Optionally classifying</w:t>
      </w:r>
      <w:r>
        <w:rPr>
          <w:sz w:val="20"/>
        </w:rPr>
        <w:t xml:space="preserve"> a chat request into one intent from a closed list, when the deterministic parser finds nothing.</w:t>
      </w:r>
    </w:p>
    <w:p>
      <w:pPr>
        <w:spacing w:before="0" w:after="60" w:line="259" w:lineRule="auto"/>
      </w:pPr>
      <w:r>
        <w:rPr>
          <w:sz w:val="20"/>
        </w:rPr>
        <w:t>The model never decides, prices, negotiates or executes.</w:t>
      </w:r>
    </w:p>
    <w:p>
      <w:pPr>
        <w:spacing w:before="0" w:after="60" w:line="259" w:lineRule="auto"/>
      </w:pPr>
      <w:r>
        <w:rPr>
          <w:b/>
          <w:sz w:val="20"/>
        </w:rPr>
        <w:t>Table 4. Model backends.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31"/>
            <w:shd w:val="clear" w:color="auto" w:fill="E8EEFB"/>
          </w:tcPr>
          <w:p>
            <w:pPr>
              <w:keepNext/>
              <w:spacing w:before="20" w:after="20" w:line="240" w:lineRule="auto"/>
            </w:pPr>
            <w:r>
              <w:rPr>
                <w:b/>
                <w:sz w:val="18"/>
              </w:rPr>
              <w:t>Backend</w:t>
            </w:r>
          </w:p>
        </w:tc>
        <w:tc>
          <w:tcPr>
            <w:tcW w:type="dxa" w:w="4042"/>
            <w:shd w:val="clear" w:color="auto" w:fill="E8EEFB"/>
          </w:tcPr>
          <w:p>
            <w:pPr>
              <w:keepNext/>
              <w:spacing w:before="20" w:after="20" w:line="240" w:lineRule="auto"/>
            </w:pPr>
            <w:r>
              <w:rPr>
                <w:b/>
                <w:sz w:val="18"/>
              </w:rPr>
              <w:t>Model</w:t>
            </w:r>
          </w:p>
        </w:tc>
        <w:tc>
          <w:tcPr>
            <w:tcW w:type="dxa" w:w="3587"/>
            <w:shd w:val="clear" w:color="auto" w:fill="E8EEFB"/>
          </w:tcPr>
          <w:p>
            <w:pPr>
              <w:keepNext/>
              <w:spacing w:before="20" w:after="20" w:line="240" w:lineRule="auto"/>
            </w:pPr>
            <w:r>
              <w:rPr>
                <w:b/>
                <w:sz w:val="18"/>
              </w:rPr>
              <w:t>Used for</w:t>
            </w:r>
          </w:p>
        </w:tc>
      </w:tr>
      <w:tr>
        <w:trPr>
          <w:cantSplit w:val="true"/>
        </w:trPr>
        <w:tc>
          <w:tcPr>
            <w:tcW w:type="dxa" w:w="1731"/>
          </w:tcPr>
          <w:p>
            <w:pPr>
              <w:spacing w:before="20" w:after="20" w:line="240" w:lineRule="auto"/>
            </w:pPr>
            <w:r>
              <w:rPr>
                <w:sz w:val="18"/>
              </w:rPr>
              <w:t>Cache (default)</w:t>
            </w:r>
          </w:p>
        </w:tc>
        <w:tc>
          <w:tcPr>
            <w:tcW w:type="dxa" w:w="4042"/>
          </w:tcPr>
          <w:p>
            <w:pPr>
              <w:spacing w:before="20" w:after="20" w:line="240" w:lineRule="auto"/>
            </w:pPr>
            <w:r>
              <w:rPr>
                <w:sz w:val="18"/>
              </w:rPr>
              <w:t>Recorded outputs keyed by a hash of the documents and the prompt version</w:t>
            </w:r>
          </w:p>
        </w:tc>
        <w:tc>
          <w:tcPr>
            <w:tcW w:type="dxa" w:w="3587"/>
          </w:tcPr>
          <w:p>
            <w:pPr>
              <w:spacing w:before="20" w:after="20" w:line="240" w:lineRule="auto"/>
            </w:pPr>
            <w:r>
              <w:rPr>
                <w:sz w:val="18"/>
              </w:rPr>
              <w:t>Tests, the demo, the scenario runner and the offline evaluation. No network. A message not in the cache goes to the rules grammar</w:t>
            </w:r>
          </w:p>
        </w:tc>
      </w:tr>
      <w:tr>
        <w:trPr>
          <w:cantSplit w:val="true"/>
        </w:trPr>
        <w:tc>
          <w:tcPr>
            <w:tcW w:type="dxa" w:w="1731"/>
          </w:tcPr>
          <w:p>
            <w:pPr>
              <w:spacing w:before="20" w:after="20" w:line="240" w:lineRule="auto"/>
            </w:pPr>
            <w:r>
              <w:rPr>
                <w:sz w:val="18"/>
              </w:rPr>
              <w:t>DeepSeek (live, opt-in)</w:t>
            </w:r>
          </w:p>
        </w:tc>
        <w:tc>
          <w:tcPr>
            <w:tcW w:type="dxa" w:w="4042"/>
          </w:tcPr>
          <w:p>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type="dxa" w:w="3587"/>
          </w:tcPr>
          <w:p>
            <w:pPr>
              <w:spacing w:before="20" w:after="20" w:line="240" w:lineRule="auto"/>
            </w:pPr>
            <w:r>
              <w:rPr>
                <w:sz w:val="18"/>
              </w:rPr>
              <w:t>A backend reachable from mainland China. Used for the live accuracy runs in section 03</w:t>
            </w:r>
          </w:p>
        </w:tc>
      </w:tr>
      <w:tr>
        <w:trPr>
          <w:cantSplit w:val="true"/>
        </w:trPr>
        <w:tc>
          <w:tcPr>
            <w:tcW w:type="dxa" w:w="1731"/>
          </w:tcPr>
          <w:p>
            <w:pPr>
              <w:spacing w:before="20" w:after="20" w:line="240" w:lineRule="auto"/>
            </w:pPr>
            <w:r>
              <w:rPr>
                <w:sz w:val="18"/>
              </w:rPr>
              <w:t>Claude (live, opt-in)</w:t>
            </w:r>
          </w:p>
        </w:tc>
        <w:tc>
          <w:tcPr>
            <w:tcW w:type="dxa" w:w="4042"/>
          </w:tcPr>
          <w:p>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type="dxa" w:w="3587"/>
          </w:tcPr>
          <w:p>
            <w:pPr>
              <w:spacing w:before="20" w:after="20" w:line="240" w:lineRule="auto"/>
            </w:pPr>
            <w:r>
              <w:rPr>
                <w:sz w:val="18"/>
              </w:rPr>
              <w:t>Alternative live backend</w:t>
            </w:r>
          </w:p>
        </w:tc>
      </w:tr>
      <w:tr>
        <w:trPr>
          <w:cantSplit w:val="true"/>
        </w:trPr>
        <w:tc>
          <w:tcPr>
            <w:tcW w:type="dxa" w:w="1731"/>
          </w:tcPr>
          <w:p>
            <w:pPr>
              <w:spacing w:before="20" w:after="20" w:line="240" w:lineRule="auto"/>
            </w:pPr>
            <w:r>
              <w:rPr>
                <w:sz w:val="18"/>
              </w:rPr>
              <w:t>Rules grammar</w:t>
            </w:r>
          </w:p>
        </w:tc>
        <w:tc>
          <w:tcPr>
            <w:tcW w:type="dxa" w:w="4042"/>
          </w:tcPr>
          <w:p>
            <w:pPr>
              <w:spacing w:before="20" w:after="20" w:line="240" w:lineRule="auto"/>
            </w:pPr>
            <w:r>
              <w:rPr>
                <w:sz w:val="18"/>
              </w:rPr>
              <w:t>Deterministic regular expressions and lexicon, Chinese and English</w:t>
            </w:r>
          </w:p>
        </w:tc>
        <w:tc>
          <w:tcPr>
            <w:tcW w:type="dxa" w:w="3587"/>
          </w:tcPr>
          <w:p>
            <w:pPr>
              <w:spacing w:before="20" w:after="20" w:line="240" w:lineRule="auto"/>
            </w:pPr>
            <w:r>
              <w:rPr>
                <w:sz w:val="18"/>
              </w:rPr>
              <w:t>Always available. The fallback when a backend fails, times out or returns invalid JSON</w:t>
            </w:r>
          </w:p>
        </w:tc>
      </w:tr>
    </w:tbl>
    <w:p>
      <w:pPr>
        <w:spacing w:after="40"/>
      </w:pPr>
    </w:p>
    <w:p>
      <w:pPr>
        <w:spacing w:before="0" w:after="60" w:line="259" w:lineRule="auto"/>
      </w:pPr>
      <w:r>
        <w:rPr>
          <w:b/>
          <w:sz w:val="20"/>
        </w:rPr>
        <w:t>What the model sees.</w:t>
      </w:r>
    </w:p>
    <w:p>
      <w:pPr>
        <w:pStyle w:val="ListBullet2"/>
        <w:tabs>
          <w:tab w:pos="792" w:val="left"/>
        </w:tabs>
        <w:spacing w:before="0" w:after="60" w:line="259" w:lineRule="auto"/>
        <w:ind w:left="792" w:hanging="288"/>
      </w:pPr>
      <w:r>
        <w:rPr>
          <w:b/>
          <w:sz w:val="20"/>
        </w:rPr>
        <w:t>The document and the output schema, and nothing else.</w:t>
      </w:r>
      <w:r>
        <w:rPr>
          <w:sz w:val="20"/>
        </w:rPr>
        <w:t xml:space="preserve"> The mandate, facility limits, buyers' limits and other buyers' terms are never attached to a model request, and a test on the compiler's imports keeps it that way. A person can still paste such figures into a message.</w:t>
      </w:r>
    </w:p>
    <w:p>
      <w:pPr>
        <w:pStyle w:val="ListBullet2"/>
        <w:tabs>
          <w:tab w:pos="792" w:val="left"/>
        </w:tabs>
        <w:spacing w:before="0" w:after="60" w:line="259" w:lineRule="auto"/>
        <w:ind w:left="792" w:hanging="288"/>
      </w:pPr>
      <w:r>
        <w:rPr>
          <w:b/>
          <w:sz w:val="20"/>
        </w:rPr>
        <w:t>Identifying data is redacted first, by every provider backend (PRIV-1 to 3).</w:t>
      </w:r>
      <w:r>
        <w:rPr>
          <w:sz w:val="20"/>
        </w:rPr>
        <w:t xml:space="preserve"> Bank and card numbers, phone numbers, email addresses, unified social credit codes, ID and passport numbers, and labelled street addresses are replaced with stable placeholders before the text leaves the process. Amounts, dates, rates, party names and clauses are kept, because FLOW reads them.</w:t>
      </w:r>
    </w:p>
    <w:p>
      <w:pPr>
        <w:pStyle w:val="ListBullet2"/>
        <w:tabs>
          <w:tab w:pos="792" w:val="left"/>
        </w:tabs>
        <w:spacing w:before="0" w:after="60" w:line="259" w:lineRule="auto"/>
        <w:ind w:left="792" w:hanging="288"/>
      </w:pPr>
      <w:r>
        <w:rPr>
          <w:b/>
          <w:sz w:val="20"/>
        </w:rPr>
        <w:t>Quotes are mapped back to the original</w:t>
      </w:r>
      <w:r>
        <w:rPr>
          <w:sz w:val="20"/>
        </w:rPr>
        <w:t xml:space="preserve"> before grounding, so every term still points at the real words.</w:t>
      </w:r>
    </w:p>
    <w:p>
      <w:pPr>
        <w:pStyle w:val="ListBullet2"/>
        <w:tabs>
          <w:tab w:pos="792" w:val="left"/>
        </w:tabs>
        <w:spacing w:before="0" w:after="60" w:line="259" w:lineRule="auto"/>
        <w:ind w:left="792" w:hanging="288"/>
      </w:pPr>
      <w:r>
        <w:rPr>
          <w:b/>
          <w:sz w:val="20"/>
        </w:rPr>
        <w:t>Logging.</w:t>
      </w:r>
      <w:r>
        <w:rPr>
          <w:sz w:val="20"/>
        </w:rPr>
        <w:t xml:space="preserve"> Only a document hash and timings are logged per call, never the text.</w:t>
      </w:r>
    </w:p>
    <w:p>
      <w:pPr>
        <w:spacing w:before="0" w:after="60" w:line="259" w:lineRule="auto"/>
      </w:pPr>
      <w:r>
        <w:rPr>
          <w:b/>
          <w:sz w:val="20"/>
        </w:rPr>
        <w:t>Why a model at all.</w:t>
      </w:r>
      <w:r>
        <w:rPr>
          <w:sz w:val="20"/>
        </w:rPr>
        <w:t xml:space="preserve"> The rules grammar is precise but narrow. On our held-out set of Chinese contracts, it found the party names in </w:t>
      </w:r>
      <w:r>
        <w:rPr>
          <w:b/>
          <w:sz w:val="20"/>
        </w:rPr>
        <w:t>0 of 17</w:t>
      </w:r>
      <w:r>
        <w:rPr>
          <w:sz w:val="20"/>
        </w:rPr>
        <w:t xml:space="preserve"> text-layer contracts. DeepSeek found them in </w:t>
      </w:r>
      <w:r>
        <w:rPr>
          <w:b/>
          <w:sz w:val="20"/>
        </w:rPr>
        <w:t>14 of 17</w:t>
      </w:r>
      <w:r>
        <w:rPr>
          <w:sz w:val="20"/>
        </w:rPr>
        <w:t>, and the other 3 had the right names with buyer and seller swapped. For example, the rules returned nothing for "甲方（承包人）：中山市华岳城建集团有限公司", while the model read both parties correctly. Both paths feed the same grounding and the same verifier: a term whose quote is not found word for word in the document is dropped, whichever backend proposed it.</w:t>
      </w:r>
    </w:p>
    <w:p>
      <w:pPr>
        <w:spacing w:before="0" w:after="60" w:line="259" w:lineRule="auto"/>
      </w:pPr>
      <w:r>
        <w:rPr>
          <w:b/>
          <w:sz w:val="20"/>
        </w:rPr>
        <w:t>Three ways to run FLOW. They are never mixed in our results.</w:t>
      </w:r>
    </w:p>
    <w:p>
      <w:pPr>
        <w:spacing w:before="0" w:after="60" w:line="259" w:lineRule="auto"/>
        <w:ind w:left="720" w:hanging="288"/>
      </w:pPr>
      <w:r>
        <w:rPr>
          <w:sz w:val="20"/>
        </w:rPr>
        <w:t xml:space="preserve">1. </w:t>
      </w:r>
      <w:r>
        <w:rPr>
          <w:b/>
          <w:sz w:val="20"/>
        </w:rPr>
        <w:t>Web on recorded mocks.</w:t>
      </w:r>
      <w:r>
        <w:rPr>
          <w:sz w:val="20"/>
        </w:rPr>
        <w:t xml:space="preserve"> The web app alone, no API. Useful for the interface only.</w:t>
      </w:r>
    </w:p>
    <w:p>
      <w:pPr>
        <w:spacing w:before="0" w:after="60" w:line="259" w:lineRule="auto"/>
        <w:ind w:left="720" w:hanging="288"/>
      </w:pPr>
      <w:r>
        <w:rPr>
          <w:sz w:val="20"/>
        </w:rPr>
        <w:t xml:space="preserve">2. </w:t>
      </w:r>
      <w:r>
        <w:rPr>
          <w:b/>
          <w:sz w:val="20"/>
        </w:rPr>
        <w:t>Real engine, recorded readings.</w:t>
      </w:r>
      <w:r>
        <w:rPr>
          <w:sz w:val="20"/>
        </w:rPr>
        <w:t xml:space="preserve"> The full API with the model's past readings replayed from the cache. This is the demo, the tests and every evaluation figure unless stated otherwise.</w:t>
      </w:r>
    </w:p>
    <w:p>
      <w:pPr>
        <w:spacing w:before="0" w:after="60" w:line="259" w:lineRule="auto"/>
        <w:ind w:left="720" w:hanging="288"/>
      </w:pPr>
      <w:r>
        <w:rPr>
          <w:sz w:val="20"/>
        </w:rPr>
        <w:t xml:space="preserve">3. </w:t>
      </w:r>
      <w:r>
        <w:rPr>
          <w:b/>
          <w:sz w:val="20"/>
        </w:rPr>
        <w:t>Real engine, live model.</w:t>
      </w:r>
      <w:r>
        <w:rPr>
          <w:sz w:val="20"/>
        </w:rPr>
        <w:t xml:space="preserve"> The full API calling DeepSeek or Claude. Opt-in, and needs a key.</w:t>
      </w:r>
    </w:p>
    <w:p>
      <w:pPr>
        <w:spacing w:before="0" w:after="60" w:line="259" w:lineRule="auto"/>
      </w:pPr>
      <w:r>
        <w:rPr>
          <w:b/>
          <w:sz w:val="20"/>
        </w:rPr>
        <w:t>The agent's tools.</w:t>
      </w:r>
      <w:r>
        <w:rPr>
          <w:sz w:val="20"/>
        </w:rPr>
        <w:t xml:space="preserve"> Every tool is an HTTP route with a strict schema that rejects unknown fields. They cover:</w:t>
      </w:r>
    </w:p>
    <w:p>
      <w:pPr>
        <w:pStyle w:val="ListBullet2"/>
        <w:tabs>
          <w:tab w:pos="792" w:val="left"/>
        </w:tabs>
        <w:spacing w:before="0"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pPr>
        <w:pStyle w:val="ListBullet2"/>
        <w:tabs>
          <w:tab w:pos="792" w:val="left"/>
        </w:tabs>
        <w:spacing w:before="0" w:after="60" w:line="259" w:lineRule="auto"/>
        <w:ind w:left="792" w:hanging="288"/>
      </w:pPr>
      <w:r>
        <w:rPr>
          <w:sz w:val="20"/>
        </w:rPr>
        <w:t>offer intake, evaluation and negotiation;</w:t>
      </w:r>
    </w:p>
    <w:p>
      <w:pPr>
        <w:pStyle w:val="ListBullet2"/>
        <w:tabs>
          <w:tab w:pos="792" w:val="left"/>
        </w:tabs>
        <w:spacing w:before="0" w:after="60" w:line="259" w:lineRule="auto"/>
        <w:ind w:left="792" w:hanging="288"/>
      </w:pPr>
      <w:r>
        <w:rPr>
          <w:sz w:val="20"/>
        </w:rPr>
        <w:t>the funding router, capex and the borrower file;</w:t>
      </w:r>
    </w:p>
    <w:p>
      <w:pPr>
        <w:pStyle w:val="ListBullet2"/>
        <w:tabs>
          <w:tab w:pos="792" w:val="left"/>
        </w:tabs>
        <w:spacing w:before="0" w:after="60" w:line="259" w:lineRule="auto"/>
        <w:ind w:left="792" w:hanging="288"/>
      </w:pPr>
      <w:r>
        <w:rPr>
          <w:sz w:val="20"/>
        </w:rPr>
        <w:t>execution and approvals;</w:t>
      </w:r>
    </w:p>
    <w:p>
      <w:pPr>
        <w:pStyle w:val="ListBullet2"/>
        <w:tabs>
          <w:tab w:pos="792" w:val="left"/>
        </w:tabs>
        <w:spacing w:before="0" w:after="60" w:line="259" w:lineRule="auto"/>
        <w:ind w:left="792" w:hanging="288"/>
      </w:pPr>
      <w:r>
        <w:rPr>
          <w:sz w:val="20"/>
        </w:rPr>
        <w:t>the clock, alerts and reconciliation;</w:t>
      </w:r>
    </w:p>
    <w:p>
      <w:pPr>
        <w:pStyle w:val="ListBullet2"/>
        <w:tabs>
          <w:tab w:pos="792" w:val="left"/>
        </w:tabs>
        <w:spacing w:before="0" w:after="60" w:line="259" w:lineRule="auto"/>
        <w:ind w:left="792" w:hanging="288"/>
      </w:pPr>
      <w:r>
        <w:rPr>
          <w:sz w:val="20"/>
        </w:rPr>
        <w:t>contracts and deals;</w:t>
      </w:r>
    </w:p>
    <w:p>
      <w:pPr>
        <w:pStyle w:val="ListBullet2"/>
        <w:tabs>
          <w:tab w:pos="792" w:val="left"/>
        </w:tabs>
        <w:spacing w:before="0" w:after="60" w:line="259" w:lineRule="auto"/>
        <w:ind w:left="792" w:hanging="288"/>
      </w:pPr>
      <w:r>
        <w:rPr>
          <w:sz w:val="20"/>
        </w:rPr>
        <w:t>read views.</w:t>
      </w:r>
    </w:p>
    <w:p>
      <w:pPr>
        <w:spacing w:before="0" w:after="60" w:line="259" w:lineRule="auto"/>
      </w:pPr>
      <w:r>
        <w:rPr>
          <w:sz w:val="20"/>
        </w:rPr>
        <w:t>Appendix C lists them. Operations are typed:</w:t>
      </w:r>
    </w:p>
    <w:p>
      <w:pPr>
        <w:pStyle w:val="ListBullet2"/>
        <w:tabs>
          <w:tab w:pos="792" w:val="left"/>
        </w:tabs>
        <w:spacing w:before="0" w:after="60" w:line="259" w:lineRule="auto"/>
        <w:ind w:left="792" w:hanging="288"/>
      </w:pPr>
      <w:r>
        <w:rPr>
          <w:i/>
          <w:sz w:val="20"/>
        </w:rPr>
        <w:t>offer:</w:t>
      </w:r>
      <w:r>
        <w:rPr>
          <w:sz w:val="20"/>
        </w:rPr>
        <w:t xml:space="preserve"> accept, counter, reject, record a commitment;</w:t>
      </w:r>
    </w:p>
    <w:p>
      <w:pPr>
        <w:pStyle w:val="ListBullet2"/>
        <w:tabs>
          <w:tab w:pos="792" w:val="left"/>
        </w:tabs>
        <w:spacing w:before="0" w:after="60" w:line="259" w:lineRule="auto"/>
        <w:ind w:left="792" w:hanging="288"/>
      </w:pPr>
      <w:r>
        <w:rPr>
          <w:i/>
          <w:sz w:val="20"/>
        </w:rPr>
        <w:t>funding:</w:t>
      </w:r>
      <w:r>
        <w:rPr>
          <w:sz w:val="20"/>
        </w:rPr>
        <w:t xml:space="preserve"> draw, repay, finance an invoice, record a receipt;</w:t>
      </w:r>
    </w:p>
    <w:p>
      <w:pPr>
        <w:pStyle w:val="ListBullet2"/>
        <w:tabs>
          <w:tab w:pos="792" w:val="left"/>
        </w:tabs>
        <w:spacing w:before="0" w:after="60" w:line="259" w:lineRule="auto"/>
        <w:ind w:left="792" w:hanging="288"/>
      </w:pPr>
      <w:r>
        <w:rPr>
          <w:i/>
          <w:sz w:val="20"/>
        </w:rPr>
        <w:t>owner:</w:t>
      </w:r>
      <w:r>
        <w:rPr>
          <w:sz w:val="20"/>
        </w:rPr>
        <w:t xml:space="preserve"> apply for or add a facility, commit a purchase, confirm or reject a document;</w:t>
      </w:r>
    </w:p>
    <w:p>
      <w:pPr>
        <w:pStyle w:val="ListBullet2"/>
        <w:tabs>
          <w:tab w:pos="792" w:val="left"/>
        </w:tabs>
        <w:spacing w:before="0" w:after="60" w:line="259" w:lineRule="auto"/>
        <w:ind w:left="792" w:hanging="288"/>
      </w:pPr>
      <w:r>
        <w:rPr>
          <w:i/>
          <w:sz w:val="20"/>
        </w:rPr>
        <w:t>Tier 3, always refused:</w:t>
      </w:r>
      <w:r>
        <w:rPr>
          <w:sz w:val="20"/>
        </w:rPr>
        <w:t xml:space="preserve"> sign a personal guarantee, pledge collateral, issue equity, change the mandate.</w:t>
      </w:r>
    </w:p>
    <w:p>
      <w:pPr>
        <w:spacing w:before="0" w:after="60" w:line="259" w:lineRule="auto"/>
      </w:pPr>
      <w:r>
        <w:rPr>
          <w:sz w:val="20"/>
        </w:rPr>
        <w:t>No operation has a payee or account field, so FLOW cannot send money to a third party.</w:t>
      </w:r>
    </w:p>
    <w:p>
      <w:pPr>
        <w:spacing w:before="0" w:after="60" w:line="259" w:lineRule="auto"/>
      </w:pPr>
      <w:r>
        <w:rPr>
          <w:b/>
          <w:sz w:val="20"/>
        </w:rPr>
        <w:t>Data (all synthetic).</w:t>
      </w:r>
    </w:p>
    <w:p>
      <w:pPr>
        <w:pStyle w:val="ListBullet2"/>
        <w:tabs>
          <w:tab w:pos="792" w:val="left"/>
        </w:tabs>
        <w:spacing w:before="0" w:after="60" w:line="259" w:lineRule="auto"/>
        <w:ind w:left="792" w:hanging="288"/>
      </w:pPr>
      <w:r>
        <w:rPr>
          <w:b/>
          <w:sz w:val="20"/>
        </w:rPr>
        <w:t>The demo company ("golden books").</w:t>
      </w:r>
    </w:p>
    <w:p>
      <w:pPr>
        <w:pStyle w:val="ListBullet3"/>
        <w:tabs>
          <w:tab w:pos="1152" w:val="left"/>
        </w:tabs>
        <w:spacing w:before="0" w:after="60" w:line="259" w:lineRule="auto"/>
        <w:ind w:left="1152" w:hanging="288"/>
      </w:pPr>
      <w:r>
        <w:rPr>
          <w:sz w:val="20"/>
        </w:rPr>
        <w:t>Cash ¥400,000, payroll ¥340,000 on day 12 and a supplier payment of ¥120,000 on day 20.</w:t>
      </w:r>
    </w:p>
    <w:p>
      <w:pPr>
        <w:pStyle w:val="ListBullet3"/>
        <w:tabs>
          <w:tab w:pos="1152" w:val="left"/>
        </w:tabs>
        <w:spacing w:before="0" w:after="60" w:line="259" w:lineRule="auto"/>
        <w:ind w:left="1152" w:hanging="288"/>
      </w:pPr>
      <w:r>
        <w:rPr>
          <w:sz w:val="20"/>
        </w:rPr>
        <w:t>An existing loan payment of ¥45,000 every 30 days, and Receivable A of ¥420,000 due on day 32.</w:t>
      </w:r>
    </w:p>
    <w:p>
      <w:pPr>
        <w:pStyle w:val="ListBullet3"/>
        <w:tabs>
          <w:tab w:pos="1152" w:val="left"/>
        </w:tabs>
        <w:spacing w:before="0" w:after="60" w:line="259" w:lineRule="auto"/>
        <w:ind w:left="1152" w:hanging="288"/>
      </w:pPr>
      <w:r>
        <w:rPr>
          <w:sz w:val="20"/>
        </w:rPr>
        <w:t>An owner-signed mandate with a ¥300,000 cash reserve and a ¥5,000 cap on future concessions. DSCR must be at least 1.25×, leverage at most 2.5×, and APR at most 15%.</w:t>
      </w:r>
    </w:p>
    <w:p>
      <w:pPr>
        <w:pStyle w:val="ListBullet2"/>
        <w:tabs>
          <w:tab w:pos="792" w:val="left"/>
        </w:tabs>
        <w:spacing w:before="0" w:after="60" w:line="259" w:lineRule="auto"/>
        <w:ind w:left="792" w:hanging="288"/>
      </w:pPr>
      <w:r>
        <w:rPr>
          <w:b/>
          <w:sz w:val="20"/>
        </w:rPr>
        <w:t>Fixtures.</w:t>
      </w:r>
    </w:p>
    <w:p>
      <w:pPr>
        <w:pStyle w:val="ListBullet3"/>
        <w:tabs>
          <w:tab w:pos="1152" w:val="left"/>
        </w:tabs>
        <w:spacing w:before="0" w:after="60" w:line="259" w:lineRule="auto"/>
        <w:ind w:left="1152" w:hanging="288"/>
      </w:pPr>
      <w:r>
        <w:rPr>
          <w:sz w:val="20"/>
        </w:rPr>
        <w:t>12 worked offers and three held-out sets of buyer messages.</w:t>
      </w:r>
    </w:p>
    <w:p>
      <w:pPr>
        <w:pStyle w:val="ListBullet3"/>
        <w:tabs>
          <w:tab w:pos="1152" w:val="left"/>
        </w:tabs>
        <w:spacing w:before="0" w:after="60" w:line="259" w:lineRule="auto"/>
        <w:ind w:left="1152" w:hanging="288"/>
      </w:pPr>
      <w:r>
        <w:rPr>
          <w:sz w:val="20"/>
        </w:rPr>
        <w:t>Three demo contracts in Markdown, Word and PDF.</w:t>
      </w:r>
    </w:p>
    <w:p>
      <w:pPr>
        <w:pStyle w:val="ListBullet3"/>
        <w:tabs>
          <w:tab w:pos="1152" w:val="left"/>
        </w:tabs>
        <w:spacing w:before="0" w:after="60" w:line="259" w:lineRule="auto"/>
        <w:ind w:left="1152" w:hanging="288"/>
      </w:pPr>
      <w:r>
        <w:rPr>
          <w:sz w:val="20"/>
        </w:rPr>
        <w:t>70 synthetic Chinese contracts in four formats for the contract-reading evaluation, kept outside the repository.</w:t>
      </w:r>
    </w:p>
    <w:p>
      <w:pPr>
        <w:pStyle w:val="ListBullet3"/>
        <w:tabs>
          <w:tab w:pos="1152" w:val="left"/>
        </w:tabs>
        <w:spacing w:before="0" w:after="60" w:line="259" w:lineRule="auto"/>
        <w:ind w:left="1152" w:hanging="288"/>
      </w:pPr>
      <w:r>
        <w:rPr>
          <w:sz w:val="20"/>
        </w:rPr>
        <w:t>Alternative books: busy, short of facilities, blank, and a set calibrated from a public filing.</w:t>
      </w:r>
    </w:p>
    <w:p>
      <w:pPr>
        <w:pStyle w:val="ListBullet2"/>
        <w:tabs>
          <w:tab w:pos="792" w:val="left"/>
        </w:tabs>
        <w:spacing w:before="0" w:after="60" w:line="259" w:lineRule="auto"/>
        <w:ind w:left="792" w:hanging="288"/>
      </w:pPr>
      <w:r>
        <w:rPr>
          <w:b/>
          <w:sz w:val="20"/>
        </w:rPr>
        <w:t>Test suites.</w:t>
      </w:r>
      <w:r>
        <w:rPr>
          <w:sz w:val="20"/>
        </w:rPr>
        <w:t xml:space="preserve"> The 260-case attack catalogue and the 49 scripted agent tasks.</w:t>
      </w:r>
    </w:p>
    <w:p>
      <w:pPr>
        <w:spacing w:before="0" w:after="60" w:line="259" w:lineRule="auto"/>
      </w:pPr>
      <w:r>
        <w:rPr>
          <w:b/>
          <w:sz w:val="20"/>
        </w:rPr>
        <w:t>Table 5. The demo company's funding options (synthetic; only the owner can add to them).</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4437"/>
            <w:shd w:val="clear" w:color="auto" w:fill="E8EEFB"/>
          </w:tcPr>
          <w:p>
            <w:pPr>
              <w:keepNext/>
              <w:spacing w:before="20" w:after="20" w:line="240" w:lineRule="auto"/>
            </w:pPr>
            <w:r>
              <w:rPr>
                <w:b/>
                <w:sz w:val="18"/>
              </w:rPr>
              <w:t>Facility</w:t>
            </w:r>
          </w:p>
        </w:tc>
        <w:tc>
          <w:tcPr>
            <w:tcW w:type="dxa" w:w="2233"/>
            <w:shd w:val="clear" w:color="auto" w:fill="E8EEFB"/>
          </w:tcPr>
          <w:p>
            <w:pPr>
              <w:keepNext/>
              <w:spacing w:before="20" w:after="20" w:line="240" w:lineRule="auto"/>
            </w:pPr>
            <w:r>
              <w:rPr>
                <w:b/>
                <w:sz w:val="18"/>
              </w:rPr>
              <w:t>Status</w:t>
            </w:r>
          </w:p>
        </w:tc>
        <w:tc>
          <w:tcPr>
            <w:tcW w:type="dxa" w:w="1400"/>
            <w:shd w:val="clear" w:color="auto" w:fill="E8EEFB"/>
          </w:tcPr>
          <w:p>
            <w:pPr>
              <w:keepNext/>
              <w:spacing w:before="20" w:after="20" w:line="240" w:lineRule="auto"/>
            </w:pPr>
            <w:r>
              <w:rPr>
                <w:b/>
                <w:sz w:val="18"/>
              </w:rPr>
              <w:t>Price</w:t>
            </w:r>
          </w:p>
        </w:tc>
        <w:tc>
          <w:tcPr>
            <w:tcW w:type="dxa" w:w="1290"/>
            <w:shd w:val="clear" w:color="auto" w:fill="E8EEFB"/>
          </w:tcPr>
          <w:p>
            <w:pPr>
              <w:keepNext/>
              <w:spacing w:before="20" w:after="20" w:line="240" w:lineRule="auto"/>
            </w:pPr>
            <w:r>
              <w:rPr>
                <w:b/>
                <w:sz w:val="18"/>
              </w:rPr>
              <w:t>Time to cash</w:t>
            </w:r>
          </w:p>
        </w:tc>
      </w:tr>
      <w:tr>
        <w:trPr>
          <w:cantSplit w:val="true"/>
        </w:trPr>
        <w:tc>
          <w:tcPr>
            <w:tcW w:type="dxa" w:w="4437"/>
          </w:tcPr>
          <w:p>
            <w:pPr>
              <w:spacing w:before="20" w:after="20" w:line="240" w:lineRule="auto"/>
            </w:pPr>
            <w:r>
              <w:rPr>
                <w:sz w:val="18"/>
              </w:rPr>
              <w:t>Bank credit line, ¥150,000 limit, 30-day clean-down</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6.4% simple</w:t>
            </w:r>
          </w:p>
        </w:tc>
        <w:tc>
          <w:tcPr>
            <w:tcW w:type="dxa" w:w="1290"/>
          </w:tcPr>
          <w:p>
            <w:pPr>
              <w:spacing w:before="20" w:after="20" w:line="240" w:lineRule="auto"/>
            </w:pPr>
            <w:r>
              <w:rPr>
                <w:sz w:val="18"/>
              </w:rPr>
              <w:t>same day</w:t>
            </w:r>
          </w:p>
        </w:tc>
      </w:tr>
      <w:tr>
        <w:trPr>
          <w:cantSplit w:val="true"/>
        </w:trPr>
        <w:tc>
          <w:tcPr>
            <w:tcW w:type="dxa" w:w="4437"/>
          </w:tcPr>
          <w:p>
            <w:pPr>
              <w:spacing w:before="20" w:after="20" w:line="240" w:lineRule="auto"/>
            </w:pPr>
            <w:r>
              <w:rPr>
                <w:sz w:val="18"/>
              </w:rPr>
              <w:t>Invoice financing, ¥350,000 limit</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7.8% + 0.25% per 30 days (10.84% all-in)</w:t>
            </w:r>
          </w:p>
        </w:tc>
        <w:tc>
          <w:tcPr>
            <w:tcW w:type="dxa" w:w="1290"/>
          </w:tcPr>
          <w:p>
            <w:pPr>
              <w:spacing w:before="20" w:after="20" w:line="240" w:lineRule="auto"/>
            </w:pPr>
            <w:r>
              <w:rPr>
                <w:sz w:val="18"/>
              </w:rPr>
              <w:t>3 days</w:t>
            </w:r>
          </w:p>
        </w:tc>
      </w:tr>
      <w:tr>
        <w:trPr>
          <w:cantSplit w:val="true"/>
        </w:trPr>
        <w:tc>
          <w:tcPr>
            <w:tcW w:type="dxa" w:w="4437"/>
          </w:tcPr>
          <w:p>
            <w:pPr>
              <w:spacing w:before="20" w:after="20" w:line="240" w:lineRule="auto"/>
            </w:pPr>
            <w:r>
              <w:rPr>
                <w:sz w:val="18"/>
              </w:rPr>
              <w:t>Buyer early-payment offer</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1.2% discount</w:t>
            </w:r>
          </w:p>
        </w:tc>
        <w:tc>
          <w:tcPr>
            <w:tcW w:type="dxa" w:w="1290"/>
          </w:tcPr>
          <w:p>
            <w:pPr>
              <w:spacing w:before="20" w:after="20" w:line="240" w:lineRule="auto"/>
            </w:pPr>
            <w:r>
              <w:rPr>
                <w:sz w:val="18"/>
              </w:rPr>
              <w:t>2 days</w:t>
            </w:r>
          </w:p>
        </w:tc>
      </w:tr>
      <w:tr>
        <w:trPr>
          <w:cantSplit w:val="true"/>
        </w:trPr>
        <w:tc>
          <w:tcPr>
            <w:tcW w:type="dxa" w:w="4437"/>
          </w:tcPr>
          <w:p>
            <w:pPr>
              <w:spacing w:before="20" w:after="20" w:line="240" w:lineRule="auto"/>
            </w:pPr>
            <w:r>
              <w:rPr>
                <w:sz w:val="18"/>
              </w:rPr>
              <w:t>Bank acceptance-bill discounting</w:t>
            </w:r>
          </w:p>
        </w:tc>
        <w:tc>
          <w:tcPr>
            <w:tcW w:type="dxa" w:w="2233"/>
          </w:tcPr>
          <w:p>
            <w:pPr>
              <w:spacing w:before="20" w:after="20" w:line="240" w:lineRule="auto"/>
            </w:pPr>
            <w:r>
              <w:rPr>
                <w:sz w:val="18"/>
              </w:rPr>
              <w:t>Committed (no bill held at the start)</w:t>
            </w:r>
          </w:p>
        </w:tc>
        <w:tc>
          <w:tcPr>
            <w:tcW w:type="dxa" w:w="1400"/>
          </w:tcPr>
          <w:p>
            <w:pPr>
              <w:spacing w:before="20" w:after="20" w:line="240" w:lineRule="auto"/>
            </w:pPr>
            <w:r>
              <w:rPr>
                <w:sz w:val="18"/>
              </w:rPr>
              <w:t>0.58% a year</w:t>
            </w:r>
          </w:p>
        </w:tc>
        <w:tc>
          <w:tcPr>
            <w:tcW w:type="dxa" w:w="1290"/>
          </w:tcPr>
          <w:p>
            <w:pPr>
              <w:spacing w:before="20" w:after="20" w:line="240" w:lineRule="auto"/>
            </w:pPr>
            <w:r>
              <w:rPr>
                <w:sz w:val="18"/>
              </w:rPr>
              <w:t>1 day</w:t>
            </w:r>
          </w:p>
        </w:tc>
      </w:tr>
      <w:tr>
        <w:trPr>
          <w:cantSplit w:val="true"/>
        </w:trPr>
        <w:tc>
          <w:tcPr>
            <w:tcW w:type="dxa" w:w="4437"/>
          </w:tcPr>
          <w:p>
            <w:pPr>
              <w:spacing w:before="20" w:after="20" w:line="240" w:lineRule="auto"/>
            </w:pPr>
            <w:r>
              <w:rPr>
                <w:sz w:val="18"/>
              </w:rPr>
              <w:t>Government-guaranteed working-capital loan</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5.0% all-in</w:t>
            </w:r>
          </w:p>
        </w:tc>
        <w:tc>
          <w:tcPr>
            <w:tcW w:type="dxa" w:w="1290"/>
          </w:tcPr>
          <w:p>
            <w:pPr>
              <w:spacing w:before="20" w:after="20" w:line="240" w:lineRule="auto"/>
            </w:pPr>
            <w:r>
              <w:rPr>
                <w:sz w:val="18"/>
              </w:rPr>
              <w:t>21 days</w:t>
            </w:r>
          </w:p>
        </w:tc>
      </w:tr>
      <w:tr>
        <w:trPr>
          <w:cantSplit w:val="true"/>
        </w:trPr>
        <w:tc>
          <w:tcPr>
            <w:tcW w:type="dxa" w:w="4437"/>
          </w:tcPr>
          <w:p>
            <w:pPr>
              <w:spacing w:before="20" w:after="20" w:line="240" w:lineRule="auto"/>
            </w:pPr>
            <w:r>
              <w:rPr>
                <w:sz w:val="18"/>
              </w:rPr>
              <w:t>Equipment loan, 36 months / equipment lease, 48 months</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5.6% / 7.2%</w:t>
            </w:r>
          </w:p>
        </w:tc>
        <w:tc>
          <w:tcPr>
            <w:tcW w:type="dxa" w:w="1290"/>
          </w:tcPr>
          <w:p>
            <w:pPr>
              <w:spacing w:before="20" w:after="20" w:line="240" w:lineRule="auto"/>
            </w:pPr>
            <w:r>
              <w:rPr>
                <w:sz w:val="18"/>
              </w:rPr>
              <w:t>14 / 10 days</w:t>
            </w:r>
          </w:p>
        </w:tc>
      </w:tr>
      <w:tr>
        <w:trPr>
          <w:cantSplit w:val="true"/>
        </w:trPr>
        <w:tc>
          <w:tcPr>
            <w:tcW w:type="dxa" w:w="4437"/>
          </w:tcPr>
          <w:p>
            <w:pPr>
              <w:spacing w:before="20" w:after="20" w:line="240" w:lineRule="auto"/>
            </w:pPr>
            <w:r>
              <w:rPr>
                <w:sz w:val="18"/>
              </w:rPr>
              <w:t>Equity</w:t>
            </w:r>
          </w:p>
        </w:tc>
        <w:tc>
          <w:tcPr>
            <w:tcW w:type="dxa" w:w="2233"/>
          </w:tcPr>
          <w:p>
            <w:pPr>
              <w:spacing w:before="20" w:after="20" w:line="240" w:lineRule="auto"/>
            </w:pPr>
            <w:r>
              <w:rPr>
                <w:sz w:val="18"/>
              </w:rPr>
              <w:t>Reference only (Tier 3)</w:t>
            </w:r>
          </w:p>
        </w:tc>
        <w:tc>
          <w:tcPr>
            <w:tcW w:type="dxa" w:w="1400"/>
          </w:tcPr>
          <w:p>
            <w:pPr>
              <w:spacing w:before="20" w:after="20" w:line="240" w:lineRule="auto"/>
            </w:pPr>
            <w:r>
              <w:rPr>
                <w:sz w:val="18"/>
              </w:rPr>
              <w:t>n/a</w:t>
            </w:r>
          </w:p>
        </w:tc>
        <w:tc>
          <w:tcPr>
            <w:tcW w:type="dxa" w:w="1290"/>
          </w:tcPr>
          <w:p>
            <w:pPr>
              <w:spacing w:before="20" w:after="20" w:line="240" w:lineRule="auto"/>
            </w:pPr>
            <w:r>
              <w:rPr>
                <w:sz w:val="18"/>
              </w:rPr>
              <w:t>n/a</w:t>
            </w:r>
          </w:p>
        </w:tc>
      </w:tr>
    </w:tbl>
    <w:p>
      <w:pPr>
        <w:spacing w:after="40"/>
      </w:pPr>
    </w:p>
    <w:p>
      <w:pPr>
        <w:spacing w:before="0" w:after="60" w:line="259" w:lineRule="auto"/>
      </w:pPr>
      <w:r>
        <w:rPr>
          <w:b/>
          <w:sz w:val="20"/>
        </w:rPr>
        <w:t>External services.</w:t>
      </w:r>
    </w:p>
    <w:p>
      <w:pPr>
        <w:pStyle w:val="ListBullet2"/>
        <w:tabs>
          <w:tab w:pos="792" w:val="left"/>
        </w:tabs>
        <w:spacing w:before="0" w:after="60" w:line="259" w:lineRule="auto"/>
        <w:ind w:left="792" w:hanging="288"/>
      </w:pPr>
      <w:r>
        <w:rPr>
          <w:b/>
          <w:sz w:val="20"/>
        </w:rPr>
        <w:t>No real finance APIs.</w:t>
      </w:r>
      <w:r>
        <w:rPr>
          <w:sz w:val="20"/>
        </w:rPr>
        <w:t xml:space="preserve"> No bank, lender, payment or blockchain API is called.</w:t>
      </w:r>
    </w:p>
    <w:p>
      <w:pPr>
        <w:pStyle w:val="ListBullet2"/>
        <w:tabs>
          <w:tab w:pos="792" w:val="left"/>
        </w:tabs>
        <w:spacing w:before="0" w:after="60" w:line="259" w:lineRule="auto"/>
        <w:ind w:left="792" w:hanging="288"/>
      </w:pPr>
      <w:r>
        <w:rPr>
          <w:b/>
          <w:sz w:val="20"/>
        </w:rPr>
        <w:t>Model provider.</w:t>
      </w:r>
      <w:r>
        <w:rPr>
          <w:sz w:val="20"/>
        </w:rPr>
        <w:t xml:space="preserve"> In live mode only, the configured provider (DeepSeek or Anthropic) receives the redacted inbound documents and the schema.</w:t>
      </w:r>
    </w:p>
    <w:p>
      <w:pPr>
        <w:pStyle w:val="ListBullet2"/>
        <w:tabs>
          <w:tab w:pos="792" w:val="left"/>
        </w:tabs>
        <w:spacing w:before="0"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pPr>
        <w:pStyle w:val="ListBullet2"/>
        <w:tabs>
          <w:tab w:pos="792" w:val="left"/>
        </w:tabs>
        <w:spacing w:before="0" w:after="60" w:line="259" w:lineRule="auto"/>
        <w:ind w:left="792" w:hanging="288"/>
      </w:pPr>
      <w:r>
        <w:rPr>
          <w:b/>
          <w:sz w:val="20"/>
        </w:rPr>
        <w:t>Libraries.</w:t>
      </w:r>
    </w:p>
    <w:p>
      <w:pPr>
        <w:pStyle w:val="ListBullet3"/>
        <w:tabs>
          <w:tab w:pos="1152" w:val="left"/>
        </w:tabs>
        <w:spacing w:before="0" w:after="60" w:line="259" w:lineRule="auto"/>
        <w:ind w:left="1152" w:hanging="288"/>
      </w:pPr>
      <w:r>
        <w:rPr>
          <w:sz w:val="20"/>
        </w:rPr>
        <w:t>API: Python 3.12, FastAPI, Pydantic v2, SQLAlchemy 2 with Alembic (migrations 0001 to 0009) and PyNaCl (Ed25519).</w:t>
      </w:r>
    </w:p>
    <w:p>
      <w:pPr>
        <w:pStyle w:val="ListBullet3"/>
        <w:tabs>
          <w:tab w:pos="1152" w:val="left"/>
        </w:tabs>
        <w:spacing w:before="0" w:after="60" w:line="259" w:lineRule="auto"/>
        <w:ind w:left="1152" w:hanging="288"/>
      </w:pPr>
      <w:r>
        <w:rPr>
          <w:sz w:val="20"/>
        </w:rPr>
        <w:t>Web: Next.js 16.3.8, React 19, Tailwind 4 and Recharts.</w:t>
      </w:r>
    </w:p>
    <w:p>
      <w:pPr>
        <w:pStyle w:val="ListBullet3"/>
        <w:tabs>
          <w:tab w:pos="1152" w:val="left"/>
        </w:tabs>
        <w:spacing w:before="0" w:after="60" w:line="259" w:lineRule="auto"/>
        <w:ind w:left="1152" w:hanging="288"/>
      </w:pPr>
      <w:r>
        <w:rPr>
          <w:sz w:val="20"/>
        </w:rPr>
        <w:t>Tests: pytest, hypothesis and Playwright.</w:t>
      </w:r>
    </w:p>
    <w:p>
      <w:pPr>
        <w:pStyle w:val="Heading1"/>
      </w:pPr>
      <w:r>
        <w:t>03 Agent Design</w:t>
      </w:r>
    </w:p>
    <w:p>
      <w:pPr>
        <w:pStyle w:val="ListBullet"/>
        <w:spacing w:after="100"/>
      </w:pPr>
      <w:r>
        <w:t>Intent understanding, planning, tool use and state management</w:t>
      </w:r>
    </w:p>
    <w:p>
      <w:pPr>
        <w:spacing w:before="0" w:after="60" w:line="259" w:lineRule="auto"/>
      </w:pPr>
      <w:r>
        <w:rPr>
          <w:b/>
          <w:sz w:val="20"/>
        </w:rPr>
        <w:t>Understanding a request.</w:t>
      </w:r>
    </w:p>
    <w:p>
      <w:pPr>
        <w:pStyle w:val="ListBullet2"/>
        <w:tabs>
          <w:tab w:pos="792" w:val="left"/>
        </w:tabs>
        <w:spacing w:before="0" w:after="60" w:line="259" w:lineRule="auto"/>
        <w:ind w:left="792" w:hanging="288"/>
      </w:pPr>
      <w:r>
        <w:rPr>
          <w:b/>
          <w:sz w:val="20"/>
        </w:rPr>
        <w:t>A deterministic parser (Chinese and English) maps each chat request to one of 22 intents</w:t>
      </w:r>
      <w:r>
        <w:rPr>
          <w:sz w:val="20"/>
        </w:rPr>
        <w:t xml:space="preserve"> and fills typed slots. Examples: evaluate an offer, negotiate, speed up a receipt, fund a gap, show status, compare financing, explain, what-if, approve, reject, out of scope.</w:t>
      </w:r>
    </w:p>
    <w:p>
      <w:pPr>
        <w:pStyle w:val="ListBullet2"/>
        <w:tabs>
          <w:tab w:pos="792" w:val="left"/>
        </w:tabs>
        <w:spacing w:before="0" w:after="60" w:line="259" w:lineRule="auto"/>
        <w:ind w:left="792" w:hanging="288"/>
      </w:pPr>
      <w:r>
        <w:rPr>
          <w:b/>
          <w:sz w:val="20"/>
        </w:rPr>
        <w:t>Every id is checked against the registry.</w:t>
      </w:r>
    </w:p>
    <w:p>
      <w:pPr>
        <w:pStyle w:val="ListBullet2"/>
        <w:tabs>
          <w:tab w:pos="792" w:val="left"/>
        </w:tabs>
        <w:spacing w:before="0" w:after="60" w:line="259" w:lineRule="auto"/>
        <w:ind w:left="792" w:hanging="288"/>
      </w:pPr>
      <w:r>
        <w:rPr>
          <w:b/>
          <w:sz w:val="20"/>
        </w:rPr>
        <w:t>An unmatched request gets the nearest capability</w:t>
      </w:r>
      <w:r>
        <w:rPr>
          <w:sz w:val="20"/>
        </w:rPr>
        <w:t>, not a flat refusal.</w:t>
      </w:r>
    </w:p>
    <w:p>
      <w:pPr>
        <w:pStyle w:val="ListBullet2"/>
        <w:tabs>
          <w:tab w:pos="792" w:val="left"/>
        </w:tabs>
        <w:spacing w:before="0" w:after="60" w:line="259" w:lineRule="auto"/>
        <w:ind w:left="792" w:hanging="288"/>
      </w:pPr>
      <w:r>
        <w:rPr>
          <w:b/>
          <w:sz w:val="20"/>
        </w:rPr>
        <w:t>The model classifier is consulted only when the parser finds nothing.</w:t>
      </w:r>
      <w:r>
        <w:rPr>
          <w:sz w:val="20"/>
        </w:rPr>
        <w:t xml:space="preserve"> It may choose only from a closed list of intents. Approve, reject and buyer messages are not in that list.</w:t>
      </w:r>
    </w:p>
    <w:p>
      <w:pPr>
        <w:pStyle w:val="ListBullet2"/>
        <w:tabs>
          <w:tab w:pos="792" w:val="left"/>
        </w:tabs>
        <w:spacing w:before="0"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 and can execute nothing.</w:t>
      </w:r>
    </w:p>
    <w:p>
      <w:pPr>
        <w:spacing w:before="0" w:after="60" w:line="259" w:lineRule="auto"/>
      </w:pPr>
      <w:r>
        <w:rPr>
          <w:b/>
          <w:sz w:val="20"/>
        </w:rPr>
        <w:t>Consent: instructions that move money execute only when they are unambiguous.</w:t>
      </w:r>
    </w:p>
    <w:p>
      <w:pPr>
        <w:pStyle w:val="ListBullet2"/>
        <w:tabs>
          <w:tab w:pos="792" w:val="left"/>
        </w:tabs>
        <w:spacing w:before="0" w:after="60" w:line="259" w:lineRule="auto"/>
        <w:ind w:left="792" w:hanging="288"/>
      </w:pPr>
      <w:r>
        <w:rPr>
          <w:sz w:val="20"/>
        </w:rPr>
        <w:t>A financial instruction runs only when the whole message is one closed, affirmative command with exactly one RMB amount.</w:t>
      </w:r>
    </w:p>
    <w:p>
      <w:pPr>
        <w:pStyle w:val="ListBullet2"/>
        <w:tabs>
          <w:tab w:pos="792" w:val="left"/>
        </w:tabs>
        <w:spacing w:before="0" w:after="60" w:line="259" w:lineRule="auto"/>
        <w:ind w:left="792" w:hanging="288"/>
      </w:pPr>
      <w:r>
        <w:rPr>
          <w:sz w:val="20"/>
        </w:rPr>
        <w:t>These execute nothing, in English and Chinese: a negation, a question, a condition, a future time, a foreign currency, an unreadable amount, an extra request, or quoted or pasted text.</w:t>
      </w:r>
    </w:p>
    <w:p>
      <w:pPr>
        <w:pStyle w:val="ListBullet2"/>
        <w:tabs>
          <w:tab w:pos="792" w:val="left"/>
        </w:tabs>
        <w:spacing w:before="0" w:after="60" w:line="259" w:lineRule="auto"/>
        <w:ind w:left="792" w:hanging="288"/>
      </w:pPr>
      <w:r>
        <w:rPr>
          <w:sz w:val="20"/>
        </w:rPr>
        <w:t>An approval runs only on an exact decision sentence naming its id.</w:t>
      </w:r>
    </w:p>
    <w:p>
      <w:pPr>
        <w:spacing w:before="0" w:after="60" w:line="259" w:lineRule="auto"/>
      </w:pPr>
      <w:r>
        <w:rPr>
          <w:b/>
          <w:sz w:val="20"/>
        </w:rPr>
        <w:t>Propose, then confirm.</w:t>
      </w:r>
    </w:p>
    <w:p>
      <w:pPr>
        <w:pStyle w:val="ListBullet2"/>
        <w:tabs>
          <w:tab w:pos="792" w:val="left"/>
        </w:tabs>
        <w:spacing w:before="0" w:after="60" w:line="259" w:lineRule="auto"/>
        <w:ind w:left="792" w:hanging="288"/>
      </w:pPr>
      <w:r>
        <w:rPr>
          <w:sz w:val="20"/>
        </w:rPr>
        <w:t>A plan is stored with the exact typed operations shown, the quoted cost and the books it was built on.</w:t>
      </w:r>
    </w:p>
    <w:p>
      <w:pPr>
        <w:pStyle w:val="ListBullet2"/>
        <w:tabs>
          <w:tab w:pos="792" w:val="left"/>
        </w:tabs>
        <w:spacing w:before="0" w:after="60" w:line="259" w:lineRule="auto"/>
        <w:ind w:left="792" w:hanging="288"/>
      </w:pPr>
      <w:r>
        <w:rPr>
          <w:sz w:val="20"/>
        </w:rPr>
        <w:t>"Go ahead" runs exactly those operations. If the books have moved to a different or dearer plan, FLOW shows the new proposal instead.</w:t>
      </w:r>
    </w:p>
    <w:p>
      <w:pPr>
        <w:pStyle w:val="ListBullet2"/>
        <w:tabs>
          <w:tab w:pos="792" w:val="left"/>
        </w:tabs>
        <w:spacing w:before="0" w:after="60" w:line="259" w:lineRule="auto"/>
        <w:ind w:left="792" w:hanging="288"/>
      </w:pPr>
      <w:r>
        <w:rPr>
          <w:sz w:val="20"/>
        </w:rPr>
        <w:t>A new day or a changed mandate cancels the plan.</w:t>
      </w:r>
    </w:p>
    <w:p>
      <w:pPr>
        <w:spacing w:before="0" w:after="60" w:line="259" w:lineRule="auto"/>
      </w:pPr>
      <w:r>
        <w:rPr>
          <w:b/>
          <w:sz w:val="20"/>
        </w:rPr>
        <w:t>Planning examples.</w:t>
      </w:r>
    </w:p>
    <w:p>
      <w:pPr>
        <w:pStyle w:val="ListBullet2"/>
        <w:tabs>
          <w:tab w:pos="792" w:val="left"/>
        </w:tabs>
        <w:spacing w:before="0"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pPr>
        <w:pStyle w:val="ListBullet2"/>
        <w:tabs>
          <w:tab w:pos="792" w:val="left"/>
        </w:tabs>
        <w:spacing w:before="0" w:after="60" w:line="259" w:lineRule="auto"/>
        <w:ind w:left="792" w:hanging="288"/>
      </w:pPr>
      <w:r>
        <w:rPr>
          <w:b/>
          <w:sz w:val="20"/>
        </w:rPr>
        <w:t>Several steps.</w:t>
      </w:r>
      <w:r>
        <w:rPr>
          <w:sz w:val="20"/>
        </w:rPr>
        <w:t xml:space="preserve"> Draw the line, finance an invoice, repay on receipt.</w:t>
      </w:r>
    </w:p>
    <w:p>
      <w:pPr>
        <w:pStyle w:val="ListBullet2"/>
        <w:tabs>
          <w:tab w:pos="792" w:val="left"/>
        </w:tabs>
        <w:spacing w:before="0" w:after="60" w:line="259" w:lineRule="auto"/>
        <w:ind w:left="792" w:hanging="288"/>
      </w:pPr>
      <w:r>
        <w:rPr>
          <w:b/>
          <w:sz w:val="20"/>
        </w:rPr>
        <w:t>Clarification.</w:t>
      </w:r>
      <w:r>
        <w:rPr>
          <w:sz w:val="20"/>
        </w:rPr>
        <w:t xml:space="preserve"> "Fund it" with two open gaps asks which one.</w:t>
      </w:r>
    </w:p>
    <w:p>
      <w:pPr>
        <w:pStyle w:val="ListBullet2"/>
        <w:tabs>
          <w:tab w:pos="792" w:val="left"/>
        </w:tabs>
        <w:spacing w:before="0" w:after="60" w:line="259" w:lineRule="auto"/>
        <w:ind w:left="792" w:hanging="288"/>
      </w:pPr>
      <w:r>
        <w:rPr>
          <w:b/>
          <w:sz w:val="20"/>
        </w:rPr>
        <w:t>Correction.</w:t>
      </w:r>
      <w:r>
        <w:rPr>
          <w:sz w:val="20"/>
        </w:rPr>
        <w:t xml:space="preserve"> "Make it 0.8%" amends the plan. "1%" is refused, because it is above the 0.88% break-even.</w:t>
      </w:r>
    </w:p>
    <w:p>
      <w:pPr>
        <w:spacing w:before="0"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w:t>
      </w:r>
    </w:p>
    <w:p>
      <w:pPr>
        <w:spacing w:before="0"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pPr>
        <w:spacing w:before="0" w:after="60" w:line="259" w:lineRule="auto"/>
      </w:pPr>
      <w:r>
        <w:rPr>
          <w:b/>
          <w:sz w:val="20"/>
        </w:rPr>
        <w:t>State.</w:t>
      </w:r>
    </w:p>
    <w:p>
      <w:pPr>
        <w:pStyle w:val="ListBullet2"/>
        <w:tabs>
          <w:tab w:pos="792" w:val="left"/>
        </w:tabs>
        <w:spacing w:before="0" w:after="60" w:line="259" w:lineRule="auto"/>
        <w:ind w:left="792" w:hanging="288"/>
      </w:pPr>
      <w:r>
        <w:rPr>
          <w:b/>
          <w:sz w:val="20"/>
        </w:rPr>
        <w:t>Sessions.</w:t>
      </w:r>
      <w:r>
        <w:rPr>
          <w:sz w:val="20"/>
        </w:rPr>
        <w:t xml:space="preserve"> A chat session holds only typed references: the last offer and verdict, a pending plan, a pending clarification. Since SEC-21, it continues only for the caller that opened it.</w:t>
      </w:r>
    </w:p>
    <w:p>
      <w:pPr>
        <w:pStyle w:val="ListBullet2"/>
        <w:tabs>
          <w:tab w:pos="792" w:val="left"/>
        </w:tabs>
        <w:spacing w:before="0"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pPr>
        <w:pStyle w:val="ListBullet2"/>
        <w:tabs>
          <w:tab w:pos="792" w:val="left"/>
        </w:tabs>
        <w:spacing w:before="0"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pPr>
        <w:pStyle w:val="ListBullet2"/>
        <w:tabs>
          <w:tab w:pos="792" w:val="left"/>
        </w:tabs>
        <w:spacing w:before="0" w:after="60" w:line="259" w:lineRule="auto"/>
        <w:ind w:left="792" w:hanging="288"/>
      </w:pPr>
      <w:r>
        <w:rPr>
          <w:b/>
          <w:sz w:val="20"/>
        </w:rPr>
        <w:t>Settlement.</w:t>
      </w:r>
    </w:p>
    <w:p>
      <w:pPr>
        <w:pStyle w:val="ListBullet3"/>
        <w:tabs>
          <w:tab w:pos="1152" w:val="left"/>
        </w:tabs>
        <w:spacing w:before="0" w:after="60" w:line="259" w:lineRule="auto"/>
        <w:ind w:left="1152" w:hanging="288"/>
      </w:pPr>
      <w:r>
        <w:rPr>
          <w:sz w:val="20"/>
        </w:rPr>
        <w:t>Partial payments leave the residual open.</w:t>
      </w:r>
    </w:p>
    <w:p>
      <w:pPr>
        <w:pStyle w:val="ListBullet3"/>
        <w:tabs>
          <w:tab w:pos="1152" w:val="left"/>
        </w:tabs>
        <w:spacing w:before="0" w:after="60" w:line="259" w:lineRule="auto"/>
        <w:ind w:left="1152" w:hanging="288"/>
      </w:pPr>
      <w:r>
        <w:rPr>
          <w:sz w:val="20"/>
        </w:rPr>
        <w:t>A receipt on a financed invoice repays the lender first, from that receipt only.</w:t>
      </w:r>
    </w:p>
    <w:p>
      <w:pPr>
        <w:pStyle w:val="ListBullet3"/>
        <w:tabs>
          <w:tab w:pos="1152" w:val="left"/>
        </w:tabs>
        <w:spacing w:before="0" w:after="60" w:line="259" w:lineRule="auto"/>
        <w:ind w:left="1152" w:hanging="288"/>
      </w:pPr>
      <w:r>
        <w:rPr>
          <w:sz w:val="20"/>
        </w:rPr>
        <w:t>Reconciliation reports each promised early payment as awaited, received, lapsed or settled otherwise.</w:t>
      </w:r>
    </w:p>
    <w:p>
      <w:pPr>
        <w:pStyle w:val="ListBullet2"/>
        <w:tabs>
          <w:tab w:pos="792" w:val="left"/>
        </w:tabs>
        <w:spacing w:before="0"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pPr>
        <w:pStyle w:val="ListBullet2"/>
        <w:tabs>
          <w:tab w:pos="792" w:val="left"/>
        </w:tabs>
        <w:spacing w:before="0" w:after="60" w:line="259" w:lineRule="auto"/>
        <w:ind w:left="792" w:hanging="288"/>
      </w:pPr>
      <w:r>
        <w:rPr>
          <w:b/>
          <w:sz w:val="20"/>
        </w:rPr>
        <w:t>The decision record</w:t>
      </w:r>
      <w:r>
        <w:rPr>
          <w:sz w:val="20"/>
        </w:rPr>
        <w:t xml:space="preserve"> derives each deal's state from stored facts (ADR-0011).</w:t>
      </w:r>
    </w:p>
    <w:p>
      <w:pPr>
        <w:pStyle w:val="ListBullet2"/>
        <w:tabs>
          <w:tab w:pos="792" w:val="left"/>
        </w:tabs>
        <w:spacing w:before="0" w:after="60" w:line="259" w:lineRule="auto"/>
        <w:ind w:left="792" w:hanging="288"/>
      </w:pPr>
      <w:r>
        <w:rPr>
          <w:b/>
          <w:sz w:val="20"/>
        </w:rPr>
        <w:t>Contract records</w:t>
      </w:r>
      <w:r>
        <w:rPr>
          <w:sz w:val="20"/>
        </w:rPr>
        <w:t xml:space="preserve"> hold a document's reading with each term's quoted clause and the owner's hash-bound decision (ADR-0012).</w:t>
      </w:r>
    </w:p>
    <w:p>
      <w:pPr>
        <w:pStyle w:val="ListBullet"/>
        <w:spacing w:after="100"/>
      </w:pPr>
      <w:r>
        <w:t>Core algorithms and evaluation approach</w:t>
      </w:r>
    </w:p>
    <w:p>
      <w:pPr>
        <w:spacing w:before="0" w:after="60" w:line="259" w:lineRule="auto"/>
      </w:pPr>
      <w:r>
        <w:rPr>
          <w:b/>
          <w:sz w:val="20"/>
        </w:rPr>
        <w:t>1. Daily cash trajectory.</w:t>
      </w:r>
      <w:r>
        <w:rPr>
          <w:sz w:val="20"/>
        </w:rPr>
        <w:t xml:space="preserve"> For each day of the horizon:</w:t>
      </w:r>
    </w:p>
    <w:p>
      <w:pPr>
        <w:spacing w:before="0" w:after="60" w:line="259" w:lineRule="auto"/>
      </w:pPr>
      <w:r>
        <w:rPr>
          <w:rFonts w:ascii="Courier New" w:hAnsi="Courier New"/>
          <w:sz w:val="18"/>
        </w:rPr>
        <w:t>closing(t) = opening(t) + inflows(t) − scheduled outflows(t) − interest, fees and repayments(t)</w:t>
      </w:r>
    </w:p>
    <w:p>
      <w:pPr>
        <w:pStyle w:val="ListBullet2"/>
        <w:tabs>
          <w:tab w:pos="792" w:val="left"/>
        </w:tabs>
        <w:spacing w:before="0"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pPr>
        <w:pStyle w:val="ListBullet2"/>
        <w:tabs>
          <w:tab w:pos="792" w:val="left"/>
        </w:tabs>
        <w:spacing w:before="0" w:after="60" w:line="259" w:lineRule="auto"/>
        <w:ind w:left="792" w:hanging="288"/>
      </w:pPr>
      <w:r>
        <w:rPr>
          <w:b/>
          <w:sz w:val="20"/>
        </w:rPr>
        <w:t>What "conservative" means.</w:t>
      </w:r>
    </w:p>
    <w:p>
      <w:pPr>
        <w:pStyle w:val="ListBullet3"/>
        <w:tabs>
          <w:tab w:pos="1152" w:val="left"/>
        </w:tabs>
        <w:spacing w:before="0" w:after="60" w:line="259" w:lineRule="auto"/>
        <w:ind w:left="1152" w:hanging="288"/>
      </w:pPr>
      <w:r>
        <w:rPr>
          <w:sz w:val="20"/>
        </w:rPr>
        <w:t>Unconfirmed inflows are ignored.</w:t>
      </w:r>
    </w:p>
    <w:p>
      <w:pPr>
        <w:pStyle w:val="ListBullet3"/>
        <w:tabs>
          <w:tab w:pos="1152" w:val="left"/>
        </w:tabs>
        <w:spacing w:before="0" w:after="60" w:line="259" w:lineRule="auto"/>
        <w:ind w:left="1152" w:hanging="288"/>
      </w:pPr>
      <w:r>
        <w:rPr>
          <w:sz w:val="20"/>
        </w:rPr>
        <w:t>Only committed facilities can be drawn; others count as zero.</w:t>
      </w:r>
    </w:p>
    <w:p>
      <w:pPr>
        <w:pStyle w:val="ListBullet3"/>
        <w:tabs>
          <w:tab w:pos="1152" w:val="left"/>
        </w:tabs>
        <w:spacing w:before="0" w:after="60" w:line="259" w:lineRule="auto"/>
        <w:ind w:left="1152" w:hanging="288"/>
      </w:pPr>
      <w:r>
        <w:rPr>
          <w:sz w:val="20"/>
        </w:rPr>
        <w:t>A contingent concession counts at its maximum.</w:t>
      </w:r>
    </w:p>
    <w:p>
      <w:pPr>
        <w:pStyle w:val="ListBullet2"/>
        <w:tabs>
          <w:tab w:pos="792" w:val="left"/>
        </w:tabs>
        <w:spacing w:before="0"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below cover that.</w:t>
      </w:r>
    </w:p>
    <w:p>
      <w:pPr>
        <w:pStyle w:val="ListBullet2"/>
        <w:tabs>
          <w:tab w:pos="792" w:val="left"/>
        </w:tabs>
        <w:spacing w:before="0" w:after="60" w:line="259" w:lineRule="auto"/>
        <w:ind w:left="792" w:hanging="288"/>
      </w:pPr>
      <w:r>
        <w:rPr>
          <w:b/>
          <w:sz w:val="20"/>
        </w:rPr>
        <w:t>Interest</w:t>
      </w:r>
      <w:r>
        <w:rPr>
          <w:sz w:val="20"/>
        </w:rPr>
        <w:t xml:space="preserve"> is Actual/365 simple. Invoice financing bills whole 30-day periods.</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4-golden-cash.png"/>
                    <pic:cNvPicPr/>
                  </pic:nvPicPr>
                  <pic:blipFill>
                    <a:blip r:embed="rId13"/>
                    <a:stretch>
                      <a:fillRect/>
                    </a:stretch>
                  </pic:blipFill>
                  <pic:spPr>
                    <a:xfrm>
                      <a:off x="0" y="0"/>
                      <a:ext cx="5486400" cy="4389120"/>
                    </a:xfrm>
                    <a:prstGeom prst="rect"/>
                  </pic:spPr>
                </pic:pic>
              </a:graphicData>
            </a:graphic>
          </wp:inline>
        </w:drawing>
      </w:r>
    </w:p>
    <w:p>
      <w:pPr>
        <w:pStyle w:val="Caption"/>
      </w:pPr>
      <w:r>
        <w:t>Figure 4. The demo company's cash over 60 days. Without new funding, cash falls below the ¥300,000 reserve on day 12 and reaches −¥105,000 on day 30. FLOW's plan (credit line ¥150,000 plus invoice financing ¥255,000, total cost ¥3,113.93) keeps cash at or above the reserve every day.</w:t>
      </w:r>
    </w:p>
    <w:p>
      <w:pPr>
        <w:spacing w:before="0" w:after="60" w:line="259" w:lineRule="auto"/>
      </w:pPr>
      <w:r>
        <w:rPr>
          <w:b/>
          <w:sz w:val="20"/>
        </w:rPr>
        <w:t>2. Funding router.</w:t>
      </w:r>
      <w:r>
        <w:rPr>
          <w:sz w:val="20"/>
        </w:rPr>
        <w:t xml:space="preserve"> It finds the cheapest admissible combination of funding actions:</w:t>
      </w:r>
    </w:p>
    <w:p>
      <w:pPr>
        <w:pStyle w:val="ListBullet2"/>
        <w:tabs>
          <w:tab w:pos="792" w:val="left"/>
        </w:tabs>
        <w:spacing w:before="0" w:after="60" w:line="259" w:lineRule="auto"/>
        <w:ind w:left="792" w:hanging="288"/>
      </w:pPr>
      <w:r>
        <w:rPr>
          <w:b/>
          <w:sz w:val="20"/>
        </w:rPr>
        <w:t>Search.</w:t>
      </w:r>
      <w:r>
        <w:rPr>
          <w:sz w:val="20"/>
        </w:rPr>
        <w:t xml:space="preserve"> Up to three actions, amounts on a ¥10,000 grid, each requested today and landing after its lead time.</w:t>
      </w:r>
    </w:p>
    <w:p>
      <w:pPr>
        <w:pStyle w:val="ListBullet2"/>
        <w:tabs>
          <w:tab w:pos="792" w:val="left"/>
        </w:tabs>
        <w:spacing w:before="0" w:after="60" w:line="259" w:lineRule="auto"/>
        <w:ind w:left="792" w:hanging="288"/>
      </w:pPr>
      <w:r>
        <w:rPr>
          <w:b/>
          <w:sz w:val="20"/>
        </w:rPr>
        <w:t>Admissible</w:t>
      </w:r>
      <w:r>
        <w:rPr>
          <w:sz w:val="20"/>
        </w:rPr>
        <w:t xml:space="preserve"> means cash stays at or above the reserve every day, no covenant is broken, and new borrowing is allowed.</w:t>
      </w:r>
    </w:p>
    <w:p>
      <w:pPr>
        <w:pStyle w:val="ListBullet2"/>
        <w:tabs>
          <w:tab w:pos="792" w:val="left"/>
        </w:tabs>
        <w:spacing w:before="0" w:after="60" w:line="259" w:lineRule="auto"/>
        <w:ind w:left="792" w:hanging="288"/>
      </w:pPr>
      <w:r>
        <w:rPr>
          <w:b/>
          <w:sz w:val="20"/>
        </w:rPr>
        <w:t>Over the rate ceiling.</w:t>
      </w:r>
      <w:r>
        <w:rPr>
          <w:sz w:val="20"/>
        </w:rPr>
        <w:t xml:space="preserve"> A leg above the mandate's rate ceiling flags the plan for the owner.</w:t>
      </w:r>
    </w:p>
    <w:p>
      <w:pPr>
        <w:pStyle w:val="ListBullet2"/>
        <w:tabs>
          <w:tab w:pos="792" w:val="left"/>
        </w:tabs>
        <w:spacing w:before="0" w:after="60" w:line="259" w:lineRule="auto"/>
        <w:ind w:left="792" w:hanging="288"/>
      </w:pPr>
      <w:r>
        <w:rPr>
          <w:b/>
          <w:sz w:val="20"/>
        </w:rPr>
        <w:t>Future invoices.</w:t>
      </w:r>
      <w:r>
        <w:rPr>
          <w:sz w:val="20"/>
        </w:rPr>
        <w:t xml:space="preserve"> A plan that relies on an invoice not yet issued is flagged "cannot run today".</w:t>
      </w:r>
    </w:p>
    <w:p>
      <w:pPr>
        <w:pStyle w:val="ListBullet2"/>
        <w:tabs>
          <w:tab w:pos="792" w:val="left"/>
        </w:tabs>
        <w:spacing w:before="0" w:after="60" w:line="259" w:lineRule="auto"/>
        <w:ind w:left="792" w:hanging="288"/>
      </w:pPr>
      <w:r>
        <w:rPr>
          <w:b/>
          <w:sz w:val="20"/>
        </w:rPr>
        <w:t>Minimum size.</w:t>
      </w:r>
      <w:r>
        <w:rPr>
          <w:sz w:val="20"/>
        </w:rPr>
        <w:t xml:space="preserve"> No action is smaller than ¥1,000.</w:t>
      </w:r>
    </w:p>
    <w:p>
      <w:pPr>
        <w:pStyle w:val="ListBullet2"/>
        <w:tabs>
          <w:tab w:pos="792" w:val="left"/>
        </w:tabs>
        <w:spacing w:before="0"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w:t>
      </w:r>
      <w:r>
        <w:rPr>
          <w:b/>
          <w:sz w:val="20"/>
        </w:rPr>
        <w:t>¥3,113.93</w:t>
      </w:r>
      <w:r>
        <w:rPr>
          <w:sz w:val="20"/>
        </w:rPr>
        <w:t>. Taking the buyer's 1.2% discount instead would cost ¥5,040.00.</w:t>
      </w:r>
    </w:p>
    <w:p>
      <w:pPr>
        <w:pStyle w:val="ListBullet2"/>
        <w:tabs>
          <w:tab w:pos="792" w:val="left"/>
        </w:tabs>
        <w:spacing w:before="0" w:after="60" w:line="259" w:lineRule="auto"/>
        <w:ind w:left="792" w:hanging="288"/>
      </w:pPr>
      <w:r>
        <w:rPr>
          <w:b/>
          <w:sz w:val="20"/>
        </w:rPr>
        <w:t>Optimality.</w:t>
      </w:r>
      <w:r>
        <w:rPr>
          <w:sz w:val="20"/>
        </w:rPr>
        <w:t xml:space="preserve"> The router is within ¥1 of an exhaustive brute force on all 26 evaluation scenarios.</w:t>
      </w:r>
    </w:p>
    <w:p>
      <w:pPr>
        <w:spacing w:before="0" w:after="60" w:line="259" w:lineRule="auto"/>
      </w:pPr>
      <w:r>
        <w:rPr>
          <w:b/>
          <w:sz w:val="20"/>
        </w:rPr>
        <w:t>3. Marginal cost and break-even.</w:t>
      </w:r>
    </w:p>
    <w:p>
      <w:pPr>
        <w:pStyle w:val="ListBullet2"/>
        <w:tabs>
          <w:tab w:pos="792" w:val="left"/>
        </w:tabs>
        <w:spacing w:before="0" w:after="60" w:line="259" w:lineRule="auto"/>
        <w:ind w:left="792" w:hanging="288"/>
      </w:pPr>
      <w:r>
        <w:rPr>
          <w:b/>
          <w:sz w:val="20"/>
        </w:rPr>
        <w:t>Marginal cost of funds.</w:t>
      </w:r>
      <w:r>
        <w:rPr>
          <w:sz w:val="20"/>
        </w:rPr>
        <w:t xml:space="preserve"> The all-in rate of the cheapest committed source that can carry a permanent need: invoice financing at 10.84%. The credit line's clean-down rules it out.</w:t>
      </w:r>
    </w:p>
    <w:p>
      <w:pPr>
        <w:pStyle w:val="ListBullet2"/>
        <w:tabs>
          <w:tab w:pos="792" w:val="left"/>
        </w:tabs>
        <w:spacing w:before="0"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that is </w:t>
      </w:r>
      <w:r>
        <w:rPr>
          <w:b/>
          <w:sz w:val="20"/>
        </w:rPr>
        <w:t>0.8832%</w:t>
      </w:r>
      <w:r>
        <w:rPr>
          <w:sz w:val="20"/>
        </w:rPr>
        <w:t>.</w:t>
      </w:r>
    </w:p>
    <w:p>
      <w:pPr>
        <w:pStyle w:val="ListBullet2"/>
        <w:tabs>
          <w:tab w:pos="792" w:val="left"/>
        </w:tabs>
        <w:spacing w:before="0" w:after="60" w:line="259" w:lineRule="auto"/>
        <w:ind w:left="792" w:hanging="288"/>
      </w:pPr>
      <w:r>
        <w:rPr>
          <w:b/>
          <w:sz w:val="20"/>
        </w:rPr>
        <w:t>The early-payment rule (ADR-0007).</w:t>
      </w:r>
      <w:r>
        <w:rPr>
          <w:sz w:val="20"/>
        </w:rPr>
        <w:t xml:space="preserve"> An early payment is accepted only if it passes three tests:</w:t>
      </w:r>
    </w:p>
    <w:p>
      <w:pPr>
        <w:pStyle w:val="ListBullet3"/>
        <w:tabs>
          <w:tab w:pos="1152" w:val="left"/>
        </w:tabs>
        <w:spacing w:before="0" w:after="60" w:line="259" w:lineRule="auto"/>
        <w:ind w:left="1152" w:hanging="288"/>
      </w:pPr>
      <w:r>
        <w:rPr>
          <w:sz w:val="20"/>
        </w:rPr>
        <w:t>it is below break-even for its actual days early;</w:t>
      </w:r>
    </w:p>
    <w:p>
      <w:pPr>
        <w:pStyle w:val="ListBullet3"/>
        <w:tabs>
          <w:tab w:pos="1152" w:val="left"/>
        </w:tabs>
        <w:spacing w:before="0" w:after="60" w:line="259" w:lineRule="auto"/>
        <w:ind w:left="1152" w:hanging="288"/>
      </w:pPr>
      <w:r>
        <w:rPr>
          <w:sz w:val="20"/>
        </w:rPr>
        <w:t>the cash is needed;</w:t>
      </w:r>
    </w:p>
    <w:p>
      <w:pPr>
        <w:pStyle w:val="ListBullet3"/>
        <w:tabs>
          <w:tab w:pos="1152" w:val="left"/>
        </w:tabs>
        <w:spacing w:before="0" w:after="60" w:line="259" w:lineRule="auto"/>
        <w:ind w:left="1152" w:hanging="288"/>
      </w:pPr>
      <w:r>
        <w:rPr>
          <w:sz w:val="20"/>
        </w:rPr>
        <w:t>it is cheaper than the router's plan without it.</w:t>
      </w:r>
    </w:p>
    <w:p>
      <w:pPr>
        <w:spacing w:before="0" w:after="60" w:line="259" w:lineRule="auto"/>
      </w:pPr>
      <w:r>
        <w:rPr>
          <w:sz w:val="20"/>
        </w:rPr>
        <w:t>So 0.75% on the whole ¥420,000 invoice costs ¥3,150.00, more than the ¥3,113.93 plan, and is countered. 0.74% costs ¥3,108.00 and is accepted.</w:t>
      </w:r>
    </w:p>
    <w:p>
      <w:pPr>
        <w:spacing w:before="0" w:after="60" w:line="259" w:lineRule="auto"/>
      </w:pPr>
      <w:r>
        <w:rPr>
          <w:b/>
          <w:sz w:val="20"/>
        </w:rPr>
        <w:t>4. Covenants.</w:t>
      </w:r>
      <w:r>
        <w:rPr>
          <w:sz w:val="20"/>
        </w:rPr>
        <w:t xml:space="preserve"> Each projected month is tested exactly, per facility definition:</w:t>
      </w:r>
    </w:p>
    <w:p>
      <w:pPr>
        <w:pStyle w:val="ListBullet2"/>
        <w:tabs>
          <w:tab w:pos="792" w:val="left"/>
        </w:tabs>
        <w:spacing w:before="0" w:after="60" w:line="259" w:lineRule="auto"/>
        <w:ind w:left="792" w:hanging="288"/>
      </w:pPr>
      <w:r>
        <w:rPr>
          <w:b/>
          <w:sz w:val="20"/>
        </w:rPr>
        <w:t>DSCR</w:t>
      </w:r>
      <w:r>
        <w:rPr>
          <w:sz w:val="20"/>
        </w:rPr>
        <w:t xml:space="preserve"> = EBITDA ÷ debt service. A bullet loan is serviced on a level basis (ADR-0008).</w:t>
      </w:r>
    </w:p>
    <w:p>
      <w:pPr>
        <w:pStyle w:val="ListBullet2"/>
        <w:tabs>
          <w:tab w:pos="792" w:val="left"/>
        </w:tabs>
        <w:spacing w:before="0" w:after="60" w:line="259" w:lineRule="auto"/>
        <w:ind w:left="792" w:hanging="288"/>
      </w:pPr>
      <w:r>
        <w:rPr>
          <w:b/>
          <w:sz w:val="20"/>
        </w:rPr>
        <w:t>Leverage</w:t>
      </w:r>
      <w:r>
        <w:rPr>
          <w:sz w:val="20"/>
        </w:rPr>
        <w:t xml:space="preserve"> = month-end debt ÷ annualised EBITDA.</w:t>
      </w:r>
    </w:p>
    <w:p>
      <w:pPr>
        <w:pStyle w:val="ListBullet2"/>
        <w:tabs>
          <w:tab w:pos="792" w:val="left"/>
        </w:tabs>
        <w:spacing w:before="0" w:after="60" w:line="259" w:lineRule="auto"/>
        <w:ind w:left="792" w:hanging="288"/>
      </w:pPr>
      <w:r>
        <w:rPr>
          <w:b/>
          <w:sz w:val="20"/>
        </w:rPr>
        <w:t>Clean-down</w:t>
      </w:r>
      <w:r>
        <w:rPr>
          <w:sz w:val="20"/>
        </w:rPr>
        <w:t xml:space="preserve"> = the longest run of zero-balance days on a credit line.</w:t>
      </w:r>
    </w:p>
    <w:p>
      <w:pPr>
        <w:spacing w:before="0" w:after="60" w:line="259" w:lineRule="auto"/>
      </w:pPr>
      <w:r>
        <w:rPr>
          <w:sz w:val="20"/>
        </w:rPr>
        <w:t>For example, a ¥500,000 government-guaranteed loan would bring DSCR to 1.01×, below the 1.25× covenant, and is refused.</w:t>
      </w:r>
    </w:p>
    <w:p>
      <w:pPr>
        <w:spacing w:before="0" w:after="60" w:line="259" w:lineRule="auto"/>
      </w:pPr>
      <w:r>
        <w:rPr>
          <w:b/>
          <w:sz w:val="20"/>
        </w:rPr>
        <w:t>5. Verdict.</w:t>
      </w:r>
      <w:r>
        <w:rPr>
          <w:sz w:val="20"/>
        </w:rPr>
        <w:t xml:space="preserve"> The verifier checks, in this order:</w:t>
      </w:r>
    </w:p>
    <w:p>
      <w:pPr>
        <w:pStyle w:val="ListBullet2"/>
        <w:tabs>
          <w:tab w:pos="792" w:val="left"/>
        </w:tabs>
        <w:spacing w:before="0" w:after="60" w:line="259" w:lineRule="auto"/>
        <w:ind w:left="792" w:hanging="288"/>
      </w:pPr>
      <w:r>
        <w:rPr>
          <w:sz w:val="20"/>
        </w:rPr>
        <w:t>whether the offer was read completely;</w:t>
      </w:r>
    </w:p>
    <w:p>
      <w:pPr>
        <w:pStyle w:val="ListBullet2"/>
        <w:tabs>
          <w:tab w:pos="792" w:val="left"/>
        </w:tabs>
        <w:spacing w:before="0" w:after="60" w:line="259" w:lineRule="auto"/>
        <w:ind w:left="792" w:hanging="288"/>
      </w:pPr>
      <w:r>
        <w:rPr>
          <w:sz w:val="20"/>
        </w:rPr>
        <w:t>the security screen;</w:t>
      </w:r>
    </w:p>
    <w:p>
      <w:pPr>
        <w:pStyle w:val="ListBullet2"/>
        <w:tabs>
          <w:tab w:pos="792" w:val="left"/>
        </w:tabs>
        <w:spacing w:before="0" w:after="60" w:line="259" w:lineRule="auto"/>
        <w:ind w:left="792" w:hanging="288"/>
      </w:pPr>
      <w:r>
        <w:rPr>
          <w:sz w:val="20"/>
        </w:rPr>
        <w:t>mandate validity;</w:t>
      </w:r>
    </w:p>
    <w:p>
      <w:pPr>
        <w:pStyle w:val="ListBullet2"/>
        <w:tabs>
          <w:tab w:pos="792" w:val="left"/>
        </w:tabs>
        <w:spacing w:before="0" w:after="60" w:line="259" w:lineRule="auto"/>
        <w:ind w:left="792" w:hanging="288"/>
      </w:pPr>
      <w:r>
        <w:rPr>
          <w:sz w:val="20"/>
        </w:rPr>
        <w:t>the projection;</w:t>
      </w:r>
    </w:p>
    <w:p>
      <w:pPr>
        <w:pStyle w:val="ListBullet2"/>
        <w:tabs>
          <w:tab w:pos="792" w:val="left"/>
        </w:tabs>
        <w:spacing w:before="0" w:after="60" w:line="259" w:lineRule="auto"/>
        <w:ind w:left="792" w:hanging="288"/>
      </w:pPr>
      <w:r>
        <w:rPr>
          <w:sz w:val="20"/>
        </w:rPr>
        <w:t>every rule: daily reserve, the total and per-buyer concession caps, the discount cap, the APR ceiling, the covenants and the Tier-3 clauses;</w:t>
      </w:r>
    </w:p>
    <w:p>
      <w:pPr>
        <w:pStyle w:val="ListBullet2"/>
        <w:tabs>
          <w:tab w:pos="792" w:val="left"/>
        </w:tabs>
        <w:spacing w:before="0" w:after="60" w:line="259" w:lineRule="auto"/>
        <w:ind w:left="792" w:hanging="288"/>
      </w:pPr>
      <w:r>
        <w:rPr>
          <w:sz w:val="20"/>
        </w:rPr>
        <w:t>the three early-payment tests;</w:t>
      </w:r>
    </w:p>
    <w:p>
      <w:pPr>
        <w:pStyle w:val="ListBullet2"/>
        <w:tabs>
          <w:tab w:pos="792" w:val="left"/>
        </w:tabs>
        <w:spacing w:before="0" w:after="60" w:line="259" w:lineRule="auto"/>
        <w:ind w:left="792" w:hanging="288"/>
      </w:pPr>
      <w:r>
        <w:rPr>
          <w:sz w:val="20"/>
        </w:rPr>
        <w:t>the autonomy rule.</w:t>
      </w:r>
    </w:p>
    <w:p>
      <w:pPr>
        <w:spacing w:before="0" w:after="60" w:line="259" w:lineRule="auto"/>
      </w:pPr>
      <w:r>
        <w:rPr>
          <w:sz w:val="20"/>
        </w:rPr>
        <w:t xml:space="preserve">Every failed rule carries its code, the day or month, the observed value, the limit, a formula and its inputs. The autonomy rule (ADR-0005) keeps an ACCEPT at Tier 1 only for a pure early-payment discount on a named whole invoice that passes all three tests </w:t>
      </w:r>
      <w:r>
        <w:rPr>
          <w:b/>
          <w:sz w:val="20"/>
        </w:rPr>
        <w:t>and</w:t>
      </w:r>
      <w:r>
        <w:rPr>
          <w:sz w:val="20"/>
        </w:rPr>
        <w:t xml:space="preserve"> whose message passed the coverage proof. Anything else that would be accepted becomes "needs the owner".</w:t>
      </w:r>
    </w:p>
    <w:p>
      <w:pPr>
        <w:spacing w:before="0" w:after="60" w:line="259" w:lineRule="auto"/>
      </w:pPr>
      <w:r>
        <w:rPr>
          <w:b/>
          <w:sz w:val="20"/>
        </w:rPr>
        <w:t>The worked example, reconciled.</w:t>
      </w:r>
      <w:r>
        <w:rPr>
          <w:sz w:val="20"/>
        </w:rPr>
        <w:t xml:space="preserve"> Table 6 traces the demo's central request (EX01) through every figure the document and the screens use. It answers a common question: why does the forecast say ¥90,040 while the deal page says "breached by ¥135k for 15 days"? Both readings are correct. The first is the shortfall on the </w:t>
      </w:r>
      <w:r>
        <w:rPr>
          <w:b/>
          <w:sz w:val="20"/>
        </w:rPr>
        <w:t>first</w:t>
      </w:r>
      <w:r>
        <w:rPr>
          <w:sz w:val="20"/>
        </w:rPr>
        <w:t xml:space="preserve"> day below the reserve (day 47). The second is the </w:t>
      </w:r>
      <w:r>
        <w:rPr>
          <w:b/>
          <w:sz w:val="20"/>
        </w:rPr>
        <w:t>worst</w:t>
      </w:r>
      <w:r>
        <w:rPr>
          <w:sz w:val="20"/>
        </w:rPr>
        <w:t xml:space="preserve"> shortfall (day 60), and the breach lasts 15 days.</w:t>
      </w:r>
    </w:p>
    <w:p>
      <w:pPr>
        <w:spacing w:before="0" w:after="60" w:line="259" w:lineRule="auto"/>
      </w:pPr>
      <w:r>
        <w:rPr>
          <w:b/>
          <w:sz w:val="20"/>
        </w:rPr>
        <w:t>Table 6. The EX01 request, every figure in one place (golden books, day 0, books version 1, reserve ¥300,000).</w:t>
      </w:r>
    </w:p>
    <w:tbl>
      <w:tblPr>
        <w:tblStyle w:val="TableGrid"/>
        <w:tblW w:type="auto" w:w="0"/>
        <w:tblLayout w:type="fixed"/>
        <w:tblLook w:firstColumn="1" w:firstRow="1" w:lastColumn="0" w:lastRow="0" w:noHBand="0" w:noVBand="1" w:val="04A0"/>
      </w:tblPr>
      <w:tblGrid>
        <w:gridCol w:w="1098"/>
        <w:gridCol w:w="1098"/>
        <w:gridCol w:w="1098"/>
        <w:gridCol w:w="1098"/>
        <w:gridCol w:w="1098"/>
        <w:gridCol w:w="1098"/>
        <w:gridCol w:w="1098"/>
        <w:gridCol w:w="1098"/>
        <w:gridCol w:w="1098"/>
      </w:tblGrid>
      <w:tr>
        <w:trPr>
          <w:cantSplit w:val="true"/>
          <w:tblHeader w:val="true"/>
        </w:trPr>
        <w:tc>
          <w:tcPr>
            <w:tcW w:type="dxa" w:w="1322"/>
            <w:shd w:val="clear" w:color="auto" w:fill="E8EEFB"/>
          </w:tcPr>
          <w:p>
            <w:pPr>
              <w:keepNext/>
              <w:spacing w:before="20" w:after="20" w:line="240" w:lineRule="auto"/>
            </w:pPr>
            <w:r>
              <w:rPr>
                <w:b/>
                <w:sz w:val="16"/>
              </w:rPr>
              <w:t>Scenario</w:t>
            </w:r>
          </w:p>
        </w:tc>
        <w:tc>
          <w:tcPr>
            <w:tcW w:type="dxa" w:w="1068"/>
            <w:shd w:val="clear" w:color="auto" w:fill="E8EEFB"/>
          </w:tcPr>
          <w:p>
            <w:pPr>
              <w:keepNext/>
              <w:spacing w:before="20" w:after="20" w:line="240" w:lineRule="auto"/>
            </w:pPr>
            <w:r>
              <w:rPr>
                <w:b/>
                <w:sz w:val="16"/>
              </w:rPr>
              <w:t>Funding</w:t>
            </w:r>
          </w:p>
        </w:tc>
        <w:tc>
          <w:tcPr>
            <w:tcW w:type="dxa" w:w="984"/>
            <w:shd w:val="clear" w:color="auto" w:fill="E8EEFB"/>
          </w:tcPr>
          <w:p>
            <w:pPr>
              <w:keepNext/>
              <w:spacing w:before="20" w:after="20" w:line="240" w:lineRule="auto"/>
            </w:pPr>
            <w:r>
              <w:rPr>
                <w:b/>
                <w:sz w:val="16"/>
              </w:rPr>
              <w:t>Lowest cash</w:t>
            </w:r>
          </w:p>
        </w:tc>
        <w:tc>
          <w:tcPr>
            <w:tcW w:type="dxa" w:w="899"/>
            <w:shd w:val="clear" w:color="auto" w:fill="E8EEFB"/>
          </w:tcPr>
          <w:p>
            <w:pPr>
              <w:keepNext/>
              <w:spacing w:before="20" w:after="20" w:line="240" w:lineRule="auto"/>
            </w:pPr>
            <w:r>
              <w:rPr>
                <w:b/>
                <w:sz w:val="16"/>
              </w:rPr>
              <w:t>Breach</w:t>
            </w:r>
          </w:p>
        </w:tc>
        <w:tc>
          <w:tcPr>
            <w:tcW w:type="dxa" w:w="984"/>
            <w:shd w:val="clear" w:color="auto" w:fill="E8EEFB"/>
          </w:tcPr>
          <w:p>
            <w:pPr>
              <w:keepNext/>
              <w:spacing w:before="20" w:after="20" w:line="240" w:lineRule="auto"/>
            </w:pPr>
            <w:r>
              <w:rPr>
                <w:b/>
                <w:sz w:val="16"/>
              </w:rPr>
              <w:t>Discount</w:t>
            </w:r>
          </w:p>
        </w:tc>
        <w:tc>
          <w:tcPr>
            <w:tcW w:type="dxa" w:w="984"/>
            <w:shd w:val="clear" w:color="auto" w:fill="E8EEFB"/>
          </w:tcPr>
          <w:p>
            <w:pPr>
              <w:keepNext/>
              <w:spacing w:before="20" w:after="20" w:line="240" w:lineRule="auto"/>
            </w:pPr>
            <w:r>
              <w:rPr>
                <w:b/>
                <w:sz w:val="16"/>
              </w:rPr>
              <w:t>Funding cost</w:t>
            </w:r>
          </w:p>
        </w:tc>
        <w:tc>
          <w:tcPr>
            <w:tcW w:type="dxa" w:w="1153"/>
            <w:shd w:val="clear" w:color="auto" w:fill="E8EEFB"/>
          </w:tcPr>
          <w:p>
            <w:pPr>
              <w:keepNext/>
              <w:spacing w:before="20" w:after="20" w:line="240" w:lineRule="auto"/>
            </w:pPr>
            <w:r>
              <w:rPr>
                <w:b/>
                <w:sz w:val="16"/>
              </w:rPr>
              <w:t>Future concessions</w:t>
            </w:r>
          </w:p>
        </w:tc>
        <w:tc>
          <w:tcPr>
            <w:tcW w:type="dxa" w:w="815"/>
            <w:shd w:val="clear" w:color="auto" w:fill="E8EEFB"/>
          </w:tcPr>
          <w:p>
            <w:pPr>
              <w:keepNext/>
              <w:spacing w:before="20" w:after="20" w:line="240" w:lineRule="auto"/>
            </w:pPr>
            <w:r>
              <w:rPr>
                <w:b/>
                <w:sz w:val="16"/>
              </w:rPr>
              <w:t>Can run today?</w:t>
            </w:r>
          </w:p>
        </w:tc>
        <w:tc>
          <w:tcPr>
            <w:tcW w:type="dxa" w:w="1153"/>
            <w:shd w:val="clear" w:color="auto" w:fill="E8EEFB"/>
          </w:tcPr>
          <w:p>
            <w:pPr>
              <w:keepNext/>
              <w:spacing w:before="20" w:after="20" w:line="240" w:lineRule="auto"/>
            </w:pPr>
            <w:r>
              <w:rPr>
                <w:b/>
                <w:sz w:val="16"/>
              </w:rPr>
              <w:t>Who decides</w:t>
            </w:r>
          </w:p>
        </w:tc>
      </w:tr>
      <w:tr>
        <w:trPr>
          <w:cantSplit w:val="true"/>
        </w:trPr>
        <w:tc>
          <w:tcPr>
            <w:tcW w:type="dxa" w:w="1322"/>
          </w:tcPr>
          <w:p>
            <w:pPr>
              <w:spacing w:before="20" w:after="20" w:line="240" w:lineRule="auto"/>
            </w:pPr>
            <w:r>
              <w:rPr>
                <w:sz w:val="16"/>
              </w:rPr>
              <w:t>Today's books, no request</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−¥105,000 (day 30)</w:t>
            </w:r>
          </w:p>
        </w:tc>
        <w:tc>
          <w:tcPr>
            <w:tcW w:type="dxa" w:w="899"/>
          </w:tcPr>
          <w:p>
            <w:pPr>
              <w:spacing w:before="20" w:after="20" w:line="240" w:lineRule="auto"/>
            </w:pPr>
            <w:r>
              <w:rPr>
                <w:sz w:val="16"/>
              </w:rPr>
              <w:t>¥405,000 short, days 12–31</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Today's books + FLOW's standing plan</w:t>
            </w:r>
          </w:p>
        </w:tc>
        <w:tc>
          <w:tcPr>
            <w:tcW w:type="dxa" w:w="1068"/>
          </w:tcPr>
          <w:p>
            <w:pPr>
              <w:spacing w:before="20" w:after="20" w:line="240" w:lineRule="auto"/>
            </w:pPr>
            <w:r>
              <w:rPr>
                <w:sz w:val="16"/>
              </w:rPr>
              <w:t>line ¥150,000 + invoice financing ¥255,000</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b/>
                <w:sz w:val="16"/>
              </w:rPr>
              <w:t>¥3,113.93</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Tier 1</w:t>
            </w:r>
          </w:p>
        </w:tc>
      </w:tr>
      <w:tr>
        <w:trPr>
          <w:cantSplit w:val="true"/>
        </w:trPr>
        <w:tc>
          <w:tcPr>
            <w:tcW w:type="dxa" w:w="1322"/>
          </w:tcPr>
          <w:p>
            <w:pPr>
              <w:spacing w:before="20" w:after="20" w:line="240" w:lineRule="auto"/>
            </w:pPr>
            <w:r>
              <w:rPr>
                <w:b/>
                <w:sz w:val="16"/>
              </w:rPr>
              <w:t>EX01 as asked</w:t>
            </w:r>
            <w:r>
              <w:rPr>
                <w:sz w:val="16"/>
              </w:rPr>
              <w:t xml:space="preserve"> (1.2% early pay, 60-day terms, rebate), no new funding</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¥164,960 (day 60)</w:t>
            </w:r>
          </w:p>
        </w:tc>
        <w:tc>
          <w:tcPr>
            <w:tcW w:type="dxa" w:w="899"/>
          </w:tcPr>
          <w:p>
            <w:pPr>
              <w:spacing w:before="20" w:after="20" w:line="240" w:lineRule="auto"/>
            </w:pPr>
            <w:r>
              <w:rPr>
                <w:sz w:val="16"/>
              </w:rPr>
              <w:t xml:space="preserve">first day 47, ¥90,040 short; worst day 60, </w:t>
            </w:r>
            <w:r>
              <w:rPr>
                <w:b/>
                <w:sz w:val="16"/>
              </w:rPr>
              <w:t>¥135,040</w:t>
            </w:r>
            <w:r>
              <w:rPr>
                <w:sz w:val="16"/>
              </w:rPr>
              <w:t xml:space="preserve"> short; 15 days</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w:t>
            </w:r>
          </w:p>
        </w:tc>
        <w:tc>
          <w:tcPr>
            <w:tcW w:type="dxa" w:w="1153"/>
          </w:tcPr>
          <w:p>
            <w:pPr>
              <w:spacing w:before="20" w:after="20" w:line="240" w:lineRule="auto"/>
            </w:pPr>
            <w:r>
              <w:rPr>
                <w:b/>
                <w:sz w:val="16"/>
              </w:rPr>
              <w:t>¥28,326.92</w:t>
            </w:r>
            <w:r>
              <w:rPr>
                <w:sz w:val="16"/>
              </w:rPr>
              <w:t xml:space="preserve"> (terms ¥24,326.92 + rebate ¥4,000), against a ¥5,000 cap</w:t>
            </w:r>
          </w:p>
        </w:tc>
        <w:tc>
          <w:tcPr>
            <w:tcW w:type="dxa" w:w="815"/>
          </w:tcPr>
          <w:p>
            <w:pPr>
              <w:spacing w:before="20" w:after="20" w:line="240" w:lineRule="auto"/>
            </w:pPr>
            <w:r>
              <w:rPr>
                <w:sz w:val="16"/>
              </w:rPr>
              <w:t>—</w:t>
            </w:r>
          </w:p>
        </w:tc>
        <w:tc>
          <w:tcPr>
            <w:tcW w:type="dxa" w:w="1153"/>
          </w:tcPr>
          <w:p>
            <w:pPr>
              <w:spacing w:before="20" w:after="20" w:line="240" w:lineRule="auto"/>
            </w:pPr>
            <w:r>
              <w:rPr>
                <w:b/>
                <w:sz w:val="16"/>
              </w:rPr>
              <w:t>Rejected</w:t>
            </w:r>
            <w:r>
              <w:rPr>
                <w:sz w:val="16"/>
              </w:rPr>
              <w:t>: concession cap, reserve, above break-even, dearer than the plan</w:t>
            </w:r>
          </w:p>
        </w:tc>
      </w:tr>
      <w:tr>
        <w:trPr>
          <w:cantSplit w:val="true"/>
        </w:trPr>
        <w:tc>
          <w:tcPr>
            <w:tcW w:type="dxa" w:w="1322"/>
          </w:tcPr>
          <w:p>
            <w:pPr>
              <w:spacing w:before="20" w:after="20" w:line="240" w:lineRule="auto"/>
            </w:pPr>
            <w:r>
              <w:rPr>
                <w:sz w:val="16"/>
              </w:rPr>
              <w:t>EX01 + its cheapest cure</w:t>
            </w:r>
          </w:p>
        </w:tc>
        <w:tc>
          <w:tcPr>
            <w:tcW w:type="dxa" w:w="1068"/>
          </w:tcPr>
          <w:p>
            <w:pPr>
              <w:spacing w:before="20" w:after="20" w:line="240" w:lineRule="auto"/>
            </w:pPr>
            <w:r>
              <w:rPr>
                <w:sz w:val="16"/>
              </w:rPr>
              <w:t>invoice financing ¥135,040 on an invoice issued on day 32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¥2,406.67</w:t>
            </w:r>
          </w:p>
        </w:tc>
        <w:tc>
          <w:tcPr>
            <w:tcW w:type="dxa" w:w="1153"/>
          </w:tcPr>
          <w:p>
            <w:pPr>
              <w:spacing w:before="20" w:after="20" w:line="240" w:lineRule="auto"/>
            </w:pPr>
            <w:r>
              <w:rPr>
                <w:sz w:val="16"/>
              </w:rPr>
              <w:t>¥28,326.92</w:t>
            </w:r>
          </w:p>
        </w:tc>
        <w:tc>
          <w:tcPr>
            <w:tcW w:type="dxa" w:w="815"/>
          </w:tcPr>
          <w:p>
            <w:pPr>
              <w:spacing w:before="20" w:after="20" w:line="240" w:lineRule="auto"/>
            </w:pPr>
            <w:r>
              <w:rPr>
                <w:b/>
                <w:sz w:val="16"/>
              </w:rPr>
              <w:t>no</w:t>
            </w:r>
            <w:r>
              <w:rPr>
                <w:sz w:val="16"/>
              </w:rPr>
              <w:t>: the invoice does not exist yet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EX01 + the plan that can run</w:t>
            </w:r>
          </w:p>
        </w:tc>
        <w:tc>
          <w:tcPr>
            <w:tcW w:type="dxa" w:w="1068"/>
          </w:tcPr>
          <w:p>
            <w:pPr>
              <w:spacing w:before="20" w:after="20" w:line="240" w:lineRule="auto"/>
            </w:pPr>
            <w:r>
              <w:rPr>
                <w:sz w:val="16"/>
              </w:rPr>
              <w:t>credit line ¥135,040, repaid day 62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¥1,468.05</w:t>
            </w:r>
          </w:p>
        </w:tc>
        <w:tc>
          <w:tcPr>
            <w:tcW w:type="dxa" w:w="1153"/>
          </w:tcPr>
          <w:p>
            <w:pPr>
              <w:spacing w:before="20" w:after="20" w:line="240" w:lineRule="auto"/>
            </w:pPr>
            <w:r>
              <w:rPr>
                <w:sz w:val="16"/>
              </w:rPr>
              <w:t>¥28,326.92</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Early-payment test inside the verdict</w:t>
            </w:r>
          </w:p>
        </w:tc>
        <w:tc>
          <w:tcPr>
            <w:tcW w:type="dxa" w:w="1068"/>
          </w:tcPr>
          <w:p>
            <w:pPr>
              <w:spacing w:before="20" w:after="20" w:line="240" w:lineRule="auto"/>
            </w:pPr>
            <w:r>
              <w:rPr>
                <w:sz w:val="16"/>
              </w:rPr>
              <w:t>with the early payment: ¥6,508.05; without it (same terms): ¥3,873.58</w:t>
            </w:r>
          </w:p>
        </w:tc>
        <w:tc>
          <w:tcPr>
            <w:tcW w:type="dxa" w:w="984"/>
          </w:tcPr>
          <w:p>
            <w:pPr>
              <w:spacing w:before="20" w:after="20" w:line="240" w:lineRule="auto"/>
            </w:pPr>
            <w:r>
              <w:rPr>
                <w:sz w:val="16"/>
              </w:rPr>
              <w:t>—</w:t>
            </w:r>
          </w:p>
        </w:tc>
        <w:tc>
          <w:tcPr>
            <w:tcW w:type="dxa" w:w="899"/>
          </w:tcPr>
          <w:p>
            <w:pPr>
              <w:spacing w:before="20" w:after="20" w:line="240" w:lineRule="auto"/>
            </w:pPr>
            <w:r>
              <w:rPr>
                <w:sz w:val="16"/>
              </w:rPr>
              <w:t>—</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w:t>
            </w:r>
          </w:p>
        </w:tc>
        <w:tc>
          <w:tcPr>
            <w:tcW w:type="dxa" w:w="815"/>
          </w:tcPr>
          <w:p>
            <w:pPr>
              <w:spacing w:before="20" w:after="20" w:line="240" w:lineRule="auto"/>
            </w:pPr>
            <w:r>
              <w:rPr>
                <w:sz w:val="16"/>
              </w:rPr>
              <w:t>—</w:t>
            </w:r>
          </w:p>
        </w:tc>
        <w:tc>
          <w:tcPr>
            <w:tcW w:type="dxa" w:w="1153"/>
          </w:tcPr>
          <w:p>
            <w:pPr>
              <w:spacing w:before="20" w:after="20" w:line="240" w:lineRule="auto"/>
            </w:pPr>
            <w:r>
              <w:rPr>
                <w:sz w:val="16"/>
              </w:rPr>
              <w:t>the early payment is dearer, so countered</w:t>
            </w:r>
          </w:p>
        </w:tc>
      </w:tr>
      <w:tr>
        <w:trPr>
          <w:cantSplit w:val="true"/>
        </w:trPr>
        <w:tc>
          <w:tcPr>
            <w:tcW w:type="dxa" w:w="1322"/>
          </w:tcPr>
          <w:p>
            <w:pPr>
              <w:spacing w:before="20" w:after="20" w:line="240" w:lineRule="auto"/>
            </w:pPr>
            <w:r>
              <w:rPr>
                <w:b/>
                <w:sz w:val="16"/>
              </w:rPr>
              <w:t>Option A</w:t>
            </w:r>
            <w:r>
              <w:rPr>
                <w:sz w:val="16"/>
              </w:rPr>
              <w:t xml:space="preserve"> (FLOW's counter)</w:t>
            </w:r>
          </w:p>
        </w:tc>
        <w:tc>
          <w:tcPr>
            <w:tcW w:type="dxa" w:w="1068"/>
          </w:tcPr>
          <w:p>
            <w:pPr>
              <w:spacing w:before="20" w:after="20" w:line="240" w:lineRule="auto"/>
            </w:pPr>
            <w:r>
              <w:rPr>
                <w:sz w:val="16"/>
              </w:rPr>
              <w:t>credit line ¥147,210</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¥2,210.00 on ¥260,000 at 0.85%</w:t>
            </w:r>
          </w:p>
        </w:tc>
        <w:tc>
          <w:tcPr>
            <w:tcW w:type="dxa" w:w="984"/>
          </w:tcPr>
          <w:p>
            <w:pPr>
              <w:spacing w:before="20" w:after="20" w:line="240" w:lineRule="auto"/>
            </w:pPr>
            <w:r>
              <w:rPr>
                <w:sz w:val="16"/>
              </w:rPr>
              <w:t xml:space="preserve">¥825.99; total </w:t>
            </w:r>
            <w:r>
              <w:rPr>
                <w:b/>
                <w:sz w:val="16"/>
              </w:rPr>
              <w:t>¥3,035.99</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b/>
                <w:sz w:val="16"/>
              </w:rPr>
              <w:t>Accept, Tier 1</w:t>
            </w:r>
          </w:p>
        </w:tc>
      </w:tr>
      <w:tr>
        <w:trPr>
          <w:cantSplit w:val="true"/>
        </w:trPr>
        <w:tc>
          <w:tcPr>
            <w:tcW w:type="dxa" w:w="1322"/>
          </w:tcPr>
          <w:p>
            <w:pPr>
              <w:spacing w:before="20" w:after="20" w:line="240" w:lineRule="auto"/>
            </w:pPr>
            <w:r>
              <w:rPr>
                <w:sz w:val="16"/>
              </w:rPr>
              <w:t>Option B (FLOW's counter)</w:t>
            </w:r>
          </w:p>
        </w:tc>
        <w:tc>
          <w:tcPr>
            <w:tcW w:type="dxa" w:w="1068"/>
          </w:tcPr>
          <w:p>
            <w:pPr>
              <w:spacing w:before="20" w:after="20" w:line="240" w:lineRule="auto"/>
            </w:pPr>
            <w:r>
              <w:rPr>
                <w:sz w:val="16"/>
              </w:rPr>
              <w:t>—</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55 days + 0.30% price rise ≈ ¥0 net over 12 months</w:t>
            </w:r>
          </w:p>
        </w:tc>
        <w:tc>
          <w:tcPr>
            <w:tcW w:type="dxa" w:w="815"/>
          </w:tcPr>
          <w:p>
            <w:pPr>
              <w:spacing w:before="20" w:after="20" w:line="240" w:lineRule="auto"/>
            </w:pPr>
            <w:r>
              <w:rPr>
                <w:sz w:val="16"/>
              </w:rPr>
              <w:t>—</w:t>
            </w:r>
          </w:p>
        </w:tc>
        <w:tc>
          <w:tcPr>
            <w:tcW w:type="dxa" w:w="1153"/>
          </w:tcPr>
          <w:p>
            <w:pPr>
              <w:spacing w:before="20" w:after="20" w:line="240" w:lineRule="auto"/>
            </w:pPr>
            <w:r>
              <w:rPr>
                <w:sz w:val="16"/>
              </w:rPr>
              <w:t>needs the owner (terms lengthen)</w:t>
            </w:r>
          </w:p>
        </w:tc>
      </w:tr>
    </w:tbl>
    <w:p>
      <w:pPr>
        <w:spacing w:after="40"/>
      </w:pPr>
    </w:p>
    <w:p>
      <w:pPr>
        <w:spacing w:before="0" w:after="60" w:line="259" w:lineRule="auto"/>
      </w:pPr>
      <w:r>
        <w:rPr>
          <w:b/>
          <w:sz w:val="20"/>
        </w:rPr>
        <w:t>6. Counters.</w:t>
      </w:r>
    </w:p>
    <w:p>
      <w:pPr>
        <w:pStyle w:val="ListBullet2"/>
        <w:tabs>
          <w:tab w:pos="792" w:val="left"/>
        </w:tabs>
        <w:spacing w:before="0" w:after="60" w:line="259" w:lineRule="auto"/>
        <w:ind w:left="792" w:hanging="288"/>
      </w:pPr>
      <w:r>
        <w:rPr>
          <w:b/>
          <w:sz w:val="20"/>
        </w:rPr>
        <w:t>Option A, early payment.</w:t>
      </w:r>
    </w:p>
    <w:p>
      <w:pPr>
        <w:pStyle w:val="ListBullet3"/>
        <w:tabs>
          <w:tab w:pos="1152" w:val="left"/>
        </w:tabs>
        <w:spacing w:before="0" w:after="60" w:line="259" w:lineRule="auto"/>
        <w:ind w:left="1152" w:hanging="288"/>
      </w:pPr>
      <w:r>
        <w:rPr>
          <w:b/>
          <w:sz w:val="20"/>
        </w:rPr>
        <w:t>Rate:</w:t>
      </w:r>
      <w:r>
        <w:rPr>
          <w:sz w:val="20"/>
        </w:rPr>
        <w:t xml:space="preserve"> the largest whole-5-basis-point rate below break-even, here 0.85%.</w:t>
      </w:r>
    </w:p>
    <w:p>
      <w:pPr>
        <w:pStyle w:val="ListBullet3"/>
        <w:tabs>
          <w:tab w:pos="1152" w:val="left"/>
        </w:tabs>
        <w:spacing w:before="0" w:after="60" w:line="259" w:lineRule="auto"/>
        <w:ind w:left="1152" w:hanging="288"/>
      </w:pPr>
      <w:r>
        <w:rPr>
          <w:b/>
          <w:sz w:val="20"/>
        </w:rPr>
        <w:t>Amount:</w:t>
      </w:r>
      <w:r>
        <w:rPr>
          <w:sz w:val="20"/>
        </w:rPr>
        <w:t xml:space="preserve"> the cash needed, grossed up and rounded </w:t>
      </w:r>
      <w:r>
        <w:rPr>
          <w:b/>
          <w:sz w:val="20"/>
        </w:rPr>
        <w:t>up</w:t>
      </w:r>
      <w:r>
        <w:rPr>
          <w:sz w:val="20"/>
        </w:rPr>
        <w:t xml:space="preserve"> to a whole ¥10,000, here ¥260,000. Rounding stops a buyer reading FLOW's exact gap from the counter (R-10).</w:t>
      </w:r>
    </w:p>
    <w:p>
      <w:pPr>
        <w:pStyle w:val="ListBullet3"/>
        <w:tabs>
          <w:tab w:pos="1152" w:val="left"/>
        </w:tabs>
        <w:spacing w:before="0" w:after="60" w:line="259" w:lineRule="auto"/>
        <w:ind w:left="1152" w:hanging="288"/>
      </w:pPr>
      <w:r>
        <w:rPr>
          <w:b/>
          <w:sz w:val="20"/>
        </w:rPr>
        <w:t>Cost:</w:t>
      </w:r>
      <w:r>
        <w:rPr>
          <w:sz w:val="20"/>
        </w:rPr>
        <w:t xml:space="preserve"> ¥3,035.99, below the ¥3,113.93 standing plan. Tests show that it passes its own re-evaluation, stays within every mandate limit and binds to a commitment with the same terms hash.</w:t>
      </w:r>
    </w:p>
    <w:p>
      <w:pPr>
        <w:pStyle w:val="ListBullet2"/>
        <w:tabs>
          <w:tab w:pos="792" w:val="left"/>
        </w:tabs>
        <w:spacing w:before="0" w:after="60" w:line="259" w:lineRule="auto"/>
        <w:ind w:left="792" w:hanging="288"/>
      </w:pPr>
      <w:r>
        <w:rPr>
          <w:b/>
          <w:sz w:val="20"/>
        </w:rPr>
        <w:t>Option B, terms.</w:t>
      </w:r>
      <w:r>
        <w:rPr>
          <w:sz w:val="20"/>
        </w:rPr>
        <w:t xml:space="preserve"> Longer terms with the smallest price rise that covers the funding cost.</w:t>
      </w:r>
    </w:p>
    <w:p>
      <w:pPr>
        <w:pStyle w:val="ListBullet3"/>
        <w:tabs>
          <w:tab w:pos="1152" w:val="left"/>
        </w:tabs>
        <w:spacing w:before="0" w:after="60" w:line="259" w:lineRule="auto"/>
        <w:ind w:left="1152" w:hanging="288"/>
      </w:pPr>
      <w:r>
        <w:rPr>
          <w:sz w:val="20"/>
        </w:rPr>
        <w:t>Every counter is re-evaluated as an offer on the same books, so FLOW offers 55 days, not 60. At 60 days, a later invoice would land after a loan payment with no committed cure.</w:t>
      </w:r>
    </w:p>
    <w:p>
      <w:pPr>
        <w:pStyle w:val="ListBullet3"/>
        <w:tabs>
          <w:tab w:pos="1152" w:val="left"/>
        </w:tabs>
        <w:spacing w:before="0" w:after="60" w:line="259" w:lineRule="auto"/>
        <w:ind w:left="1152" w:hanging="288"/>
      </w:pPr>
      <w:r>
        <w:rPr>
          <w:sz w:val="20"/>
        </w:rPr>
        <w:t>Outbound text is filled from an approved template, and the outbound guard checks it.</w:t>
      </w:r>
    </w:p>
    <w:p>
      <w:pPr>
        <w:pStyle w:val="ListBullet2"/>
        <w:tabs>
          <w:tab w:pos="792" w:val="left"/>
        </w:tabs>
        <w:spacing w:before="0" w:after="60" w:line="259" w:lineRule="auto"/>
        <w:ind w:left="792" w:hanging="288"/>
      </w:pPr>
      <w:r>
        <w:rPr>
          <w:b/>
          <w:sz w:val="20"/>
        </w:rPr>
        <w:t>Option A's saving over the standing plan is modest</w:t>
      </w:r>
      <w:r>
        <w:rPr>
          <w:sz w:val="20"/>
        </w:rPr>
        <w:t xml:space="preserve"> (¥77.94). Its real value is that the supplier gets the cash it needs without the ¥28,326.92 of future promises the buyer asked for.</w:t>
      </w:r>
    </w:p>
    <w:p>
      <w:pPr>
        <w:spacing w:before="0" w:after="60" w:line="259" w:lineRule="auto"/>
      </w:pPr>
      <w:r>
        <w:rPr>
          <w:b/>
          <w:sz w:val="20"/>
        </w:rPr>
        <w:t>7. Simulated buyer.</w:t>
      </w:r>
      <w:r>
        <w:rPr>
          <w:sz w:val="20"/>
        </w:rPr>
        <w:t xml:space="preserve"> The buyer kernel works out its own surplus from a package: the discount, rebate and extra days, less its cost of paying early and any price rise.</w:t>
      </w:r>
    </w:p>
    <w:p>
      <w:pPr>
        <w:pStyle w:val="ListBullet2"/>
        <w:tabs>
          <w:tab w:pos="792" w:val="left"/>
        </w:tabs>
        <w:spacing w:before="0" w:after="60" w:line="259" w:lineRule="auto"/>
        <w:ind w:left="792" w:hanging="288"/>
      </w:pPr>
      <w:r>
        <w:rPr>
          <w:sz w:val="20"/>
        </w:rPr>
        <w:t>It accepts when the surplus reaches its hidden reservation.</w:t>
      </w:r>
    </w:p>
    <w:p>
      <w:pPr>
        <w:pStyle w:val="ListBullet2"/>
        <w:tabs>
          <w:tab w:pos="792" w:val="left"/>
        </w:tabs>
        <w:spacing w:before="0" w:after="60" w:line="259" w:lineRule="auto"/>
        <w:ind w:left="792" w:hanging="288"/>
      </w:pPr>
      <w:r>
        <w:rPr>
          <w:sz w:val="20"/>
        </w:rPr>
        <w:t>Otherwise it counters one step toward that reservation.</w:t>
      </w:r>
    </w:p>
    <w:p>
      <w:pPr>
        <w:pStyle w:val="ListBullet2"/>
        <w:tabs>
          <w:tab w:pos="792" w:val="left"/>
        </w:tabs>
        <w:spacing w:before="0" w:after="60" w:line="259" w:lineRule="auto"/>
        <w:ind w:left="792" w:hanging="288"/>
      </w:pPr>
      <w:r>
        <w:rPr>
          <w:sz w:val="20"/>
        </w:rPr>
        <w:t>In its last round it refuses.</w:t>
      </w:r>
    </w:p>
    <w:p>
      <w:pPr>
        <w:spacing w:before="0" w:after="60" w:line="259" w:lineRule="auto"/>
      </w:pPr>
      <w:r>
        <w:rPr>
          <w:sz w:val="20"/>
        </w:rPr>
        <w:t>With a hard-line reservation, the demo ends in NO DEAL within three rounds, and the router still covers the gap for ¥3,113.93.</w:t>
      </w:r>
    </w:p>
    <w:p>
      <w:pPr>
        <w:spacing w:before="0" w:after="60" w:line="259" w:lineRule="auto"/>
      </w:pPr>
      <w:r>
        <w:rPr>
          <w:b/>
          <w:sz w:val="20"/>
        </w:rPr>
        <w:t>8. Capex screening.</w:t>
      </w:r>
      <w:r>
        <w:rPr>
          <w:sz w:val="20"/>
        </w:rPr>
        <w:t xml:space="preserve"> For an owner's planned machine purchase, FLOW screens each financing structure for daily liquidity and monthly covenants:</w:t>
      </w:r>
    </w:p>
    <w:p>
      <w:pPr>
        <w:pStyle w:val="ListBullet2"/>
        <w:tabs>
          <w:tab w:pos="792" w:val="left"/>
        </w:tabs>
        <w:spacing w:before="0" w:after="60" w:line="259" w:lineRule="auto"/>
        <w:ind w:left="792" w:hanging="288"/>
      </w:pPr>
      <w:r>
        <w:rPr>
          <w:sz w:val="20"/>
        </w:rPr>
        <w:t>cash with the line;</w:t>
      </w:r>
    </w:p>
    <w:p>
      <w:pPr>
        <w:pStyle w:val="ListBullet2"/>
        <w:tabs>
          <w:tab w:pos="792" w:val="left"/>
        </w:tabs>
        <w:spacing w:before="0" w:after="60" w:line="259" w:lineRule="auto"/>
        <w:ind w:left="792" w:hanging="288"/>
      </w:pPr>
      <w:r>
        <w:rPr>
          <w:sz w:val="20"/>
        </w:rPr>
        <w:t>an 18-month loan;</w:t>
      </w:r>
    </w:p>
    <w:p>
      <w:pPr>
        <w:pStyle w:val="ListBullet2"/>
        <w:tabs>
          <w:tab w:pos="792" w:val="left"/>
        </w:tabs>
        <w:spacing w:before="0" w:after="60" w:line="259" w:lineRule="auto"/>
        <w:ind w:left="792" w:hanging="288"/>
      </w:pPr>
      <w:r>
        <w:rPr>
          <w:sz w:val="20"/>
        </w:rPr>
        <w:t>a 36-month loan;</w:t>
      </w:r>
    </w:p>
    <w:p>
      <w:pPr>
        <w:pStyle w:val="ListBullet2"/>
        <w:tabs>
          <w:tab w:pos="792" w:val="left"/>
        </w:tabs>
        <w:spacing w:before="0" w:after="60" w:line="259" w:lineRule="auto"/>
        <w:ind w:left="792" w:hanging="288"/>
      </w:pPr>
      <w:r>
        <w:rPr>
          <w:sz w:val="20"/>
        </w:rPr>
        <w:t>a 48-month lease.</w:t>
      </w:r>
    </w:p>
    <w:p>
      <w:pPr>
        <w:spacing w:before="0" w:after="60" w:line="259" w:lineRule="auto"/>
      </w:pPr>
      <w:r>
        <w:rPr>
          <w:sz w:val="20"/>
        </w:rPr>
        <w:t>It ranks the feasible structures by total financing charges. On the synthetic ¥600,000 machine it selects the lease (¥92,327.32 of charges). The 36-month loan is cheaper (¥53,206.14) but leaves cash ¥3,144.62 below the reserve for three days.</w:t>
      </w:r>
    </w:p>
    <w:p>
      <w:pPr>
        <w:spacing w:before="0"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cost about </w:t>
      </w:r>
      <w:r>
        <w:rPr>
          <w:b/>
          <w:sz w:val="20"/>
        </w:rPr>
        <w:t>¥39,000 less</w:t>
      </w:r>
      <w:r>
        <w:rPr>
          <w:sz w:val="20"/>
        </w:rPr>
        <w:t xml:space="preserve"> than the lease, but FLOW does not try that combination today. So the selection is the best </w:t>
      </w:r>
      <w:r>
        <w:rPr>
          <w:i/>
          <w:sz w:val="20"/>
        </w:rPr>
        <w:t>standalone</w:t>
      </w:r>
      <w:r>
        <w:rPr>
          <w:sz w:val="20"/>
        </w:rPr>
        <w:t xml:space="preserve"> structure, and combined structures are on our roadmap. Applying for financing is a separate owner step that queues one Tier-2 application. The owner's approval records a simulated pending facility, which counts as zero until a lender commits.</w:t>
      </w:r>
    </w:p>
    <w:p>
      <w:pPr>
        <w:spacing w:before="0" w:after="60" w:line="259" w:lineRule="auto"/>
      </w:pPr>
      <w:r>
        <w:rPr>
          <w:b/>
          <w:sz w:val="20"/>
        </w:rPr>
        <w:t>Evaluation approach.</w:t>
      </w:r>
      <w:r>
        <w:rPr>
          <w:sz w:val="20"/>
        </w:rPr>
        <w:t xml:space="preserve"> We evaluate on three levels:</w:t>
      </w:r>
    </w:p>
    <w:p>
      <w:pPr>
        <w:pStyle w:val="ListBullet2"/>
        <w:tabs>
          <w:tab w:pos="792" w:val="left"/>
        </w:tabs>
        <w:spacing w:before="0" w:after="60" w:line="259" w:lineRule="auto"/>
        <w:ind w:left="792" w:hanging="288"/>
      </w:pPr>
      <w:r>
        <w:rPr>
          <w:b/>
          <w:sz w:val="20"/>
        </w:rPr>
        <w:t>The engine against an independent oracle and a brute force.</w:t>
      </w:r>
    </w:p>
    <w:p>
      <w:pPr>
        <w:pStyle w:val="ListBullet2"/>
        <w:tabs>
          <w:tab w:pos="792" w:val="left"/>
        </w:tabs>
        <w:spacing w:before="0" w:after="60" w:line="259" w:lineRule="auto"/>
        <w:ind w:left="792" w:hanging="288"/>
      </w:pPr>
      <w:r>
        <w:rPr>
          <w:b/>
          <w:sz w:val="20"/>
        </w:rPr>
        <w:t>The compiler on messages its authors had not seen.</w:t>
      </w:r>
    </w:p>
    <w:p>
      <w:pPr>
        <w:pStyle w:val="ListBullet2"/>
        <w:tabs>
          <w:tab w:pos="792" w:val="left"/>
        </w:tabs>
        <w:spacing w:before="0" w:after="60" w:line="259" w:lineRule="auto"/>
        <w:ind w:left="792" w:hanging="288"/>
      </w:pPr>
      <w:r>
        <w:rPr>
          <w:b/>
          <w:sz w:val="20"/>
        </w:rPr>
        <w:t>The whole agent through scripted tasks and attacks.</w:t>
      </w:r>
    </w:p>
    <w:p>
      <w:pPr>
        <w:spacing w:before="0" w:after="60" w:line="259" w:lineRule="auto"/>
      </w:pPr>
      <w:r>
        <w:rPr>
          <w:sz w:val="20"/>
        </w:rPr>
        <w:t xml:space="preserve">One offline command regenerates the engine and agent figures in about 8 minutes: </w:t>
      </w:r>
      <w:r>
        <w:rPr>
          <w:rFonts w:ascii="Courier New" w:hAnsi="Courier New"/>
          <w:sz w:val="18"/>
        </w:rPr>
        <w:t>uv run --project services/api python scripts/evaluate.py</w:t>
      </w:r>
      <w:r>
        <w:rPr>
          <w:sz w:val="20"/>
        </w:rPr>
        <w:t>. Table 13 in section 05 lists every headline figure with its build, date and command.</w:t>
      </w:r>
    </w:p>
    <w:p>
      <w:pPr>
        <w:spacing w:before="0" w:after="60" w:line="259" w:lineRule="auto"/>
      </w:pPr>
      <w:r>
        <w:rPr>
          <w:b/>
          <w:sz w:val="20"/>
        </w:rPr>
        <w:t>Is FLOW safe, and is it useful? The autonomy funnel.</w:t>
      </w:r>
      <w:r>
        <w:rPr>
          <w:sz w:val="20"/>
        </w:rPr>
        <w:t xml:space="preserve"> "Zero unsafe accepts" alone could mean that FLOW sends everything to the owner. Table 7 shows both sides: how often FLOW was right to act alone, and how often it bothered the owner unnecessarily.</w:t>
      </w:r>
    </w:p>
    <w:p>
      <w:pPr>
        <w:spacing w:before="0" w:after="60" w:line="259" w:lineRule="auto"/>
      </w:pPr>
      <w:r>
        <w:rPr>
          <w:b/>
          <w:sz w:val="20"/>
        </w:rPr>
        <w:t>Table 7. Autonomy on two held-out sets of buyer messages (115 messages, rules path, 17 Oct 2026).</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6353"/>
            <w:shd w:val="clear" w:color="auto" w:fill="E8EEFB"/>
          </w:tcPr>
          <w:p>
            <w:pPr>
              <w:keepNext/>
              <w:spacing w:before="20" w:after="20" w:line="240" w:lineRule="auto"/>
            </w:pPr>
            <w:r>
              <w:rPr>
                <w:b/>
                <w:sz w:val="18"/>
              </w:rPr>
              <w:t>Step</w:t>
            </w:r>
          </w:p>
        </w:tc>
        <w:tc>
          <w:tcPr>
            <w:tcW w:type="dxa" w:w="1100"/>
            <w:shd w:val="clear" w:color="auto" w:fill="E8EEFB"/>
          </w:tcPr>
          <w:p>
            <w:pPr>
              <w:keepNext/>
              <w:spacing w:before="20" w:after="20" w:line="240" w:lineRule="auto"/>
            </w:pPr>
            <w:r>
              <w:rPr>
                <w:b/>
                <w:sz w:val="18"/>
              </w:rPr>
              <w:t>Held-out 3</w:t>
            </w:r>
          </w:p>
        </w:tc>
        <w:tc>
          <w:tcPr>
            <w:tcW w:type="dxa" w:w="1100"/>
            <w:shd w:val="clear" w:color="auto" w:fill="E8EEFB"/>
          </w:tcPr>
          <w:p>
            <w:pPr>
              <w:keepNext/>
              <w:spacing w:before="20" w:after="20" w:line="240" w:lineRule="auto"/>
            </w:pPr>
            <w:r>
              <w:rPr>
                <w:b/>
                <w:sz w:val="18"/>
              </w:rPr>
              <w:t>Held-out 2</w:t>
            </w:r>
          </w:p>
        </w:tc>
        <w:tc>
          <w:tcPr>
            <w:tcW w:type="dxa" w:w="807"/>
            <w:shd w:val="clear" w:color="auto" w:fill="E8EEFB"/>
          </w:tcPr>
          <w:p>
            <w:pPr>
              <w:keepNext/>
              <w:spacing w:before="20" w:after="20" w:line="240" w:lineRule="auto"/>
            </w:pPr>
            <w:r>
              <w:rPr>
                <w:b/>
                <w:sz w:val="18"/>
              </w:rPr>
              <w:t>Both</w:t>
            </w:r>
          </w:p>
        </w:tc>
      </w:tr>
      <w:tr>
        <w:trPr>
          <w:cantSplit w:val="true"/>
        </w:trPr>
        <w:tc>
          <w:tcPr>
            <w:tcW w:type="dxa" w:w="6353"/>
          </w:tcPr>
          <w:p>
            <w:pPr>
              <w:spacing w:before="20" w:after="20" w:line="240" w:lineRule="auto"/>
            </w:pPr>
            <w:r>
              <w:rPr>
                <w:sz w:val="18"/>
              </w:rPr>
              <w:t>Buyer messages</w:t>
            </w:r>
          </w:p>
        </w:tc>
        <w:tc>
          <w:tcPr>
            <w:tcW w:type="dxa" w:w="1100"/>
          </w:tcPr>
          <w:p>
            <w:pPr>
              <w:spacing w:before="20" w:after="20" w:line="240" w:lineRule="auto"/>
            </w:pPr>
            <w:r>
              <w:rPr>
                <w:sz w:val="18"/>
              </w:rPr>
              <w:t>66</w:t>
            </w:r>
          </w:p>
        </w:tc>
        <w:tc>
          <w:tcPr>
            <w:tcW w:type="dxa" w:w="1100"/>
          </w:tcPr>
          <w:p>
            <w:pPr>
              <w:spacing w:before="20" w:after="20" w:line="240" w:lineRule="auto"/>
            </w:pPr>
            <w:r>
              <w:rPr>
                <w:sz w:val="18"/>
              </w:rPr>
              <w:t>49</w:t>
            </w:r>
          </w:p>
        </w:tc>
        <w:tc>
          <w:tcPr>
            <w:tcW w:type="dxa" w:w="807"/>
          </w:tcPr>
          <w:p>
            <w:pPr>
              <w:spacing w:before="20" w:after="20" w:line="240" w:lineRule="auto"/>
            </w:pPr>
            <w:r>
              <w:rPr>
                <w:sz w:val="18"/>
              </w:rPr>
              <w:t>115</w:t>
            </w:r>
          </w:p>
        </w:tc>
      </w:tr>
      <w:tr>
        <w:trPr>
          <w:cantSplit w:val="true"/>
        </w:trPr>
        <w:tc>
          <w:tcPr>
            <w:tcW w:type="dxa" w:w="6353"/>
          </w:tcPr>
          <w:p>
            <w:pPr>
              <w:spacing w:before="20" w:after="20" w:line="240" w:lineRule="auto"/>
            </w:pPr>
            <w:r>
              <w:rPr>
                <w:sz w:val="18"/>
              </w:rPr>
              <w:t>Genuinely acceptable as asked today (pure early payment, cheaper than the plan)</w:t>
            </w:r>
          </w:p>
        </w:tc>
        <w:tc>
          <w:tcPr>
            <w:tcW w:type="dxa" w:w="1100"/>
          </w:tcPr>
          <w:p>
            <w:pPr>
              <w:spacing w:before="20" w:after="20" w:line="240" w:lineRule="auto"/>
            </w:pPr>
            <w:r>
              <w:rPr>
                <w:sz w:val="18"/>
              </w:rPr>
              <w:t>10</w:t>
            </w:r>
          </w:p>
        </w:tc>
        <w:tc>
          <w:tcPr>
            <w:tcW w:type="dxa" w:w="1100"/>
          </w:tcPr>
          <w:p>
            <w:pPr>
              <w:spacing w:before="20" w:after="20" w:line="240" w:lineRule="auto"/>
            </w:pPr>
            <w:r>
              <w:rPr>
                <w:sz w:val="18"/>
              </w:rPr>
              <w:t>4</w:t>
            </w:r>
          </w:p>
        </w:tc>
        <w:tc>
          <w:tcPr>
            <w:tcW w:type="dxa" w:w="807"/>
          </w:tcPr>
          <w:p>
            <w:pPr>
              <w:spacing w:before="20" w:after="20" w:line="240" w:lineRule="auto"/>
            </w:pPr>
            <w:r>
              <w:rPr>
                <w:b/>
                <w:sz w:val="18"/>
              </w:rPr>
              <w:t>14</w:t>
            </w:r>
          </w:p>
        </w:tc>
      </w:tr>
      <w:tr>
        <w:trPr>
          <w:cantSplit w:val="true"/>
        </w:trPr>
        <w:tc>
          <w:tcPr>
            <w:tcW w:type="dxa" w:w="6353"/>
          </w:tcPr>
          <w:p>
            <w:pPr>
              <w:spacing w:before="20" w:after="20" w:line="240" w:lineRule="auto"/>
            </w:pPr>
            <w:r>
              <w:rPr>
                <w:sz w:val="18"/>
              </w:rPr>
              <w:t>… handled by FLOW alone, correctly</w:t>
            </w:r>
          </w:p>
        </w:tc>
        <w:tc>
          <w:tcPr>
            <w:tcW w:type="dxa" w:w="1100"/>
          </w:tcPr>
          <w:p>
            <w:pPr>
              <w:spacing w:before="20" w:after="20" w:line="240" w:lineRule="auto"/>
            </w:pPr>
            <w:r>
              <w:rPr>
                <w:sz w:val="18"/>
              </w:rPr>
              <w:t>1</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3</w:t>
            </w:r>
          </w:p>
        </w:tc>
      </w:tr>
      <w:tr>
        <w:trPr>
          <w:cantSplit w:val="true"/>
        </w:trPr>
        <w:tc>
          <w:tcPr>
            <w:tcW w:type="dxa" w:w="6353"/>
          </w:tcPr>
          <w:p>
            <w:pPr>
              <w:spacing w:before="20" w:after="20" w:line="240" w:lineRule="auto"/>
            </w:pPr>
            <w:r>
              <w:rPr>
                <w:sz w:val="18"/>
              </w:rPr>
              <w:t>… sent to the owner unnecessarily</w:t>
            </w:r>
          </w:p>
        </w:tc>
        <w:tc>
          <w:tcPr>
            <w:tcW w:type="dxa" w:w="1100"/>
          </w:tcPr>
          <w:p>
            <w:pPr>
              <w:spacing w:before="20" w:after="20" w:line="240" w:lineRule="auto"/>
            </w:pPr>
            <w:r>
              <w:rPr>
                <w:sz w:val="18"/>
              </w:rPr>
              <w:t>9</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11</w:t>
            </w:r>
          </w:p>
        </w:tc>
      </w:tr>
      <w:tr>
        <w:trPr>
          <w:cantSplit w:val="true"/>
        </w:trPr>
        <w:tc>
          <w:tcPr>
            <w:tcW w:type="dxa" w:w="6353"/>
          </w:tcPr>
          <w:p>
            <w:pPr>
              <w:spacing w:before="20" w:after="20" w:line="240" w:lineRule="auto"/>
            </w:pPr>
            <w:r>
              <w:rPr>
                <w:sz w:val="18"/>
              </w:rPr>
              <w:t>Not acceptable, and FLOW answered alone (counter or reject at Tier 1)</w:t>
            </w:r>
          </w:p>
        </w:tc>
        <w:tc>
          <w:tcPr>
            <w:tcW w:type="dxa" w:w="1100"/>
          </w:tcPr>
          <w:p>
            <w:pPr>
              <w:spacing w:before="20" w:after="20" w:line="240" w:lineRule="auto"/>
            </w:pPr>
            <w:r>
              <w:rPr>
                <w:sz w:val="18"/>
              </w:rPr>
              <w:t>29</w:t>
            </w:r>
          </w:p>
        </w:tc>
        <w:tc>
          <w:tcPr>
            <w:tcW w:type="dxa" w:w="1100"/>
          </w:tcPr>
          <w:p>
            <w:pPr>
              <w:spacing w:before="20" w:after="20" w:line="240" w:lineRule="auto"/>
            </w:pPr>
            <w:r>
              <w:rPr>
                <w:sz w:val="18"/>
              </w:rPr>
              <w:t>25</w:t>
            </w:r>
          </w:p>
        </w:tc>
        <w:tc>
          <w:tcPr>
            <w:tcW w:type="dxa" w:w="807"/>
          </w:tcPr>
          <w:p>
            <w:pPr>
              <w:spacing w:before="20" w:after="20" w:line="240" w:lineRule="auto"/>
            </w:pPr>
            <w:r>
              <w:rPr>
                <w:sz w:val="18"/>
              </w:rPr>
              <w:t>54</w:t>
            </w:r>
          </w:p>
        </w:tc>
      </w:tr>
      <w:tr>
        <w:trPr>
          <w:cantSplit w:val="true"/>
        </w:trPr>
        <w:tc>
          <w:tcPr>
            <w:tcW w:type="dxa" w:w="6353"/>
          </w:tcPr>
          <w:p>
            <w:pPr>
              <w:spacing w:before="20" w:after="20" w:line="240" w:lineRule="auto"/>
            </w:pPr>
            <w:r>
              <w:rPr>
                <w:sz w:val="18"/>
              </w:rPr>
              <w:t>Not acceptable, and FLOW asked the owner (correctly)</w:t>
            </w:r>
          </w:p>
        </w:tc>
        <w:tc>
          <w:tcPr>
            <w:tcW w:type="dxa" w:w="1100"/>
          </w:tcPr>
          <w:p>
            <w:pPr>
              <w:spacing w:before="20" w:after="20" w:line="240" w:lineRule="auto"/>
            </w:pPr>
            <w:r>
              <w:rPr>
                <w:sz w:val="18"/>
              </w:rPr>
              <w:t>27</w:t>
            </w:r>
          </w:p>
        </w:tc>
        <w:tc>
          <w:tcPr>
            <w:tcW w:type="dxa" w:w="1100"/>
          </w:tcPr>
          <w:p>
            <w:pPr>
              <w:spacing w:before="20" w:after="20" w:line="240" w:lineRule="auto"/>
            </w:pPr>
            <w:r>
              <w:rPr>
                <w:sz w:val="18"/>
              </w:rPr>
              <w:t>20</w:t>
            </w:r>
          </w:p>
        </w:tc>
        <w:tc>
          <w:tcPr>
            <w:tcW w:type="dxa" w:w="807"/>
          </w:tcPr>
          <w:p>
            <w:pPr>
              <w:spacing w:before="20" w:after="20" w:line="240" w:lineRule="auto"/>
            </w:pPr>
            <w:r>
              <w:rPr>
                <w:sz w:val="18"/>
              </w:rPr>
              <w:t>47</w:t>
            </w:r>
          </w:p>
        </w:tc>
      </w:tr>
      <w:tr>
        <w:trPr>
          <w:cantSplit w:val="true"/>
        </w:trPr>
        <w:tc>
          <w:tcPr>
            <w:tcW w:type="dxa" w:w="6353"/>
          </w:tcPr>
          <w:p>
            <w:pPr>
              <w:spacing w:before="20" w:after="20" w:line="240" w:lineRule="auto"/>
            </w:pPr>
            <w:r>
              <w:rPr>
                <w:b/>
                <w:sz w:val="18"/>
              </w:rPr>
              <w:t>Wrong autonomous accepts</w:t>
            </w:r>
          </w:p>
        </w:tc>
        <w:tc>
          <w:tcPr>
            <w:tcW w:type="dxa" w:w="1100"/>
          </w:tcPr>
          <w:p>
            <w:pPr>
              <w:spacing w:before="20" w:after="20" w:line="240" w:lineRule="auto"/>
            </w:pPr>
            <w:r>
              <w:rPr>
                <w:b/>
                <w:sz w:val="18"/>
              </w:rPr>
              <w:t>0</w:t>
            </w:r>
          </w:p>
        </w:tc>
        <w:tc>
          <w:tcPr>
            <w:tcW w:type="dxa" w:w="1100"/>
          </w:tcPr>
          <w:p>
            <w:pPr>
              <w:spacing w:before="20" w:after="20" w:line="240" w:lineRule="auto"/>
            </w:pPr>
            <w:r>
              <w:rPr>
                <w:b/>
                <w:sz w:val="18"/>
              </w:rPr>
              <w:t>0</w:t>
            </w:r>
          </w:p>
        </w:tc>
        <w:tc>
          <w:tcPr>
            <w:tcW w:type="dxa" w:w="807"/>
          </w:tcPr>
          <w:p>
            <w:pPr>
              <w:spacing w:before="20" w:after="20" w:line="240" w:lineRule="auto"/>
            </w:pPr>
            <w:r>
              <w:rPr>
                <w:b/>
                <w:sz w:val="18"/>
              </w:rPr>
              <w:t>0</w:t>
            </w:r>
          </w:p>
        </w:tc>
      </w:tr>
      <w:tr>
        <w:trPr>
          <w:cantSplit w:val="true"/>
        </w:trPr>
        <w:tc>
          <w:tcPr>
            <w:tcW w:type="dxa" w:w="6353"/>
          </w:tcPr>
          <w:p>
            <w:pPr>
              <w:spacing w:before="20" w:after="20" w:line="240" w:lineRule="auto"/>
            </w:pPr>
            <w:r>
              <w:rPr>
                <w:sz w:val="18"/>
              </w:rPr>
              <w:t>Owner interactions needed</w:t>
            </w:r>
          </w:p>
        </w:tc>
        <w:tc>
          <w:tcPr>
            <w:tcW w:type="dxa" w:w="1100"/>
          </w:tcPr>
          <w:p>
            <w:pPr>
              <w:spacing w:before="20" w:after="20" w:line="240" w:lineRule="auto"/>
            </w:pPr>
            <w:r>
              <w:rPr>
                <w:sz w:val="18"/>
              </w:rPr>
              <w:t>36</w:t>
            </w:r>
          </w:p>
        </w:tc>
        <w:tc>
          <w:tcPr>
            <w:tcW w:type="dxa" w:w="1100"/>
          </w:tcPr>
          <w:p>
            <w:pPr>
              <w:spacing w:before="20" w:after="20" w:line="240" w:lineRule="auto"/>
            </w:pPr>
            <w:r>
              <w:rPr>
                <w:sz w:val="18"/>
              </w:rPr>
              <w:t>22</w:t>
            </w:r>
          </w:p>
        </w:tc>
        <w:tc>
          <w:tcPr>
            <w:tcW w:type="dxa" w:w="807"/>
          </w:tcPr>
          <w:p>
            <w:pPr>
              <w:spacing w:before="20" w:after="20" w:line="240" w:lineRule="auto"/>
            </w:pPr>
            <w:r>
              <w:rPr>
                <w:sz w:val="18"/>
              </w:rPr>
              <w:t>58 (50%)</w:t>
            </w:r>
          </w:p>
        </w:tc>
      </w:tr>
    </w:tbl>
    <w:p>
      <w:pPr>
        <w:spacing w:after="40"/>
      </w:pPr>
    </w:p>
    <w:p>
      <w:pPr>
        <w:spacing w:before="0" w:after="60" w:line="259" w:lineRule="auto"/>
      </w:pPr>
      <w:r>
        <w:rPr>
          <w:b/>
          <w:sz w:val="20"/>
        </w:rPr>
        <w:t>What Table 7 shows.</w:t>
      </w:r>
    </w:p>
    <w:p>
      <w:pPr>
        <w:pStyle w:val="ListBullet2"/>
        <w:tabs>
          <w:tab w:pos="792" w:val="left"/>
        </w:tabs>
        <w:spacing w:before="0" w:after="60" w:line="259" w:lineRule="auto"/>
        <w:ind w:left="792" w:hanging="288"/>
      </w:pPr>
      <w:r>
        <w:rPr>
          <w:b/>
          <w:sz w:val="20"/>
        </w:rPr>
        <w:t>FLOW is safe.</w:t>
      </w:r>
      <w:r>
        <w:rPr>
          <w:sz w:val="20"/>
        </w:rPr>
        <w:t xml:space="preserve"> It never accepted a message it had misread.</w:t>
      </w:r>
    </w:p>
    <w:p>
      <w:pPr>
        <w:pStyle w:val="ListBullet2"/>
        <w:tabs>
          <w:tab w:pos="792" w:val="left"/>
        </w:tabs>
        <w:spacing w:before="0" w:after="60" w:line="259" w:lineRule="auto"/>
        <w:ind w:left="792" w:hanging="288"/>
      </w:pPr>
      <w:r>
        <w:rPr>
          <w:b/>
          <w:sz w:val="20"/>
        </w:rPr>
        <w:t>Most answers need no owner.</w:t>
      </w:r>
      <w:r>
        <w:rPr>
          <w:sz w:val="20"/>
        </w:rPr>
        <w:t xml:space="preserve"> It answers more than half of all messages on its own, mostly by countering or declining within the mandate.</w:t>
      </w:r>
    </w:p>
    <w:p>
      <w:pPr>
        <w:pStyle w:val="ListBullet2"/>
        <w:tabs>
          <w:tab w:pos="792" w:val="left"/>
        </w:tabs>
        <w:spacing w:before="0" w:after="60" w:line="259" w:lineRule="auto"/>
        <w:ind w:left="792" w:hanging="288"/>
      </w:pPr>
      <w:r>
        <w:rPr>
          <w:b/>
          <w:sz w:val="20"/>
        </w:rPr>
        <w:t>Coverage of good offers is low: 3 of 14.</w:t>
      </w:r>
      <w:r>
        <w:rPr>
          <w:sz w:val="20"/>
        </w:rPr>
        <w:t xml:space="preserve"> Ten of the 11 unnecessary escalations have one cause. The buyer named a settlement date ("tmrw", "国庆后", "next Mon") that FLOW does not yet read into the terms, so the coverage proof cannot account for it and sends the offer to the owner. Reading settlement dates is the next improvement. Until then, each such offer costs the owner one review, with the verdict and the source words shown.</w:t>
      </w:r>
    </w:p>
    <w:p>
      <w:pPr>
        <w:spacing w:before="0" w:after="60" w:line="259" w:lineRule="auto"/>
      </w:pPr>
      <w:r>
        <w:rPr>
          <w:b/>
          <w:sz w:val="20"/>
        </w:rPr>
        <w:t>Table 8. Compiler accuracy on the held-out sets.</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559"/>
            <w:shd w:val="clear" w:color="auto" w:fill="E8EEFB"/>
          </w:tcPr>
          <w:p>
            <w:pPr>
              <w:keepNext/>
              <w:spacing w:before="20" w:after="20" w:line="240" w:lineRule="auto"/>
            </w:pPr>
            <w:r>
              <w:rPr>
                <w:b/>
                <w:sz w:val="16"/>
              </w:rPr>
              <w:t>Set and run</w:t>
            </w:r>
          </w:p>
        </w:tc>
        <w:tc>
          <w:tcPr>
            <w:tcW w:type="dxa" w:w="1853"/>
            <w:shd w:val="clear" w:color="auto" w:fill="E8EEFB"/>
          </w:tcPr>
          <w:p>
            <w:pPr>
              <w:keepNext/>
              <w:spacing w:before="20" w:after="20" w:line="240" w:lineRule="auto"/>
            </w:pPr>
            <w:r>
              <w:rPr>
                <w:b/>
                <w:sz w:val="16"/>
              </w:rPr>
              <w:t>Independence</w:t>
            </w:r>
          </w:p>
        </w:tc>
        <w:tc>
          <w:tcPr>
            <w:tcW w:type="dxa" w:w="1164"/>
            <w:shd w:val="clear" w:color="auto" w:fill="E8EEFB"/>
          </w:tcPr>
          <w:p>
            <w:pPr>
              <w:keepNext/>
              <w:spacing w:before="20" w:after="20" w:line="240" w:lineRule="auto"/>
            </w:pPr>
            <w:r>
              <w:rPr>
                <w:b/>
                <w:sz w:val="16"/>
              </w:rPr>
              <w:t>Path</w:t>
            </w:r>
          </w:p>
        </w:tc>
        <w:tc>
          <w:tcPr>
            <w:tcW w:type="dxa" w:w="1185"/>
            <w:shd w:val="clear" w:color="auto" w:fill="E8EEFB"/>
          </w:tcPr>
          <w:p>
            <w:pPr>
              <w:keepNext/>
              <w:spacing w:before="20" w:after="20" w:line="240" w:lineRule="auto"/>
            </w:pPr>
            <w:r>
              <w:rPr>
                <w:b/>
                <w:sz w:val="16"/>
              </w:rPr>
              <w:t>Verdict agreement</w:t>
            </w:r>
          </w:p>
        </w:tc>
        <w:tc>
          <w:tcPr>
            <w:tcW w:type="dxa" w:w="1164"/>
            <w:shd w:val="clear" w:color="auto" w:fill="E8EEFB"/>
          </w:tcPr>
          <w:p>
            <w:pPr>
              <w:keepNext/>
              <w:spacing w:before="20" w:after="20" w:line="240" w:lineRule="auto"/>
            </w:pPr>
            <w:r>
              <w:rPr>
                <w:b/>
                <w:sz w:val="16"/>
              </w:rPr>
              <w:t>Material errors</w:t>
            </w:r>
          </w:p>
        </w:tc>
        <w:tc>
          <w:tcPr>
            <w:tcW w:type="dxa" w:w="1043"/>
            <w:shd w:val="clear" w:color="auto" w:fill="E8EEFB"/>
          </w:tcPr>
          <w:p>
            <w:pPr>
              <w:keepNext/>
              <w:spacing w:before="20" w:after="20" w:line="240" w:lineRule="auto"/>
            </w:pPr>
            <w:r>
              <w:rPr>
                <w:b/>
                <w:sz w:val="16"/>
              </w:rPr>
              <w:t>Silent material errors</w:t>
            </w:r>
          </w:p>
        </w:tc>
        <w:tc>
          <w:tcPr>
            <w:tcW w:type="dxa" w:w="1393"/>
            <w:shd w:val="clear" w:color="auto" w:fill="E8EEFB"/>
          </w:tcPr>
          <w:p>
            <w:pPr>
              <w:keepNext/>
              <w:spacing w:before="20" w:after="20" w:line="240" w:lineRule="auto"/>
            </w:pPr>
            <w:r>
              <w:rPr>
                <w:b/>
                <w:sz w:val="16"/>
              </w:rPr>
              <w:t>Wrong autonomous accepts</w:t>
            </w:r>
          </w:p>
        </w:tc>
      </w:tr>
      <w:tr>
        <w:trPr>
          <w:cantSplit w:val="true"/>
        </w:trPr>
        <w:tc>
          <w:tcPr>
            <w:tcW w:type="dxa" w:w="1559"/>
          </w:tcPr>
          <w:p>
            <w:pPr>
              <w:spacing w:before="20" w:after="20" w:line="240" w:lineRule="auto"/>
            </w:pPr>
            <w:r>
              <w:rPr>
                <w:sz w:val="16"/>
              </w:rPr>
              <w:t>Held-out 3, first run (1 Oct, before ADR-0005)</w:t>
            </w:r>
          </w:p>
        </w:tc>
        <w:tc>
          <w:tcPr>
            <w:tcW w:type="dxa" w:w="1853"/>
          </w:tcPr>
          <w:p>
            <w:pPr>
              <w:spacing w:before="20" w:after="20" w:line="240" w:lineRule="auto"/>
            </w:pPr>
            <w:r>
              <w:rPr>
                <w:sz w:val="16"/>
              </w:rPr>
              <w:t>unseen</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33/63 (52%)</w:t>
            </w:r>
          </w:p>
        </w:tc>
        <w:tc>
          <w:tcPr>
            <w:tcW w:type="dxa" w:w="1164"/>
          </w:tcPr>
          <w:p>
            <w:pPr>
              <w:spacing w:before="20" w:after="20" w:line="240" w:lineRule="auto"/>
            </w:pPr>
            <w:r>
              <w:rPr>
                <w:sz w:val="16"/>
              </w:rPr>
              <w:t>4/51</w:t>
            </w:r>
          </w:p>
        </w:tc>
        <w:tc>
          <w:tcPr>
            <w:tcW w:type="dxa" w:w="1043"/>
          </w:tcPr>
          <w:p>
            <w:pPr>
              <w:spacing w:before="20" w:after="20" w:line="240" w:lineRule="auto"/>
            </w:pPr>
            <w:r>
              <w:rPr>
                <w:sz w:val="16"/>
              </w:rPr>
              <w:t>7</w:t>
            </w:r>
          </w:p>
        </w:tc>
        <w:tc>
          <w:tcPr>
            <w:tcW w:type="dxa" w:w="1393"/>
          </w:tcPr>
          <w:p>
            <w:pPr>
              <w:spacing w:before="20" w:after="20" w:line="240" w:lineRule="auto"/>
            </w:pPr>
            <w:r>
              <w:rPr>
                <w:sz w:val="16"/>
              </w:rPr>
              <w:t>4 of 8 accepts</w:t>
            </w:r>
          </w:p>
        </w:tc>
      </w:tr>
      <w:tr>
        <w:trPr>
          <w:cantSplit w:val="true"/>
        </w:trPr>
        <w:tc>
          <w:tcPr>
            <w:tcW w:type="dxa" w:w="1559"/>
          </w:tcPr>
          <w:p>
            <w:pPr>
              <w:spacing w:before="20" w:after="20" w:line="240" w:lineRule="auto"/>
            </w:pPr>
            <w:r>
              <w:rPr>
                <w:sz w:val="16"/>
              </w:rPr>
              <w:t>Held-out 3, today (17 Oct)</w:t>
            </w:r>
          </w:p>
        </w:tc>
        <w:tc>
          <w:tcPr>
            <w:tcW w:type="dxa" w:w="1853"/>
          </w:tcPr>
          <w:p>
            <w:pPr>
              <w:spacing w:before="20" w:after="20" w:line="240" w:lineRule="auto"/>
            </w:pPr>
            <w:r>
              <w:rPr>
                <w:sz w:val="16"/>
              </w:rPr>
              <w:t>its failure classes guided later fixes</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44/63 (70%)</w:t>
            </w:r>
          </w:p>
        </w:tc>
        <w:tc>
          <w:tcPr>
            <w:tcW w:type="dxa" w:w="1164"/>
          </w:tcPr>
          <w:p>
            <w:pPr>
              <w:spacing w:before="20" w:after="20" w:line="240" w:lineRule="auto"/>
            </w:pPr>
            <w:r>
              <w:rPr>
                <w:sz w:val="16"/>
              </w:rPr>
              <w:t>3/51 (5.9%)</w:t>
            </w:r>
          </w:p>
        </w:tc>
        <w:tc>
          <w:tcPr>
            <w:tcW w:type="dxa" w:w="1043"/>
          </w:tcPr>
          <w:p>
            <w:pPr>
              <w:spacing w:before="20" w:after="20" w:line="240" w:lineRule="auto"/>
            </w:pPr>
            <w:r>
              <w:rPr>
                <w:sz w:val="16"/>
              </w:rPr>
              <w:t>4</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3, after round 3 (1 Oct)</w:t>
            </w:r>
          </w:p>
        </w:tc>
        <w:tc>
          <w:tcPr>
            <w:tcW w:type="dxa" w:w="1853"/>
          </w:tcPr>
          <w:p>
            <w:pPr>
              <w:spacing w:before="20" w:after="20" w:line="240" w:lineRule="auto"/>
            </w:pPr>
            <w:r>
              <w:rPr>
                <w:sz w:val="16"/>
              </w:rPr>
              <w:t>prompt not tuned on it; shared gates were</w:t>
            </w:r>
          </w:p>
        </w:tc>
        <w:tc>
          <w:tcPr>
            <w:tcW w:type="dxa" w:w="1164"/>
          </w:tcPr>
          <w:p>
            <w:pPr>
              <w:spacing w:before="20" w:after="20" w:line="240" w:lineRule="auto"/>
            </w:pPr>
            <w:r>
              <w:rPr>
                <w:sz w:val="16"/>
              </w:rPr>
              <w:t>live DeepSeek</w:t>
            </w:r>
          </w:p>
        </w:tc>
        <w:tc>
          <w:tcPr>
            <w:tcW w:type="dxa" w:w="1185"/>
          </w:tcPr>
          <w:p>
            <w:pPr>
              <w:spacing w:before="20" w:after="20" w:line="240" w:lineRule="auto"/>
            </w:pPr>
            <w:r>
              <w:rPr>
                <w:sz w:val="16"/>
              </w:rPr>
              <w:t>42/63 (67%)</w:t>
            </w:r>
          </w:p>
        </w:tc>
        <w:tc>
          <w:tcPr>
            <w:tcW w:type="dxa" w:w="1164"/>
          </w:tcPr>
          <w:p>
            <w:pPr>
              <w:spacing w:before="20" w:after="20" w:line="240" w:lineRule="auto"/>
            </w:pPr>
            <w:r>
              <w:rPr>
                <w:sz w:val="16"/>
              </w:rPr>
              <w:t>3/51</w:t>
            </w:r>
          </w:p>
        </w:tc>
        <w:tc>
          <w:tcPr>
            <w:tcW w:type="dxa" w:w="1043"/>
          </w:tcPr>
          <w:p>
            <w:pPr>
              <w:spacing w:before="20" w:after="20" w:line="240" w:lineRule="auto"/>
            </w:pPr>
            <w:r>
              <w:rPr>
                <w:sz w:val="16"/>
              </w:rPr>
              <w:t>5</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2, today (17 Oct)</w:t>
            </w:r>
          </w:p>
        </w:tc>
        <w:tc>
          <w:tcPr>
            <w:tcW w:type="dxa" w:w="1853"/>
          </w:tcPr>
          <w:p>
            <w:pPr>
              <w:spacing w:before="20" w:after="20" w:line="240" w:lineRule="auto"/>
            </w:pPr>
            <w:r>
              <w:rPr>
                <w:sz w:val="16"/>
              </w:rPr>
              <w:t>guided round 2</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38/47 (81%)</w:t>
            </w:r>
          </w:p>
        </w:tc>
        <w:tc>
          <w:tcPr>
            <w:tcW w:type="dxa" w:w="1164"/>
          </w:tcPr>
          <w:p>
            <w:pPr>
              <w:spacing w:before="20" w:after="20" w:line="240" w:lineRule="auto"/>
            </w:pPr>
            <w:r>
              <w:rPr>
                <w:sz w:val="16"/>
              </w:rPr>
              <w:t>0/37</w:t>
            </w:r>
          </w:p>
        </w:tc>
        <w:tc>
          <w:tcPr>
            <w:tcW w:type="dxa" w:w="1043"/>
          </w:tcPr>
          <w:p>
            <w:pPr>
              <w:spacing w:before="20" w:after="20" w:line="240" w:lineRule="auto"/>
            </w:pPr>
            <w:r>
              <w:rPr>
                <w:sz w:val="16"/>
              </w:rPr>
              <w:t>0</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Form baseline (labels typed in, today)</w:t>
            </w:r>
          </w:p>
        </w:tc>
        <w:tc>
          <w:tcPr>
            <w:tcW w:type="dxa" w:w="1853"/>
          </w:tcPr>
          <w:p>
            <w:pPr>
              <w:spacing w:before="20" w:after="20" w:line="240" w:lineRule="auto"/>
            </w:pPr>
            <w:r>
              <w:rPr>
                <w:sz w:val="16"/>
              </w:rPr>
              <w:t>—</w:t>
            </w:r>
          </w:p>
        </w:tc>
        <w:tc>
          <w:tcPr>
            <w:tcW w:type="dxa" w:w="1164"/>
          </w:tcPr>
          <w:p>
            <w:pPr>
              <w:spacing w:before="20" w:after="20" w:line="240" w:lineRule="auto"/>
            </w:pPr>
            <w:r>
              <w:rPr>
                <w:sz w:val="16"/>
              </w:rPr>
              <w:t>no compiler</w:t>
            </w:r>
          </w:p>
        </w:tc>
        <w:tc>
          <w:tcPr>
            <w:tcW w:type="dxa" w:w="1185"/>
          </w:tcPr>
          <w:p>
            <w:pPr>
              <w:spacing w:before="20" w:after="20" w:line="240" w:lineRule="auto"/>
            </w:pPr>
            <w:r>
              <w:rPr>
                <w:sz w:val="16"/>
              </w:rPr>
              <w:t>56/63 (89%)</w:t>
            </w:r>
          </w:p>
        </w:tc>
        <w:tc>
          <w:tcPr>
            <w:tcW w:type="dxa" w:w="1164"/>
          </w:tcPr>
          <w:p>
            <w:pPr>
              <w:spacing w:before="20" w:after="20" w:line="240" w:lineRule="auto"/>
            </w:pPr>
            <w:r>
              <w:rPr>
                <w:sz w:val="16"/>
              </w:rPr>
              <w:t>—</w:t>
            </w:r>
          </w:p>
        </w:tc>
        <w:tc>
          <w:tcPr>
            <w:tcW w:type="dxa" w:w="1043"/>
          </w:tcPr>
          <w:p>
            <w:pPr>
              <w:spacing w:before="20" w:after="20" w:line="240" w:lineRule="auto"/>
            </w:pPr>
            <w:r>
              <w:rPr>
                <w:sz w:val="16"/>
              </w:rPr>
              <w:t>—</w:t>
            </w:r>
          </w:p>
        </w:tc>
        <w:tc>
          <w:tcPr>
            <w:tcW w:type="dxa" w:w="1393"/>
          </w:tcPr>
          <w:p>
            <w:pPr>
              <w:spacing w:before="20" w:after="20" w:line="240" w:lineRule="auto"/>
            </w:pPr>
            <w:r>
              <w:rPr>
                <w:sz w:val="16"/>
              </w:rPr>
              <w:t>—</w:t>
            </w:r>
          </w:p>
        </w:tc>
      </w:tr>
    </w:tbl>
    <w:p>
      <w:pPr>
        <w:spacing w:after="40"/>
      </w:pPr>
    </w:p>
    <w:p>
      <w:pPr>
        <w:spacing w:before="0" w:after="60" w:line="259" w:lineRule="auto"/>
      </w:pPr>
      <w:r>
        <w:rPr>
          <w:b/>
          <w:sz w:val="20"/>
        </w:rPr>
        <w:t>Reading Table 8.</w:t>
      </w:r>
    </w:p>
    <w:p>
      <w:pPr>
        <w:pStyle w:val="ListBullet2"/>
        <w:tabs>
          <w:tab w:pos="792" w:val="left"/>
        </w:tabs>
        <w:spacing w:before="0" w:after="60" w:line="259" w:lineRule="auto"/>
        <w:ind w:left="792" w:hanging="288"/>
      </w:pPr>
      <w:r>
        <w:rPr>
          <w:b/>
          <w:sz w:val="20"/>
        </w:rPr>
        <w:t>Only the first held-out-3 row is an untuned accuracy figure.</w:t>
      </w:r>
      <w:r>
        <w:rPr>
          <w:sz w:val="20"/>
        </w:rPr>
        <w:t xml:space="preserve"> Its four wrong autonomous accepts led directly to ADR-0005.</w:t>
      </w:r>
    </w:p>
    <w:p>
      <w:pPr>
        <w:pStyle w:val="ListBullet2"/>
        <w:tabs>
          <w:tab w:pos="792" w:val="left"/>
        </w:tabs>
        <w:spacing w:before="0" w:after="60" w:line="259" w:lineRule="auto"/>
        <w:ind w:left="792" w:hanging="288"/>
      </w:pPr>
      <w:r>
        <w:rPr>
          <w:b/>
          <w:sz w:val="20"/>
        </w:rPr>
        <w:t>The form baseline is the verifier's policy compared with the labeller's.</w:t>
      </w:r>
      <w:r>
        <w:rPr>
          <w:sz w:val="20"/>
        </w:rPr>
        <w:t xml:space="preserve"> It is below 100% because the labels (written on 1 Oct) predate the early-payment rule, which now counters some offers the labels expected to be accepted. This also explains why today's figures are lower than earlier versions of this document.</w:t>
      </w:r>
    </w:p>
    <w:p>
      <w:pPr>
        <w:pStyle w:val="ListBullet2"/>
        <w:tabs>
          <w:tab w:pos="792" w:val="left"/>
        </w:tabs>
        <w:spacing w:before="0" w:after="60" w:line="259" w:lineRule="auto"/>
        <w:ind w:left="792" w:hanging="288"/>
      </w:pPr>
      <w:r>
        <w:rPr>
          <w:b/>
          <w:sz w:val="20"/>
        </w:rPr>
        <w:t>Targets not met.</w:t>
      </w:r>
      <w:r>
        <w:rPr>
          <w:sz w:val="20"/>
        </w:rPr>
        <w:t xml:space="preserve"> The material-error target (≤ 5%) and the zero-silent-error target are not met on held-out 3.</w:t>
      </w:r>
    </w:p>
    <w:p>
      <w:pPr>
        <w:pStyle w:val="ListBullet2"/>
        <w:tabs>
          <w:tab w:pos="792" w:val="left"/>
        </w:tabs>
        <w:spacing w:before="0" w:after="60" w:line="259" w:lineRule="auto"/>
        <w:ind w:left="792" w:hanging="288"/>
      </w:pPr>
      <w:r>
        <w:rPr>
          <w:b/>
          <w:sz w:val="20"/>
        </w:rPr>
        <w:t>Silent errors never cause an autonomous accept.</w:t>
      </w:r>
      <w:r>
        <w:rPr>
          <w:sz w:val="20"/>
        </w:rPr>
        <w:t xml:space="preserve"> Every silent error ended with the owner or in a rejection.</w:t>
      </w:r>
    </w:p>
    <w:p>
      <w:pPr>
        <w:spacing w:before="0" w:after="60" w:line="259" w:lineRule="auto"/>
      </w:pPr>
      <w:r>
        <w:rPr>
          <w:sz w:val="20"/>
        </w:rPr>
        <w:t>Appendix A gives the exact definitions of each metric.</w:t>
      </w:r>
    </w:p>
    <w:p>
      <w:pPr>
        <w:jc w:val="center"/>
      </w:pPr>
      <w:r>
        <w:drawing>
          <wp:inline xmlns:a="http://schemas.openxmlformats.org/drawingml/2006/main" xmlns:pic="http://schemas.openxmlformats.org/drawingml/2006/picture">
            <wp:extent cx="5663380" cy="4389120"/>
            <wp:docPr id="5" name="Picture 5"/>
            <wp:cNvGraphicFramePr>
              <a:graphicFrameLocks noChangeAspect="1"/>
            </wp:cNvGraphicFramePr>
            <a:graphic>
              <a:graphicData uri="http://schemas.openxmlformats.org/drawingml/2006/picture">
                <pic:pic>
                  <pic:nvPicPr>
                    <pic:cNvPr id="0" name="fig5-heldout-results.png"/>
                    <pic:cNvPicPr/>
                  </pic:nvPicPr>
                  <pic:blipFill>
                    <a:blip r:embed="rId14"/>
                    <a:stretch>
                      <a:fillRect/>
                    </a:stretch>
                  </pic:blipFill>
                  <pic:spPr>
                    <a:xfrm>
                      <a:off x="0" y="0"/>
                      <a:ext cx="5663380" cy="4389120"/>
                    </a:xfrm>
                    <a:prstGeom prst="rect"/>
                  </pic:spPr>
                </pic:pic>
              </a:graphicData>
            </a:graphic>
          </wp:inline>
        </w:drawing>
      </w:r>
    </w:p>
    <w:p>
      <w:pPr>
        <w:pStyle w:val="Caption"/>
      </w:pPr>
      <w:r>
        <w:t>Figure 5. Compiler results on the held-out sets, labelled unseen or tuned on. After ADR-0005 no misread message was accepted without the owner, while verdict agreement and material errors still miss our targets on held-out 3.</w:t>
      </w:r>
    </w:p>
    <w:p>
      <w:pPr>
        <w:spacing w:before="0" w:after="60" w:line="259" w:lineRule="auto"/>
      </w:pPr>
      <w:r>
        <w:rPr>
          <w:b/>
          <w:sz w:val="20"/>
        </w:rPr>
        <w:t>Reading Chinese contracts.</w:t>
      </w:r>
      <w:r>
        <w:rPr>
          <w:sz w:val="20"/>
        </w:rPr>
        <w:t xml:space="preserve"> We generated 70 synthetic Chinese contracts:</w:t>
      </w:r>
    </w:p>
    <w:p>
      <w:pPr>
        <w:pStyle w:val="ListBullet2"/>
        <w:tabs>
          <w:tab w:pos="792" w:val="left"/>
        </w:tabs>
        <w:spacing w:before="0" w:after="60" w:line="259" w:lineRule="auto"/>
        <w:ind w:left="792" w:hanging="288"/>
      </w:pPr>
      <w:r>
        <w:rPr>
          <w:sz w:val="20"/>
        </w:rPr>
        <w:t>government procurement, goods, services, construction subcontracts, equipment installation, processing, leases, logistics and supplementary agreements;</w:t>
      </w:r>
    </w:p>
    <w:p>
      <w:pPr>
        <w:pStyle w:val="ListBullet2"/>
        <w:tabs>
          <w:tab w:pos="792" w:val="left"/>
        </w:tabs>
        <w:spacing w:before="0" w:after="60" w:line="259" w:lineRule="auto"/>
        <w:ind w:left="792" w:hanging="288"/>
      </w:pPr>
      <w:r>
        <w:rPr>
          <w:sz w:val="20"/>
        </w:rPr>
        <w:t>in four formats: digital PDF, Word, scanned PDF and phone photo.</w:t>
      </w:r>
    </w:p>
    <w:p>
      <w:pPr>
        <w:spacing w:before="0" w:after="60" w:line="259" w:lineRule="auto"/>
      </w:pPr>
      <w:r>
        <w:rPr>
          <w:sz w:val="20"/>
        </w:rPr>
        <w:t>We fixed the reader against batch 1 (40 contracts), then tested it on batch 2 (30 new contracts with six contract types it had never seen).</w:t>
      </w:r>
    </w:p>
    <w:p>
      <w:pPr>
        <w:jc w:val="center"/>
      </w:pPr>
      <w:r>
        <w:drawing>
          <wp:inline xmlns:a="http://schemas.openxmlformats.org/drawingml/2006/main" xmlns:pic="http://schemas.openxmlformats.org/drawingml/2006/picture">
            <wp:extent cx="5320145" cy="4389120"/>
            <wp:docPr id="6" name="Picture 6"/>
            <wp:cNvGraphicFramePr>
              <a:graphicFrameLocks noChangeAspect="1"/>
            </wp:cNvGraphicFramePr>
            <a:graphic>
              <a:graphicData uri="http://schemas.openxmlformats.org/drawingml/2006/picture">
                <pic:pic>
                  <pic:nvPicPr>
                    <pic:cNvPr id="0" name="fig6-contract-reading.png"/>
                    <pic:cNvPicPr/>
                  </pic:nvPicPr>
                  <pic:blipFill>
                    <a:blip r:embed="rId15"/>
                    <a:stretch>
                      <a:fillRect/>
                    </a:stretch>
                  </pic:blipFill>
                  <pic:spPr>
                    <a:xfrm>
                      <a:off x="0" y="0"/>
                      <a:ext cx="5320145" cy="4389120"/>
                    </a:xfrm>
                    <a:prstGeom prst="rect"/>
                  </pic:spPr>
                </pic:pic>
              </a:graphicData>
            </a:graphic>
          </wp:inline>
        </w:drawing>
      </w:r>
    </w:p>
    <w:p>
      <w:pPr>
        <w:pStyle w:val="Caption"/>
      </w:pPr>
      <w:r>
        <w:t>Figure 6. Reading Chinese contracts, by format. 98% field accuracy on the tuned batch, 75% on the held-out batch, and 86% after fixes made by studying that batch (so no longer held out). Scans and phone photos are refused: FLOW has no OCR.</w:t>
      </w:r>
    </w:p>
    <w:p>
      <w:pPr>
        <w:pStyle w:val="ListBullet2"/>
        <w:tabs>
          <w:tab w:pos="792" w:val="left"/>
        </w:tabs>
        <w:spacing w:before="0" w:after="60" w:line="259" w:lineRule="auto"/>
        <w:ind w:left="792" w:hanging="288"/>
      </w:pPr>
      <w:r>
        <w:rPr>
          <w:b/>
          <w:sz w:val="20"/>
        </w:rPr>
        <w:t>The honest figure is 75% field accuracy on unseen contracts with a text layer</w:t>
      </w:r>
      <w:r>
        <w:rPr>
          <w:sz w:val="20"/>
        </w:rPr>
        <w:t xml:space="preserve"> (215 of 285 fields; recorded DeepSeek readings replayed, 17 Oct). After five fixes found by studying those failures, it rose to 86%, but that figure is no longer held out.</w:t>
      </w:r>
    </w:p>
    <w:p>
      <w:pPr>
        <w:pStyle w:val="ListBullet3"/>
        <w:tabs>
          <w:tab w:pos="1152" w:val="left"/>
        </w:tabs>
        <w:spacing w:before="0" w:after="60" w:line="259" w:lineRule="auto"/>
        <w:ind w:left="1152" w:hanging="288"/>
      </w:pPr>
      <w:r>
        <w:rPr>
          <w:sz w:val="20"/>
        </w:rPr>
        <w:t>The fixes were slash and dot dates, a code check of who pays whom, repeated terms, the payer's late interest, and end dates.</w:t>
      </w:r>
    </w:p>
    <w:p>
      <w:pPr>
        <w:pStyle w:val="ListBullet3"/>
        <w:tabs>
          <w:tab w:pos="1152" w:val="left"/>
        </w:tabs>
        <w:spacing w:before="0" w:after="60" w:line="259" w:lineRule="auto"/>
        <w:ind w:left="1152" w:hanging="288"/>
      </w:pPr>
      <w:r>
        <w:rPr>
          <w:sz w:val="20"/>
        </w:rPr>
        <w:t>Wrong values fell from 31 to 21.</w:t>
      </w:r>
    </w:p>
    <w:p>
      <w:pPr>
        <w:pStyle w:val="ListBullet2"/>
        <w:tabs>
          <w:tab w:pos="792" w:val="left"/>
        </w:tabs>
        <w:spacing w:before="0" w:after="60" w:line="259" w:lineRule="auto"/>
        <w:ind w:left="792" w:hanging="288"/>
      </w:pPr>
      <w:r>
        <w:rPr>
          <w:b/>
          <w:sz w:val="20"/>
        </w:rPr>
        <w:t>The tuned batch scores 98%</w:t>
      </w:r>
      <w:r>
        <w:rPr>
          <w:sz w:val="20"/>
        </w:rPr>
        <w:t xml:space="preserve"> (502 of 514) and stayed unchanged through every fix.</w:t>
      </w:r>
    </w:p>
    <w:p>
      <w:pPr>
        <w:pStyle w:val="ListBullet2"/>
        <w:tabs>
          <w:tab w:pos="792" w:val="left"/>
        </w:tabs>
        <w:spacing w:before="0" w:after="60" w:line="259" w:lineRule="auto"/>
        <w:ind w:left="792" w:hanging="288"/>
      </w:pPr>
      <w:r>
        <w:rPr>
          <w:b/>
          <w:sz w:val="20"/>
        </w:rPr>
        <w:t>Scans and photos are refused,</w:t>
      </w:r>
      <w:r>
        <w:rPr>
          <w:sz w:val="20"/>
        </w:rPr>
        <w:t xml:space="preserve"> because FLOW has no OCR.</w:t>
      </w:r>
    </w:p>
    <w:p>
      <w:pPr>
        <w:pStyle w:val="ListBullet2"/>
        <w:tabs>
          <w:tab w:pos="792" w:val="left"/>
        </w:tabs>
        <w:spacing w:before="0" w:after="60" w:line="259" w:lineRule="auto"/>
        <w:ind w:left="792" w:hanging="288"/>
      </w:pPr>
      <w:r>
        <w:rPr>
          <w:b/>
          <w:sz w:val="20"/>
        </w:rPr>
        <w:t>Every term must quote its clause word for word,</w:t>
      </w:r>
      <w:r>
        <w:rPr>
          <w:sz w:val="20"/>
        </w:rPr>
        <w:t xml:space="preserve"> and FLOW checks that the company the owner picked is one the contract actually names. A contract that names other companies cannot be confirmed.</w:t>
      </w:r>
    </w:p>
    <w:p>
      <w:pPr>
        <w:spacing w:before="0" w:after="60" w:line="259" w:lineRule="auto"/>
      </w:pPr>
      <w:r>
        <w:rPr>
          <w:b/>
          <w:sz w:val="20"/>
        </w:rPr>
        <w:t>Table 9. Other evaluation results (offline, 17 Oct 2026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832"/>
            <w:shd w:val="clear" w:color="auto" w:fill="E8EEFB"/>
          </w:tcPr>
          <w:p>
            <w:pPr>
              <w:keepNext/>
              <w:spacing w:before="20" w:after="20" w:line="240" w:lineRule="auto"/>
            </w:pPr>
            <w:r>
              <w:rPr>
                <w:b/>
                <w:sz w:val="18"/>
              </w:rPr>
              <w:t>Question</w:t>
            </w:r>
          </w:p>
        </w:tc>
        <w:tc>
          <w:tcPr>
            <w:tcW w:type="dxa" w:w="6528"/>
            <w:shd w:val="clear" w:color="auto" w:fill="E8EEFB"/>
          </w:tcPr>
          <w:p>
            <w:pPr>
              <w:keepNext/>
              <w:spacing w:before="20" w:after="20" w:line="240" w:lineRule="auto"/>
            </w:pPr>
            <w:r>
              <w:rPr>
                <w:b/>
                <w:sz w:val="18"/>
              </w:rPr>
              <w:t>Result</w:t>
            </w:r>
          </w:p>
        </w:tc>
      </w:tr>
      <w:tr>
        <w:trPr>
          <w:cantSplit w:val="true"/>
        </w:trPr>
        <w:tc>
          <w:tcPr>
            <w:tcW w:type="dxa" w:w="2832"/>
          </w:tcPr>
          <w:p>
            <w:pPr>
              <w:spacing w:before="20" w:after="20" w:line="240" w:lineRule="auto"/>
            </w:pPr>
            <w:r>
              <w:rPr>
                <w:sz w:val="18"/>
              </w:rPr>
              <w:t>Is the engine exact?</w:t>
            </w:r>
          </w:p>
        </w:tc>
        <w:tc>
          <w:tcPr>
            <w:tcW w:type="dxa" w:w="6528"/>
          </w:tcPr>
          <w:p>
            <w:pPr>
              <w:spacing w:before="20" w:after="20" w:line="240" w:lineRule="auto"/>
            </w:pPr>
            <w:r>
              <w:rPr>
                <w:sz w:val="18"/>
              </w:rPr>
              <w:t>Financial values 67/67 and covenant and capex values 27/27 exact against the independent oracle; mandate and covenant boundaries exact at ±1 fen, basis point or day (20/20)</w:t>
            </w:r>
          </w:p>
        </w:tc>
      </w:tr>
      <w:tr>
        <w:trPr>
          <w:cantSplit w:val="true"/>
        </w:trPr>
        <w:tc>
          <w:tcPr>
            <w:tcW w:type="dxa" w:w="2832"/>
          </w:tcPr>
          <w:p>
            <w:pPr>
              <w:spacing w:before="20" w:after="20" w:line="240" w:lineRule="auto"/>
            </w:pPr>
            <w:r>
              <w:rPr>
                <w:sz w:val="18"/>
              </w:rPr>
              <w:t>Is the router optimal?</w:t>
            </w:r>
          </w:p>
        </w:tc>
        <w:tc>
          <w:tcPr>
            <w:tcW w:type="dxa" w:w="6528"/>
          </w:tcPr>
          <w:p>
            <w:pPr>
              <w:spacing w:before="20" w:after="20" w:line="240" w:lineRule="auto"/>
            </w:pPr>
            <w:r>
              <w:rPr>
                <w:sz w:val="18"/>
              </w:rPr>
              <w:t>Within ¥1 of the brute force on 26/26 scenarios; no committed plan relies on an uncommitted facility</w:t>
            </w:r>
          </w:p>
        </w:tc>
      </w:tr>
      <w:tr>
        <w:tc>
          <w:tcPr>
            <w:tcW w:type="dxa" w:w="2832"/>
          </w:tcPr>
          <w:p>
            <w:pPr>
              <w:spacing w:before="20" w:after="20" w:line="240" w:lineRule="auto"/>
            </w:pPr>
            <w:r>
              <w:rPr>
                <w:sz w:val="18"/>
              </w:rPr>
              <w:t>Is the router worth it, against a fair baseline?</w:t>
            </w:r>
          </w:p>
        </w:tc>
        <w:tc>
          <w:tcPr>
            <w:tcW w:type="dxa" w:w="6528"/>
          </w:tcPr>
          <w:p>
            <w:pPr>
              <w:spacing w:before="20" w:after="20" w:line="240" w:lineRule="auto"/>
            </w:pPr>
            <w:r>
              <w:rPr>
                <w:sz w:val="18"/>
              </w:rPr>
              <w:t>Against "credit line first" restricted to actions FLOW can actually run, on the 18 scenarios where both can be compared: cheaper in 3 (¥169.78 in total) and equal in 15. In 1 more scenario it finds a runnable plan where the baseline finds none. The router's value is mainly that it finds a safe plan, explains it, and says plainly when that plan cannot run today, not large savings</w:t>
            </w:r>
          </w:p>
        </w:tc>
      </w:tr>
      <w:tr>
        <w:trPr>
          <w:cantSplit w:val="true"/>
        </w:trPr>
        <w:tc>
          <w:tcPr>
            <w:tcW w:type="dxa" w:w="2832"/>
          </w:tcPr>
          <w:p>
            <w:pPr>
              <w:spacing w:before="20" w:after="20" w:line="240" w:lineRule="auto"/>
            </w:pPr>
            <w:r>
              <w:rPr>
                <w:sz w:val="18"/>
              </w:rPr>
              <w:t>Can every plan run today?</w:t>
            </w:r>
          </w:p>
        </w:tc>
        <w:tc>
          <w:tcPr>
            <w:tcW w:type="dxa" w:w="6528"/>
          </w:tcPr>
          <w:p>
            <w:pPr>
              <w:spacing w:before="20" w:after="20" w:line="240" w:lineRule="auto"/>
            </w:pPr>
            <w:r>
              <w:rPr>
                <w:sz w:val="18"/>
              </w:rPr>
              <w:t>Of the 26 router plans, 19 can run now, 6 depend on an action no operation can perform yet (a buyer's early payment or a bill) and are labelled "cannot run today", and 1 scenario has no admissible plan, which the router says</w:t>
            </w:r>
          </w:p>
        </w:tc>
      </w:tr>
      <w:tr>
        <w:trPr>
          <w:cantSplit w:val="true"/>
        </w:trPr>
        <w:tc>
          <w:tcPr>
            <w:tcW w:type="dxa" w:w="2832"/>
          </w:tcPr>
          <w:p>
            <w:pPr>
              <w:spacing w:before="20" w:after="20" w:line="240" w:lineRule="auto"/>
            </w:pPr>
            <w:r>
              <w:rPr>
                <w:sz w:val="18"/>
              </w:rPr>
              <w:t>Does it walk away honestly?</w:t>
            </w:r>
          </w:p>
        </w:tc>
        <w:tc>
          <w:tcPr>
            <w:tcW w:type="dxa" w:w="6528"/>
          </w:tcPr>
          <w:p>
            <w:pPr>
              <w:spacing w:before="20" w:after="20" w:line="240" w:lineRule="auto"/>
            </w:pPr>
            <w:r>
              <w:rPr>
                <w:sz w:val="18"/>
              </w:rPr>
              <w:t>A hard-line buyer ends in NO DEAL within 3 rounds and the gap is still funded; 7/7 checks</w:t>
            </w:r>
          </w:p>
        </w:tc>
      </w:tr>
      <w:tr>
        <w:trPr>
          <w:cantSplit w:val="true"/>
        </w:trPr>
        <w:tc>
          <w:tcPr>
            <w:tcW w:type="dxa" w:w="2832"/>
          </w:tcPr>
          <w:p>
            <w:pPr>
              <w:spacing w:before="20" w:after="20" w:line="240" w:lineRule="auto"/>
            </w:pPr>
            <w:r>
              <w:rPr>
                <w:sz w:val="18"/>
              </w:rPr>
              <w:t>Does the agent complete tasks?</w:t>
            </w:r>
          </w:p>
        </w:tc>
        <w:tc>
          <w:tcPr>
            <w:tcW w:type="dxa" w:w="6528"/>
          </w:tcPr>
          <w:p>
            <w:pPr>
              <w:spacing w:before="20" w:after="20" w:line="240" w:lineRule="auto"/>
            </w:pPr>
            <w:r>
              <w:rPr>
                <w:sz w:val="18"/>
              </w:rPr>
              <w:t>49/49 scripted chat tasks (87 turns); every evidence chain verifies, and a tampered copy is rejected</w:t>
            </w:r>
          </w:p>
        </w:tc>
      </w:tr>
      <w:tr>
        <w:trPr>
          <w:cantSplit w:val="true"/>
        </w:trPr>
        <w:tc>
          <w:tcPr>
            <w:tcW w:type="dxa" w:w="2832"/>
          </w:tcPr>
          <w:p>
            <w:pPr>
              <w:spacing w:before="20" w:after="20" w:line="240" w:lineRule="auto"/>
            </w:pPr>
            <w:r>
              <w:rPr>
                <w:sz w:val="18"/>
              </w:rPr>
              <w:t>How fast is it?</w:t>
            </w:r>
          </w:p>
        </w:tc>
        <w:tc>
          <w:tcPr>
            <w:tcW w:type="dxa" w:w="6528"/>
          </w:tcPr>
          <w:p>
            <w:pPr>
              <w:spacing w:before="20" w:after="20" w:line="240" w:lineRule="auto"/>
            </w:pPr>
            <w:r>
              <w:rPr>
                <w:sz w:val="18"/>
              </w:rPr>
              <w:t>Router p50 81 ms, p95 238 ms. Chat turn p50 9 ms, p95 567 ms. Full Scene 1 (read, decide, negotiate, execute) p50 1.08 s. All in process, cache mode</w:t>
            </w:r>
          </w:p>
        </w:tc>
      </w:tr>
      <w:tr>
        <w:trPr>
          <w:cantSplit w:val="true"/>
        </w:trPr>
        <w:tc>
          <w:tcPr>
            <w:tcW w:type="dxa" w:w="2832"/>
          </w:tcPr>
          <w:p>
            <w:pPr>
              <w:spacing w:before="20" w:after="20" w:line="240" w:lineRule="auto"/>
            </w:pPr>
            <w:r>
              <w:rPr>
                <w:sz w:val="18"/>
              </w:rPr>
              <w:t>Does language stay safe at the boundary?</w:t>
            </w:r>
          </w:p>
        </w:tc>
        <w:tc>
          <w:tcPr>
            <w:tcW w:type="dxa" w:w="6528"/>
          </w:tcPr>
          <w:p>
            <w:pPr>
              <w:spacing w:before="20" w:after="20" w:line="240" w:lineRule="auto"/>
            </w:pPr>
            <w:r>
              <w:rPr>
                <w:sz w:val="18"/>
              </w:rPr>
              <w:t>231 adversarial inputs through the real chat route: 0 wrong-and-material (recorded and scripted models, 3 Oct; not yet run against a live model)</w:t>
            </w:r>
          </w:p>
        </w:tc>
      </w:tr>
    </w:tbl>
    <w:p>
      <w:pPr>
        <w:spacing w:after="40"/>
      </w:pPr>
    </w:p>
    <w:p>
      <w:pPr>
        <w:spacing w:before="0" w:after="60" w:line="259" w:lineRule="auto"/>
      </w:pPr>
      <w:r>
        <w:rPr>
          <w:b/>
          <w:sz w:val="20"/>
        </w:rPr>
        <w:t>Table 10. Stress tests on the demo company (read-only copies of the books).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94"/>
            <w:shd w:val="clear" w:color="auto" w:fill="E8EEFB"/>
          </w:tcPr>
          <w:p>
            <w:pPr>
              <w:keepNext/>
              <w:spacing w:before="20" w:after="20" w:line="240" w:lineRule="auto"/>
            </w:pPr>
            <w:r>
              <w:rPr>
                <w:b/>
                <w:sz w:val="18"/>
              </w:rPr>
              <w:t>Stress</w:t>
            </w:r>
          </w:p>
        </w:tc>
        <w:tc>
          <w:tcPr>
            <w:tcW w:type="dxa" w:w="3506"/>
            <w:shd w:val="clear" w:color="auto" w:fill="E8EEFB"/>
          </w:tcPr>
          <w:p>
            <w:pPr>
              <w:keepNext/>
              <w:spacing w:before="20" w:after="20" w:line="240" w:lineRule="auto"/>
            </w:pPr>
            <w:r>
              <w:rPr>
                <w:b/>
                <w:sz w:val="18"/>
              </w:rPr>
              <w:t>Effect on cash</w:t>
            </w:r>
          </w:p>
        </w:tc>
        <w:tc>
          <w:tcPr>
            <w:tcW w:type="dxa" w:w="4160"/>
            <w:shd w:val="clear" w:color="auto" w:fill="E8EEFB"/>
          </w:tcPr>
          <w:p>
            <w:pPr>
              <w:keepNext/>
              <w:spacing w:before="20" w:after="20" w:line="240" w:lineRule="auto"/>
            </w:pPr>
            <w:r>
              <w:rPr>
                <w:b/>
                <w:sz w:val="18"/>
              </w:rPr>
              <w:t>What FLOW does</w:t>
            </w:r>
          </w:p>
        </w:tc>
      </w:tr>
      <w:tr>
        <w:trPr>
          <w:cantSplit w:val="true"/>
        </w:trPr>
        <w:tc>
          <w:tcPr>
            <w:tcW w:type="dxa" w:w="1694"/>
          </w:tcPr>
          <w:p>
            <w:pPr>
              <w:spacing w:before="20" w:after="20" w:line="240" w:lineRule="auto"/>
            </w:pPr>
            <w:r>
              <w:rPr>
                <w:sz w:val="18"/>
              </w:rPr>
              <w:t>Foshan pays 10 days late</w:t>
            </w:r>
          </w:p>
        </w:tc>
        <w:tc>
          <w:tcPr>
            <w:tcW w:type="dxa" w:w="3506"/>
          </w:tcPr>
          <w:p>
            <w:pPr>
              <w:spacing w:before="20" w:after="20" w:line="240" w:lineRule="auto"/>
            </w:pPr>
            <w:r>
              <w:rPr>
                <w:sz w:val="18"/>
              </w:rPr>
              <w:t>Same lowest point (day 30); 30 days below the reserve instead of 20</w:t>
            </w:r>
          </w:p>
        </w:tc>
        <w:tc>
          <w:tcPr>
            <w:tcW w:type="dxa" w:w="4160"/>
          </w:tcPr>
          <w:p>
            <w:pPr>
              <w:spacing w:before="20" w:after="20" w:line="240" w:lineRule="auto"/>
            </w:pPr>
            <w:r>
              <w:rPr>
                <w:sz w:val="18"/>
              </w:rPr>
              <w:t xml:space="preserve">Keeps the same funding longer (¥5,649.25) and </w:t>
            </w:r>
            <w:r>
              <w:rPr>
                <w:b/>
                <w:sz w:val="18"/>
              </w:rPr>
              <w:t>asks the owner</w:t>
            </w:r>
            <w:r>
              <w:rPr>
                <w:sz w:val="18"/>
              </w:rPr>
              <w:t>, because the advance's cost (16.7% a year) is now above the 15% ceiling</w:t>
            </w:r>
          </w:p>
        </w:tc>
      </w:tr>
      <w:tr>
        <w:trPr>
          <w:cantSplit w:val="true"/>
        </w:trPr>
        <w:tc>
          <w:tcPr>
            <w:tcW w:type="dxa" w:w="1694"/>
          </w:tcPr>
          <w:p>
            <w:pPr>
              <w:spacing w:before="20" w:after="20" w:line="240" w:lineRule="auto"/>
            </w:pPr>
            <w:r>
              <w:rPr>
                <w:sz w:val="18"/>
              </w:rPr>
              <w:t>Foshan pays only half</w:t>
            </w:r>
          </w:p>
        </w:tc>
        <w:tc>
          <w:tcPr>
            <w:tcW w:type="dxa" w:w="3506"/>
          </w:tcPr>
          <w:p>
            <w:pPr>
              <w:spacing w:before="20" w:after="20" w:line="240" w:lineRule="auto"/>
            </w:pPr>
            <w:r>
              <w:rPr>
                <w:sz w:val="18"/>
              </w:rPr>
              <w:t>35 days below the reserve</w:t>
            </w:r>
          </w:p>
        </w:tc>
        <w:tc>
          <w:tcPr>
            <w:tcW w:type="dxa" w:w="4160"/>
          </w:tcPr>
          <w:p>
            <w:pPr>
              <w:spacing w:before="20" w:after="20" w:line="240" w:lineRule="auto"/>
            </w:pPr>
            <w:r>
              <w:rPr>
                <w:sz w:val="18"/>
              </w:rPr>
              <w:t xml:space="preserve">Its cheapest cover needs a buyer early payment on a future invoice, so it is labelled </w:t>
            </w:r>
            <w:r>
              <w:rPr>
                <w:b/>
                <w:sz w:val="18"/>
              </w:rPr>
              <w:t>cannot run today</w:t>
            </w:r>
          </w:p>
        </w:tc>
      </w:tr>
      <w:tr>
        <w:trPr>
          <w:cantSplit w:val="true"/>
        </w:trPr>
        <w:tc>
          <w:tcPr>
            <w:tcW w:type="dxa" w:w="1694"/>
          </w:tcPr>
          <w:p>
            <w:pPr>
              <w:spacing w:before="20" w:after="20" w:line="240" w:lineRule="auto"/>
            </w:pPr>
            <w:r>
              <w:rPr>
                <w:sz w:val="18"/>
              </w:rPr>
              <w:t>EBITDA 20% lower</w:t>
            </w:r>
          </w:p>
        </w:tc>
        <w:tc>
          <w:tcPr>
            <w:tcW w:type="dxa" w:w="3506"/>
          </w:tcPr>
          <w:p>
            <w:pPr>
              <w:spacing w:before="20" w:after="20" w:line="240" w:lineRule="auto"/>
            </w:pPr>
            <w:r>
              <w:rPr>
                <w:sz w:val="18"/>
              </w:rPr>
              <w:t>Cash unchanged</w:t>
            </w:r>
          </w:p>
        </w:tc>
        <w:tc>
          <w:tcPr>
            <w:tcW w:type="dxa" w:w="4160"/>
          </w:tcPr>
          <w:p>
            <w:pPr>
              <w:spacing w:before="20" w:after="20" w:line="240" w:lineRule="auto"/>
            </w:pPr>
            <w:r>
              <w:rPr>
                <w:sz w:val="18"/>
              </w:rPr>
              <w:t>Covenants weaken but hold (DSCR 1.50× at worst, leverage 2.15×); the plan is unchanged</w:t>
            </w:r>
          </w:p>
        </w:tc>
      </w:tr>
    </w:tbl>
    <w:p>
      <w:pPr>
        <w:spacing w:after="40"/>
      </w:pPr>
    </w:p>
    <w:p>
      <w:pPr>
        <w:pStyle w:val="Heading1"/>
      </w:pPr>
      <w:r>
        <w:t>04 Security Design</w:t>
      </w:r>
    </w:p>
    <w:p>
      <w:pPr>
        <w:pStyle w:val="ListBullet"/>
        <w:spacing w:after="100"/>
      </w:pPr>
      <w:r>
        <w:t>Tiered permissions and confirmation for sensitive actions</w:t>
      </w:r>
    </w:p>
    <w:p>
      <w:pPr>
        <w:spacing w:before="0" w:after="60" w:line="259" w:lineRule="auto"/>
      </w:pPr>
      <w:r>
        <w:rPr>
          <w:b/>
          <w:sz w:val="20"/>
        </w:rPr>
        <w:t>Who can act.</w:t>
      </w:r>
      <w:r>
        <w:rPr>
          <w:sz w:val="20"/>
        </w:rPr>
        <w:t xml:space="preserve"> Credentials are compared in constant time, and every refused credential is logged as a security event (up to 300 an hour).</w:t>
      </w:r>
    </w:p>
    <w:p>
      <w:pPr>
        <w:spacing w:before="0" w:after="60" w:line="259" w:lineRule="auto"/>
      </w:pPr>
      <w:r>
        <w:rPr>
          <w:b/>
          <w:sz w:val="20"/>
        </w:rPr>
        <w:t>Table 11. Credentials and what each confers.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400"/>
            <w:shd w:val="clear" w:color="auto" w:fill="E8EEFB"/>
          </w:tcPr>
          <w:p>
            <w:pPr>
              <w:keepNext/>
              <w:spacing w:before="20" w:after="20" w:line="240" w:lineRule="auto"/>
            </w:pPr>
            <w:r>
              <w:rPr>
                <w:b/>
                <w:sz w:val="18"/>
              </w:rPr>
              <w:t>Credential</w:t>
            </w:r>
          </w:p>
        </w:tc>
        <w:tc>
          <w:tcPr>
            <w:tcW w:type="dxa" w:w="7960"/>
            <w:shd w:val="clear" w:color="auto" w:fill="E8EEFB"/>
          </w:tcPr>
          <w:p>
            <w:pPr>
              <w:keepNext/>
              <w:spacing w:before="20" w:after="20" w:line="240" w:lineRule="auto"/>
            </w:pPr>
            <w:r>
              <w:rPr>
                <w:b/>
                <w:sz w:val="18"/>
              </w:rPr>
              <w:t>Confers</w:t>
            </w:r>
          </w:p>
        </w:tc>
      </w:tr>
      <w:tr>
        <w:trPr>
          <w:cantSplit w:val="true"/>
        </w:trPr>
        <w:tc>
          <w:tcPr>
            <w:tcW w:type="dxa" w:w="1400"/>
          </w:tcPr>
          <w:p>
            <w:pPr>
              <w:spacing w:before="20" w:after="20" w:line="240" w:lineRule="auto"/>
            </w:pPr>
            <w:r>
              <w:rPr>
                <w:sz w:val="18"/>
              </w:rPr>
              <w:t>Owner token</w:t>
            </w:r>
          </w:p>
        </w:tc>
        <w:tc>
          <w:tcPr>
            <w:tcW w:type="dxa" w:w="7960"/>
          </w:tcPr>
          <w:p>
            <w:pPr>
              <w:spacing w:before="20" w:after="20" w:line="240" w:lineRule="auto"/>
            </w:pPr>
            <w:r>
              <w:rPr>
                <w:sz w:val="18"/>
              </w:rPr>
              <w:t>Owner authority: read views, Tier-2 decisions, answering a buyer's request, revocation, adding facilities, purchases, the clock; demo reset and books setup only in demo mode</w:t>
            </w:r>
          </w:p>
        </w:tc>
      </w:tr>
      <w:tr>
        <w:trPr>
          <w:cantSplit w:val="true"/>
        </w:trPr>
        <w:tc>
          <w:tcPr>
            <w:tcW w:type="dxa" w:w="1400"/>
          </w:tcPr>
          <w:p>
            <w:pPr>
              <w:spacing w:before="20" w:after="20" w:line="240" w:lineRule="auto"/>
            </w:pPr>
            <w:r>
              <w:rPr>
                <w:sz w:val="18"/>
              </w:rPr>
              <w:t>Agent key</w:t>
            </w:r>
          </w:p>
        </w:tc>
        <w:tc>
          <w:tcPr>
            <w:tcW w:type="dxa" w:w="7960"/>
          </w:tcPr>
          <w:p>
            <w:pPr>
              <w:spacing w:before="20" w:after="20" w:line="240" w:lineRule="auto"/>
            </w:pPr>
            <w:r>
              <w:rPr>
                <w:sz w:val="18"/>
              </w:rPr>
              <w:t>The agent's tool channel: Tier 1 inside the mandate; Tier 2 is queued; chat replies show only the amounts of its own operations</w:t>
            </w:r>
          </w:p>
        </w:tc>
      </w:tr>
      <w:tr>
        <w:trPr>
          <w:cantSplit w:val="true"/>
        </w:trPr>
        <w:tc>
          <w:tcPr>
            <w:tcW w:type="dxa" w:w="1400"/>
          </w:tcPr>
          <w:p>
            <w:pPr>
              <w:spacing w:before="20" w:after="20" w:line="240" w:lineRule="auto"/>
            </w:pPr>
            <w:r>
              <w:rPr>
                <w:sz w:val="18"/>
              </w:rPr>
              <w:t>Bank-feed key</w:t>
            </w:r>
          </w:p>
        </w:tc>
        <w:tc>
          <w:tcPr>
            <w:tcW w:type="dxa" w:w="7960"/>
          </w:tcPr>
          <w:p>
            <w:pPr>
              <w:spacing w:before="20" w:after="20" w:line="240" w:lineRule="auto"/>
            </w:pPr>
            <w:r>
              <w:rPr>
                <w:sz w:val="18"/>
              </w:rPr>
              <w:t>Recording a receipt as the bank (Tier 1)</w:t>
            </w:r>
          </w:p>
        </w:tc>
      </w:tr>
      <w:tr>
        <w:trPr>
          <w:cantSplit w:val="true"/>
        </w:trPr>
        <w:tc>
          <w:tcPr>
            <w:tcW w:type="dxa" w:w="1400"/>
          </w:tcPr>
          <w:p>
            <w:pPr>
              <w:spacing w:before="20" w:after="20" w:line="240" w:lineRule="auto"/>
            </w:pPr>
            <w:r>
              <w:rPr>
                <w:sz w:val="18"/>
              </w:rPr>
              <w:t>Buyer channel key</w:t>
            </w:r>
          </w:p>
        </w:tc>
        <w:tc>
          <w:tcPr>
            <w:tcW w:type="dxa" w:w="7960"/>
          </w:tcPr>
          <w:p>
            <w:pPr>
              <w:spacing w:before="20" w:after="20" w:line="240" w:lineRule="auto"/>
            </w:pPr>
            <w:r>
              <w:rPr>
                <w:sz w:val="18"/>
              </w:rPr>
              <w:t>That a message comes from that registered buyer; 5 messages a simulated day, then refused</w:t>
            </w:r>
          </w:p>
        </w:tc>
      </w:tr>
      <w:tr>
        <w:trPr>
          <w:cantSplit w:val="true"/>
        </w:trPr>
        <w:tc>
          <w:tcPr>
            <w:tcW w:type="dxa" w:w="1400"/>
          </w:tcPr>
          <w:p>
            <w:pPr>
              <w:spacing w:before="20" w:after="20" w:line="240" w:lineRule="auto"/>
            </w:pPr>
            <w:r>
              <w:rPr>
                <w:sz w:val="18"/>
              </w:rPr>
              <w:t>None</w:t>
            </w:r>
          </w:p>
        </w:tc>
        <w:tc>
          <w:tcPr>
            <w:tcW w:type="dxa" w:w="7960"/>
          </w:tcPr>
          <w:p>
            <w:pPr>
              <w:spacing w:before="20" w:after="20" w:line="240" w:lineRule="auto"/>
            </w:pPr>
            <w:r>
              <w:rPr>
                <w:sz w:val="18"/>
              </w:rPr>
              <w:t>A message is compiled and verified as a proposal only and can never execute</w:t>
            </w:r>
          </w:p>
        </w:tc>
      </w:tr>
    </w:tbl>
    <w:p>
      <w:pPr>
        <w:spacing w:after="40"/>
      </w:pPr>
    </w:p>
    <w:p>
      <w:pPr>
        <w:pStyle w:val="ListBullet2"/>
        <w:tabs>
          <w:tab w:pos="792" w:val="left"/>
        </w:tabs>
        <w:spacing w:before="0" w:after="60" w:line="259" w:lineRule="auto"/>
        <w:ind w:left="792" w:hanging="288"/>
      </w:pPr>
      <w:r>
        <w:rPr>
          <w:b/>
          <w:sz w:val="20"/>
        </w:rPr>
        <w:t>A field in a request body confers nothing.</w:t>
      </w:r>
      <w:r>
        <w:rPr>
          <w:sz w:val="20"/>
        </w:rPr>
        <w:t xml:space="preserve"> For example, "requested_by: OWNER" is downgraded before parsing.</w:t>
      </w:r>
    </w:p>
    <w:p>
      <w:pPr>
        <w:pStyle w:val="ListBullet2"/>
        <w:tabs>
          <w:tab w:pos="792" w:val="left"/>
        </w:tabs>
        <w:spacing w:before="0"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pPr>
        <w:pStyle w:val="ListBullet2"/>
        <w:tabs>
          <w:tab w:pos="792" w:val="left"/>
        </w:tabs>
        <w:spacing w:before="0" w:after="60" w:line="259" w:lineRule="auto"/>
        <w:ind w:left="792" w:hanging="288"/>
      </w:pPr>
      <w:r>
        <w:rPr>
          <w:b/>
          <w:sz w:val="20"/>
        </w:rPr>
        <w:t>The web app ships no credential.</w:t>
      </w:r>
      <w:r>
        <w:rPr>
          <w:sz w:val="20"/>
        </w:rPr>
        <w:t xml:space="preserve"> The owner signs in, and the token is kept only for that browser tab.</w:t>
      </w:r>
    </w:p>
    <w:p>
      <w:pPr>
        <w:jc w:val="center"/>
      </w:pPr>
      <w:r>
        <w:drawing>
          <wp:inline xmlns:a="http://schemas.openxmlformats.org/drawingml/2006/main" xmlns:pic="http://schemas.openxmlformats.org/drawingml/2006/picture">
            <wp:extent cx="3901440" cy="4389120"/>
            <wp:docPr id="7" name="Picture 7"/>
            <wp:cNvGraphicFramePr>
              <a:graphicFrameLocks noChangeAspect="1"/>
            </wp:cNvGraphicFramePr>
            <a:graphic>
              <a:graphicData uri="http://schemas.openxmlformats.org/drawingml/2006/picture">
                <pic:pic>
                  <pic:nvPicPr>
                    <pic:cNvPr id="0" name="fig3-permission-tiers.png"/>
                    <pic:cNvPicPr/>
                  </pic:nvPicPr>
                  <pic:blipFill>
                    <a:blip r:embed="rId16"/>
                    <a:stretch>
                      <a:fillRect/>
                    </a:stretch>
                  </pic:blipFill>
                  <pic:spPr>
                    <a:xfrm>
                      <a:off x="0" y="0"/>
                      <a:ext cx="3901440" cy="4389120"/>
                    </a:xfrm>
                    <a:prstGeom prst="rect"/>
                  </pic:spPr>
                </pic:pic>
              </a:graphicData>
            </a:graphic>
          </wp:inline>
        </w:drawing>
      </w:r>
    </w:p>
    <w:p>
      <w:pPr>
        <w:pStyle w:val="Caption"/>
      </w:pPr>
      <w:r>
        <w:t>Figure 7. Who may do what. Tier 1 runs on its own inside the signed mandate; Tier 2 waits for the owner; Tier 3 is refused for everyone, the owner included. Every operation passes the executor's gates in the order shown.</w:t>
      </w:r>
    </w:p>
    <w:p>
      <w:pPr>
        <w:spacing w:before="0" w:after="60" w:line="259" w:lineRule="auto"/>
      </w:pPr>
      <w:r>
        <w:rPr>
          <w:b/>
          <w:sz w:val="20"/>
        </w:rPr>
        <w:t>The three tiers. The executor computes the tier itself, and a caller-supplied tier is rejected.</w:t>
      </w:r>
    </w:p>
    <w:p>
      <w:pPr>
        <w:pStyle w:val="ListBullet2"/>
        <w:tabs>
          <w:tab w:pos="792" w:val="left"/>
        </w:tabs>
        <w:spacing w:before="0" w:after="60" w:line="259" w:lineRule="auto"/>
        <w:ind w:left="792" w:hanging="288"/>
      </w:pPr>
      <w:r>
        <w:rPr>
          <w:b/>
          <w:sz w:val="20"/>
        </w:rPr>
        <w:t>Tier 1, autonomous inside the mandate.</w:t>
      </w:r>
    </w:p>
    <w:p>
      <w:pPr>
        <w:pStyle w:val="ListBullet3"/>
        <w:tabs>
          <w:tab w:pos="1152" w:val="left"/>
        </w:tabs>
        <w:spacing w:before="0" w:after="60" w:line="259" w:lineRule="auto"/>
        <w:ind w:left="1152" w:hanging="288"/>
      </w:pPr>
      <w:r>
        <w:rPr>
          <w:sz w:val="20"/>
        </w:rPr>
        <w:t>Accept a pure early-payment discount that passes the three tests and the coverage proof.</w:t>
      </w:r>
    </w:p>
    <w:p>
      <w:pPr>
        <w:pStyle w:val="ListBullet3"/>
        <w:tabs>
          <w:tab w:pos="1152" w:val="left"/>
        </w:tabs>
        <w:spacing w:before="0" w:after="60" w:line="259" w:lineRule="auto"/>
        <w:ind w:left="1152" w:hanging="288"/>
      </w:pPr>
      <w:r>
        <w:rPr>
          <w:sz w:val="20"/>
        </w:rPr>
        <w:t>Counter or reject within the mandate.</w:t>
      </w:r>
    </w:p>
    <w:p>
      <w:pPr>
        <w:pStyle w:val="ListBullet3"/>
        <w:tabs>
          <w:tab w:pos="1152" w:val="left"/>
        </w:tabs>
        <w:spacing w:before="0" w:after="60" w:line="259" w:lineRule="auto"/>
        <w:ind w:left="1152" w:hanging="288"/>
      </w:pPr>
      <w:r>
        <w:rPr>
          <w:sz w:val="20"/>
        </w:rPr>
        <w:t>Draw on, repay or finance from a committed facility below the rate ceiling.</w:t>
      </w:r>
    </w:p>
    <w:p>
      <w:pPr>
        <w:pStyle w:val="ListBullet3"/>
        <w:tabs>
          <w:tab w:pos="1152" w:val="left"/>
        </w:tabs>
        <w:spacing w:before="0" w:after="60" w:line="259" w:lineRule="auto"/>
        <w:ind w:left="1152" w:hanging="288"/>
      </w:pPr>
      <w:r>
        <w:rPr>
          <w:sz w:val="20"/>
        </w:rPr>
        <w:t>Record a receipt from the bank feed or the owner.</w:t>
      </w:r>
    </w:p>
    <w:p>
      <w:pPr>
        <w:pStyle w:val="ListBullet2"/>
        <w:tabs>
          <w:tab w:pos="792" w:val="left"/>
        </w:tabs>
        <w:spacing w:before="0"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pPr>
        <w:pStyle w:val="ListBullet3"/>
        <w:tabs>
          <w:tab w:pos="1152" w:val="left"/>
        </w:tabs>
        <w:spacing w:before="0" w:after="60" w:line="259" w:lineRule="auto"/>
        <w:ind w:left="1152" w:hanging="288"/>
      </w:pPr>
      <w:r>
        <w:rPr>
          <w:sz w:val="20"/>
        </w:rPr>
        <w:t>a facility application or addition;</w:t>
      </w:r>
    </w:p>
    <w:p>
      <w:pPr>
        <w:pStyle w:val="ListBullet3"/>
        <w:tabs>
          <w:tab w:pos="1152" w:val="left"/>
        </w:tabs>
        <w:spacing w:before="0" w:after="60" w:line="259" w:lineRule="auto"/>
        <w:ind w:left="1152" w:hanging="288"/>
      </w:pPr>
      <w:r>
        <w:rPr>
          <w:sz w:val="20"/>
        </w:rPr>
        <w:t>an equipment purchase;</w:t>
      </w:r>
    </w:p>
    <w:p>
      <w:pPr>
        <w:pStyle w:val="ListBullet3"/>
        <w:tabs>
          <w:tab w:pos="1152" w:val="left"/>
        </w:tabs>
        <w:spacing w:before="0" w:after="60" w:line="259" w:lineRule="auto"/>
        <w:ind w:left="1152" w:hanging="288"/>
      </w:pPr>
      <w:r>
        <w:rPr>
          <w:sz w:val="20"/>
        </w:rPr>
        <w:t>a draw above the rate ceiling;</w:t>
      </w:r>
    </w:p>
    <w:p>
      <w:pPr>
        <w:pStyle w:val="ListBullet3"/>
        <w:tabs>
          <w:tab w:pos="1152" w:val="left"/>
        </w:tabs>
        <w:spacing w:before="0" w:after="60" w:line="259" w:lineRule="auto"/>
        <w:ind w:left="1152" w:hanging="288"/>
      </w:pPr>
      <w:r>
        <w:rPr>
          <w:sz w:val="20"/>
        </w:rPr>
        <w:t>a receipt reported by anyone other than the bank or the owner.</w:t>
      </w:r>
    </w:p>
    <w:p>
      <w:pPr>
        <w:pStyle w:val="ListBullet2"/>
        <w:tabs>
          <w:tab w:pos="792" w:val="left"/>
        </w:tabs>
        <w:spacing w:before="0"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pPr>
        <w:spacing w:before="0"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pPr>
        <w:spacing w:before="0" w:after="60" w:line="259" w:lineRule="auto"/>
      </w:pPr>
      <w:r>
        <w:rPr>
          <w:b/>
          <w:sz w:val="20"/>
        </w:rPr>
        <w:t>Verification gates, in order.</w:t>
      </w:r>
    </w:p>
    <w:p>
      <w:pPr>
        <w:spacing w:before="0" w:after="60" w:line="259" w:lineRule="auto"/>
        <w:ind w:left="720" w:hanging="288"/>
      </w:pPr>
      <w:r>
        <w:rPr>
          <w:sz w:val="20"/>
        </w:rPr>
        <w:t xml:space="preserve">1. </w:t>
      </w:r>
      <w:r>
        <w:rPr>
          <w:sz w:val="20"/>
        </w:rPr>
        <w:t>Idempotency key.</w:t>
      </w:r>
    </w:p>
    <w:p>
      <w:pPr>
        <w:spacing w:before="0" w:after="60" w:line="259" w:lineRule="auto"/>
        <w:ind w:left="720" w:hanging="288"/>
      </w:pPr>
      <w:r>
        <w:rPr>
          <w:sz w:val="20"/>
        </w:rPr>
        <w:t xml:space="preserve">2. </w:t>
      </w:r>
      <w:r>
        <w:rPr>
          <w:sz w:val="20"/>
        </w:rPr>
        <w:t>Dating.</w:t>
      </w:r>
    </w:p>
    <w:p>
      <w:pPr>
        <w:spacing w:before="0" w:after="60" w:line="259" w:lineRule="auto"/>
        <w:ind w:left="720" w:hanging="288"/>
      </w:pPr>
      <w:r>
        <w:rPr>
          <w:sz w:val="20"/>
        </w:rPr>
        <w:t xml:space="preserve">3. </w:t>
      </w:r>
      <w:r>
        <w:rPr>
          <w:sz w:val="20"/>
        </w:rPr>
        <w:t>Mandate signature, pinned key, expiry and version.</w:t>
      </w:r>
    </w:p>
    <w:p>
      <w:pPr>
        <w:spacing w:before="0" w:after="60" w:line="259" w:lineRule="auto"/>
        <w:ind w:left="720" w:hanging="288"/>
      </w:pPr>
      <w:r>
        <w:rPr>
          <w:sz w:val="20"/>
        </w:rPr>
        <w:t xml:space="preserve">4. </w:t>
      </w:r>
      <w:r>
        <w:rPr>
          <w:sz w:val="20"/>
        </w:rPr>
        <w:t>Tier 3.</w:t>
      </w:r>
    </w:p>
    <w:p>
      <w:pPr>
        <w:spacing w:before="0"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pPr>
        <w:spacing w:before="0" w:after="60" w:line="259" w:lineRule="auto"/>
        <w:ind w:left="720" w:hanging="288"/>
      </w:pPr>
      <w:r>
        <w:rPr>
          <w:sz w:val="20"/>
        </w:rPr>
        <w:t xml:space="preserve">6. </w:t>
      </w:r>
      <w:r>
        <w:rPr>
          <w:sz w:val="20"/>
        </w:rPr>
        <w:t>For acceptances: an unexpired commitment with a single-use nonce, a matching terms hash, and a verdict re-verified on today's books.</w:t>
      </w:r>
    </w:p>
    <w:p>
      <w:pPr>
        <w:spacing w:before="0" w:after="60" w:line="259" w:lineRule="auto"/>
        <w:ind w:left="720" w:hanging="288"/>
      </w:pPr>
      <w:r>
        <w:rPr>
          <w:sz w:val="20"/>
        </w:rPr>
        <w:t xml:space="preserve">7. </w:t>
      </w:r>
      <w:r>
        <w:rPr>
          <w:sz w:val="20"/>
        </w:rPr>
        <w:t>The Tier-2 queue.</w:t>
      </w:r>
    </w:p>
    <w:p>
      <w:pPr>
        <w:spacing w:before="0" w:after="60" w:line="259" w:lineRule="auto"/>
        <w:ind w:left="720" w:hanging="288"/>
      </w:pPr>
      <w:r>
        <w:rPr>
          <w:sz w:val="20"/>
        </w:rPr>
        <w:t xml:space="preserve">8. </w:t>
      </w:r>
      <w:r>
        <w:rPr>
          <w:sz w:val="20"/>
        </w:rPr>
        <w:t>Admission for draws and advances on today's books.</w:t>
      </w:r>
    </w:p>
    <w:p>
      <w:pPr>
        <w:spacing w:before="0" w:after="60" w:line="259" w:lineRule="auto"/>
      </w:pPr>
      <w:r>
        <w:rPr>
          <w:sz w:val="20"/>
        </w:rPr>
        <w:t>The owner cannot waive a hard rule by approving.</w:t>
      </w:r>
    </w:p>
    <w:p>
      <w:pPr>
        <w:spacing w:before="0" w:after="60" w:line="259" w:lineRule="auto"/>
      </w:pPr>
      <w:r>
        <w:rPr>
          <w:b/>
          <w:sz w:val="20"/>
        </w:rPr>
        <w:t>The record.</w:t>
      </w:r>
    </w:p>
    <w:p>
      <w:pPr>
        <w:pStyle w:val="ListBullet2"/>
        <w:tabs>
          <w:tab w:pos="792" w:val="left"/>
        </w:tabs>
        <w:spacing w:before="0" w:after="60" w:line="259" w:lineRule="auto"/>
        <w:ind w:left="792" w:hanging="288"/>
      </w:pPr>
      <w:r>
        <w:rPr>
          <w:b/>
          <w:sz w:val="20"/>
        </w:rPr>
        <w:t>Every outcome of an operation admitted to the executor is appended to a hash-chained log,</w:t>
      </w:r>
      <w:r>
        <w:rPr>
          <w:sz w:val="20"/>
        </w:rPr>
        <w:t xml:space="preserve"> refusals and duplicates included: </w:t>
      </w:r>
      <w:r>
        <w:rPr>
          <w:rFonts w:ascii="Courier New" w:hAnsi="Courier New"/>
          <w:sz w:val="18"/>
        </w:rPr>
        <w:t>entry_hash = sha256(prev_hash + payload + result)</w:t>
      </w:r>
      <w:r>
        <w:rPr>
          <w:sz w:val="20"/>
        </w:rPr>
        <w:t>. Requests refused earlier are kept as security events.</w:t>
      </w:r>
    </w:p>
    <w:p>
      <w:pPr>
        <w:pStyle w:val="ListBullet2"/>
        <w:tabs>
          <w:tab w:pos="792" w:val="left"/>
        </w:tabs>
        <w:spacing w:before="0" w:after="60" w:line="259" w:lineRule="auto"/>
        <w:ind w:left="792" w:hanging="288"/>
      </w:pPr>
      <w:r>
        <w:rPr>
          <w:b/>
          <w:sz w:val="20"/>
        </w:rPr>
        <w:t>The database itself refuses to edit or delete history</w:t>
      </w:r>
      <w:r>
        <w:rPr>
          <w:sz w:val="20"/>
        </w:rPr>
        <w:t xml:space="preserve"> (migrations 0003 and 0009):</w:t>
      </w:r>
    </w:p>
    <w:p>
      <w:pPr>
        <w:pStyle w:val="ListBullet3"/>
        <w:tabs>
          <w:tab w:pos="1152" w:val="left"/>
        </w:tabs>
        <w:spacing w:before="0" w:after="60" w:line="259" w:lineRule="auto"/>
        <w:ind w:left="1152" w:hanging="288"/>
      </w:pPr>
      <w:r>
        <w:rPr>
          <w:sz w:val="20"/>
        </w:rPr>
        <w:t>the log, nonces and security events are append-only;</w:t>
      </w:r>
    </w:p>
    <w:p>
      <w:pPr>
        <w:pStyle w:val="ListBullet3"/>
        <w:tabs>
          <w:tab w:pos="1152" w:val="left"/>
        </w:tabs>
        <w:spacing w:before="0" w:after="60" w:line="259" w:lineRule="auto"/>
        <w:ind w:left="1152" w:hanging="288"/>
      </w:pPr>
      <w:r>
        <w:rPr>
          <w:sz w:val="20"/>
        </w:rPr>
        <w:t>approvals can be decided only once;</w:t>
      </w:r>
    </w:p>
    <w:p>
      <w:pPr>
        <w:pStyle w:val="ListBullet3"/>
        <w:tabs>
          <w:tab w:pos="1152" w:val="left"/>
        </w:tabs>
        <w:spacing w:before="0" w:after="60" w:line="259" w:lineRule="auto"/>
        <w:ind w:left="1152" w:hanging="288"/>
      </w:pPr>
      <w:r>
        <w:rPr>
          <w:sz w:val="20"/>
        </w:rPr>
        <w:t>no session setting can switch the guard off.</w:t>
      </w:r>
    </w:p>
    <w:p>
      <w:pPr>
        <w:pStyle w:val="ListBullet2"/>
        <w:tabs>
          <w:tab w:pos="792" w:val="left"/>
        </w:tabs>
        <w:spacing w:before="0"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pPr>
        <w:pStyle w:val="ListBullet2"/>
        <w:tabs>
          <w:tab w:pos="792" w:val="left"/>
        </w:tabs>
        <w:spacing w:before="0" w:after="60" w:line="259" w:lineRule="auto"/>
        <w:ind w:left="792" w:hanging="288"/>
      </w:pPr>
      <w:r>
        <w:rPr>
          <w:b/>
          <w:sz w:val="20"/>
        </w:rPr>
        <w:t>The chain is internally checkable only.</w:t>
      </w:r>
      <w:r>
        <w:rPr>
          <w:sz w:val="20"/>
        </w:rPr>
        <w:t xml:space="preserve"> Its head is not anchored outside the system.</w:t>
      </w:r>
    </w:p>
    <w:p>
      <w:pPr>
        <w:spacing w:before="0"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 Each operation is atomic; a plan of several steps is not, so a plan refused part-way keeps its earlier steps and the owner is told which step it stopped at (SEC-28).</w:t>
      </w:r>
    </w:p>
    <w:p>
      <w:pPr>
        <w:pStyle w:val="ListBullet"/>
        <w:spacing w:after="100"/>
      </w:pPr>
      <w:r>
        <w:t>Protection against prompt injection, privilege escalation and privacy leakage</w:t>
      </w:r>
    </w:p>
    <w:p>
      <w:pPr>
        <w:spacing w:before="0" w:after="60" w:line="259" w:lineRule="auto"/>
      </w:pPr>
      <w:r>
        <w:rPr>
          <w:b/>
          <w:sz w:val="20"/>
        </w:rPr>
        <w:t>Prompt injection: architecture first, detection second.</w:t>
      </w:r>
    </w:p>
    <w:p>
      <w:pPr>
        <w:pStyle w:val="ListBullet2"/>
        <w:tabs>
          <w:tab w:pos="792" w:val="left"/>
        </w:tabs>
        <w:spacing w:before="0"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pPr>
        <w:pStyle w:val="ListBullet2"/>
        <w:tabs>
          <w:tab w:pos="792" w:val="left"/>
        </w:tabs>
        <w:spacing w:before="0"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pPr>
        <w:pStyle w:val="ListBullet2"/>
        <w:tabs>
          <w:tab w:pos="792" w:val="left"/>
        </w:tabs>
        <w:spacing w:before="0" w:after="60" w:line="259" w:lineRule="auto"/>
        <w:ind w:left="792" w:hanging="288"/>
      </w:pPr>
      <w:r>
        <w:rPr>
          <w:b/>
          <w:sz w:val="20"/>
        </w:rPr>
        <w:t>Claims are not facts.</w:t>
      </w:r>
    </w:p>
    <w:p>
      <w:pPr>
        <w:pStyle w:val="ListBullet3"/>
        <w:tabs>
          <w:tab w:pos="1152" w:val="left"/>
        </w:tabs>
        <w:spacing w:before="0" w:after="60" w:line="259" w:lineRule="auto"/>
        <w:ind w:left="1152" w:hanging="288"/>
      </w:pPr>
      <w:r>
        <w:rPr>
          <w:sz w:val="20"/>
        </w:rPr>
        <w:t>A claimed prior concession with no matching commitment is never booked.</w:t>
      </w:r>
    </w:p>
    <w:p>
      <w:pPr>
        <w:pStyle w:val="ListBullet3"/>
        <w:tabs>
          <w:tab w:pos="1152" w:val="left"/>
        </w:tabs>
        <w:spacing w:before="0" w:after="60" w:line="259" w:lineRule="auto"/>
        <w:ind w:left="1152" w:hanging="288"/>
      </w:pPr>
      <w:r>
        <w:rPr>
          <w:sz w:val="20"/>
        </w:rPr>
        <w:t>A lender named in a message becomes a logged funding claim, never a facility.</w:t>
      </w:r>
    </w:p>
    <w:p>
      <w:pPr>
        <w:pStyle w:val="ListBullet3"/>
        <w:tabs>
          <w:tab w:pos="1152" w:val="left"/>
        </w:tabs>
        <w:spacing w:before="0" w:after="60" w:line="259" w:lineRule="auto"/>
        <w:ind w:left="1152" w:hanging="288"/>
      </w:pPr>
      <w:r>
        <w:rPr>
          <w:sz w:val="20"/>
        </w:rPr>
        <w:t>A condition on a future business event makes a gain contingent, whatever the model says.</w:t>
      </w:r>
    </w:p>
    <w:p>
      <w:pPr>
        <w:pStyle w:val="ListBullet2"/>
        <w:tabs>
          <w:tab w:pos="792" w:val="left"/>
        </w:tabs>
        <w:spacing w:before="0"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pPr>
        <w:pStyle w:val="ListBullet2"/>
        <w:tabs>
          <w:tab w:pos="792" w:val="left"/>
        </w:tabs>
        <w:spacing w:before="0"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pPr>
        <w:pStyle w:val="ListBullet2"/>
        <w:tabs>
          <w:tab w:pos="792" w:val="left"/>
        </w:tabs>
        <w:spacing w:before="0" w:after="60" w:line="259" w:lineRule="auto"/>
        <w:ind w:left="792" w:hanging="288"/>
      </w:pPr>
      <w:r>
        <w:rPr>
          <w:b/>
          <w:sz w:val="20"/>
        </w:rPr>
        <w:t>Contracts are read the same way.</w:t>
      </w:r>
    </w:p>
    <w:p>
      <w:pPr>
        <w:pStyle w:val="ListBullet3"/>
        <w:tabs>
          <w:tab w:pos="1152" w:val="left"/>
        </w:tabs>
        <w:spacing w:before="0" w:after="60" w:line="259" w:lineRule="auto"/>
        <w:ind w:left="1152" w:hanging="288"/>
      </w:pPr>
      <w:r>
        <w:rPr>
          <w:sz w:val="20"/>
        </w:rPr>
        <w:t>Every term quotes its clause, and its figures are parsed by code from the quoted words.</w:t>
      </w:r>
    </w:p>
    <w:p>
      <w:pPr>
        <w:pStyle w:val="ListBullet3"/>
        <w:tabs>
          <w:tab w:pos="1152" w:val="left"/>
        </w:tabs>
        <w:spacing w:before="0" w:after="60" w:line="259" w:lineRule="auto"/>
        <w:ind w:left="1152" w:hanging="288"/>
      </w:pPr>
      <w:r>
        <w:rPr>
          <w:sz w:val="20"/>
        </w:rPr>
        <w:t>A sentence addressed to the agent blocks confirmation and logs a security event.</w:t>
      </w:r>
    </w:p>
    <w:p>
      <w:pPr>
        <w:pStyle w:val="ListBullet3"/>
        <w:tabs>
          <w:tab w:pos="1152" w:val="left"/>
        </w:tabs>
        <w:spacing w:before="0" w:after="60" w:line="259" w:lineRule="auto"/>
        <w:ind w:left="1152" w:hanging="288"/>
      </w:pPr>
      <w:r>
        <w:rPr>
          <w:sz w:val="20"/>
        </w:rPr>
        <w:t>Documents are read only for counterparties on the owner's registry, and the contract must actually name the chosen company.</w:t>
      </w:r>
    </w:p>
    <w:p>
      <w:pPr>
        <w:pStyle w:val="ListBullet3"/>
        <w:tabs>
          <w:tab w:pos="1152" w:val="left"/>
        </w:tabs>
        <w:spacing w:before="0" w:after="60" w:line="259" w:lineRule="auto"/>
        <w:ind w:left="1152" w:hanging="288"/>
      </w:pPr>
      <w:r>
        <w:rPr>
          <w:sz w:val="20"/>
        </w:rPr>
        <w:t>A confirmed document never changes the books. After confirming, FLOW says what was saved, under which customer, and that the forecast is unchanged.</w:t>
      </w:r>
    </w:p>
    <w:p>
      <w:pPr>
        <w:pStyle w:val="ListBullet2"/>
        <w:tabs>
          <w:tab w:pos="792" w:val="left"/>
        </w:tabs>
        <w:spacing w:before="0" w:after="60" w:line="259" w:lineRule="auto"/>
        <w:ind w:left="792" w:hanging="288"/>
      </w:pPr>
      <w:r>
        <w:rPr>
          <w:b/>
          <w:sz w:val="20"/>
        </w:rPr>
        <w:t>Chat is inside the boundary.</w:t>
      </w:r>
    </w:p>
    <w:p>
      <w:pPr>
        <w:pStyle w:val="ListBullet3"/>
        <w:tabs>
          <w:tab w:pos="1152" w:val="left"/>
        </w:tabs>
        <w:spacing w:before="0" w:after="60" w:line="259" w:lineRule="auto"/>
        <w:ind w:left="1152" w:hanging="288"/>
      </w:pPr>
      <w:r>
        <w:rPr>
          <w:sz w:val="20"/>
        </w:rPr>
        <w:t>Pasted or quoted text never becomes an instruction or an approval.</w:t>
      </w:r>
    </w:p>
    <w:p>
      <w:pPr>
        <w:pStyle w:val="ListBullet3"/>
        <w:tabs>
          <w:tab w:pos="1152" w:val="left"/>
        </w:tabs>
        <w:spacing w:before="0" w:after="60" w:line="259" w:lineRule="auto"/>
        <w:ind w:left="1152" w:hanging="288"/>
      </w:pPr>
      <w:r>
        <w:rPr>
          <w:sz w:val="20"/>
        </w:rPr>
        <w:t>A session continues only for the caller that opened it.</w:t>
      </w:r>
    </w:p>
    <w:p>
      <w:pPr>
        <w:pStyle w:val="ListBullet3"/>
        <w:tabs>
          <w:tab w:pos="1152" w:val="left"/>
        </w:tabs>
        <w:spacing w:before="0" w:after="60" w:line="259" w:lineRule="auto"/>
        <w:ind w:left="1152" w:hanging="288"/>
      </w:pPr>
      <w:r>
        <w:rPr>
          <w:sz w:val="20"/>
        </w:rPr>
        <w:t>Once the owner has sent a counter outside FLOW, no chat path can accept, decline or send on that request.</w:t>
      </w:r>
    </w:p>
    <w:p>
      <w:pPr>
        <w:spacing w:before="0" w:after="60" w:line="259" w:lineRule="auto"/>
      </w:pPr>
      <w:r>
        <w:rPr>
          <w:b/>
          <w:sz w:val="20"/>
        </w:rPr>
        <w:t>Privilege escalation.</w:t>
      </w:r>
    </w:p>
    <w:p>
      <w:pPr>
        <w:pStyle w:val="ListBullet2"/>
        <w:tabs>
          <w:tab w:pos="792" w:val="left"/>
        </w:tabs>
        <w:spacing w:before="0" w:after="60" w:line="259" w:lineRule="auto"/>
        <w:ind w:left="792" w:hanging="288"/>
      </w:pPr>
      <w:r>
        <w:rPr>
          <w:b/>
          <w:sz w:val="20"/>
        </w:rPr>
        <w:t>Tiers are enforced by code, never by prompts.</w:t>
      </w:r>
      <w:r>
        <w:rPr>
          <w:sz w:val="20"/>
        </w:rPr>
        <w:t xml:space="preserve"> The executor trusts no caller-supplied tier, actor or approval.</w:t>
      </w:r>
    </w:p>
    <w:p>
      <w:pPr>
        <w:pStyle w:val="ListBullet2"/>
        <w:tabs>
          <w:tab w:pos="792" w:val="left"/>
        </w:tabs>
        <w:spacing w:before="0" w:after="60" w:line="259" w:lineRule="auto"/>
        <w:ind w:left="792" w:hanging="288"/>
      </w:pPr>
      <w:r>
        <w:rPr>
          <w:b/>
          <w:sz w:val="20"/>
        </w:rPr>
        <w:t>All of these are refused and logged:</w:t>
      </w:r>
    </w:p>
    <w:p>
      <w:pPr>
        <w:pStyle w:val="ListBullet3"/>
        <w:tabs>
          <w:tab w:pos="1152" w:val="left"/>
        </w:tabs>
        <w:spacing w:before="0" w:after="60" w:line="259" w:lineRule="auto"/>
        <w:ind w:left="1152" w:hanging="288"/>
      </w:pPr>
      <w:r>
        <w:rPr>
          <w:sz w:val="20"/>
        </w:rPr>
        <w:t>self-approval;</w:t>
      </w:r>
    </w:p>
    <w:p>
      <w:pPr>
        <w:pStyle w:val="ListBullet3"/>
        <w:tabs>
          <w:tab w:pos="1152" w:val="left"/>
        </w:tabs>
        <w:spacing w:before="0" w:after="60" w:line="259" w:lineRule="auto"/>
        <w:ind w:left="1152" w:hanging="288"/>
      </w:pPr>
      <w:r>
        <w:rPr>
          <w:sz w:val="20"/>
        </w:rPr>
        <w:t>a circuit reset by the agent;</w:t>
      </w:r>
    </w:p>
    <w:p>
      <w:pPr>
        <w:pStyle w:val="ListBullet3"/>
        <w:tabs>
          <w:tab w:pos="1152" w:val="left"/>
        </w:tabs>
        <w:spacing w:before="0" w:after="60" w:line="259" w:lineRule="auto"/>
        <w:ind w:left="1152" w:hanging="288"/>
      </w:pPr>
      <w:r>
        <w:rPr>
          <w:sz w:val="20"/>
        </w:rPr>
        <w:t>forged or edited mandates;</w:t>
      </w:r>
    </w:p>
    <w:p>
      <w:pPr>
        <w:pStyle w:val="ListBullet3"/>
        <w:tabs>
          <w:tab w:pos="1152" w:val="left"/>
        </w:tabs>
        <w:spacing w:before="0" w:after="60" w:line="259" w:lineRule="auto"/>
        <w:ind w:left="1152" w:hanging="288"/>
      </w:pPr>
      <w:r>
        <w:rPr>
          <w:sz w:val="20"/>
        </w:rPr>
        <w:t>reused or guessed nonces;</w:t>
      </w:r>
    </w:p>
    <w:p>
      <w:pPr>
        <w:pStyle w:val="ListBullet3"/>
        <w:tabs>
          <w:tab w:pos="1152" w:val="left"/>
        </w:tabs>
        <w:spacing w:before="0" w:after="60" w:line="259" w:lineRule="auto"/>
        <w:ind w:left="1152" w:hanging="288"/>
      </w:pPr>
      <w:r>
        <w:rPr>
          <w:sz w:val="20"/>
        </w:rPr>
        <w:t>backdated operations.</w:t>
      </w:r>
    </w:p>
    <w:p>
      <w:pPr>
        <w:pStyle w:val="ListBullet2"/>
        <w:tabs>
          <w:tab w:pos="792" w:val="left"/>
        </w:tabs>
        <w:spacing w:before="0" w:after="60" w:line="259" w:lineRule="auto"/>
        <w:ind w:left="792" w:hanging="288"/>
      </w:pPr>
      <w:r>
        <w:rPr>
          <w:b/>
          <w:sz w:val="20"/>
        </w:rPr>
        <w:t>Unknown fields are rejected.</w:t>
      </w:r>
    </w:p>
    <w:p>
      <w:pPr>
        <w:pStyle w:val="ListBullet2"/>
        <w:tabs>
          <w:tab w:pos="792" w:val="left"/>
        </w:tabs>
        <w:spacing w:before="0" w:after="60" w:line="259" w:lineRule="auto"/>
        <w:ind w:left="792" w:hanging="288"/>
      </w:pPr>
      <w:r>
        <w:rPr>
          <w:b/>
          <w:sz w:val="20"/>
        </w:rPr>
        <w:t>Rate limits apply to every caller (SEC-20).</w:t>
      </w:r>
      <w:r>
        <w:rPr>
          <w:sz w:val="20"/>
        </w:rPr>
        <w:t xml:space="preserve"> A burst is refused with 429 and a retry time.</w:t>
      </w:r>
    </w:p>
    <w:p>
      <w:pPr>
        <w:pStyle w:val="ListBullet2"/>
        <w:tabs>
          <w:tab w:pos="792" w:val="left"/>
        </w:tabs>
        <w:spacing w:before="0" w:after="60" w:line="259" w:lineRule="auto"/>
        <w:ind w:left="792" w:hanging="288"/>
      </w:pPr>
      <w:r>
        <w:rPr>
          <w:b/>
          <w:sz w:val="20"/>
        </w:rPr>
        <w:t>All 100 routes are tested</w:t>
      </w:r>
      <w:r>
        <w:rPr>
          <w:sz w:val="20"/>
        </w:rPr>
        <w:t xml:space="preserve"> by a route-policy test that calls every method and route as every kind of caller, with demo mode on, off and unset.</w:t>
      </w:r>
    </w:p>
    <w:p>
      <w:pPr>
        <w:spacing w:before="0" w:after="60" w:line="259" w:lineRule="auto"/>
      </w:pPr>
      <w:r>
        <w:rPr>
          <w:b/>
          <w:sz w:val="20"/>
        </w:rPr>
        <w:t>Privacy leakage.</w:t>
      </w:r>
    </w:p>
    <w:p>
      <w:pPr>
        <w:pStyle w:val="ListBullet2"/>
        <w:tabs>
          <w:tab w:pos="792" w:val="left"/>
        </w:tabs>
        <w:spacing w:before="0" w:after="60" w:line="259" w:lineRule="auto"/>
        <w:ind w:left="792" w:hanging="288"/>
      </w:pPr>
      <w:r>
        <w:rPr>
          <w:b/>
          <w:sz w:val="20"/>
        </w:rPr>
        <w:t>Outbound text</w:t>
      </w:r>
      <w:r>
        <w:rPr>
          <w:sz w:val="20"/>
        </w:rPr>
        <w:t xml:space="preserve"> is filled from an approved template, never free model prose. A request for data gets one fixed reply.</w:t>
      </w:r>
    </w:p>
    <w:p>
      <w:pPr>
        <w:pStyle w:val="ListBullet2"/>
        <w:tabs>
          <w:tab w:pos="792" w:val="left"/>
        </w:tabs>
        <w:spacing w:before="0"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万, Chinese and 大写 numerals, English number words, percentages and per-mille.</w:t>
      </w:r>
    </w:p>
    <w:p>
      <w:pPr>
        <w:pStyle w:val="ListBullet2"/>
        <w:tabs>
          <w:tab w:pos="792" w:val="left"/>
        </w:tabs>
        <w:spacing w:before="0" w:after="60" w:line="259" w:lineRule="auto"/>
        <w:ind w:left="792" w:hanging="288"/>
      </w:pPr>
      <w:r>
        <w:rPr>
          <w:b/>
          <w:sz w:val="20"/>
        </w:rPr>
        <w:t>Every read view requires the owner token.</w:t>
      </w:r>
    </w:p>
    <w:p>
      <w:pPr>
        <w:pStyle w:val="ListBullet2"/>
        <w:tabs>
          <w:tab w:pos="792" w:val="left"/>
        </w:tabs>
        <w:spacing w:before="0" w:after="60" w:line="259" w:lineRule="auto"/>
        <w:ind w:left="792" w:hanging="288"/>
      </w:pPr>
      <w:r>
        <w:rPr>
          <w:b/>
          <w:sz w:val="20"/>
        </w:rPr>
        <w:t>Contract terms are protected values of their counterparty.</w:t>
      </w:r>
      <w:r>
        <w:rPr>
          <w:sz w:val="20"/>
        </w:rPr>
        <w:t xml:space="preserve"> Another buyer cannot read them.</w:t>
      </w:r>
    </w:p>
    <w:p>
      <w:pPr>
        <w:pStyle w:val="ListBullet2"/>
        <w:tabs>
          <w:tab w:pos="792" w:val="left"/>
        </w:tabs>
        <w:spacing w:before="0" w:after="60" w:line="259" w:lineRule="auto"/>
        <w:ind w:left="792" w:hanging="288"/>
      </w:pPr>
      <w:r>
        <w:rPr>
          <w:b/>
          <w:sz w:val="20"/>
        </w:rPr>
        <w:t>The web app sends a strict Content-Security-Policy</w:t>
      </w:r>
      <w:r>
        <w:rPr>
          <w:sz w:val="20"/>
        </w:rPr>
        <w:t xml:space="preserve"> with a fresh nonce on each request (SEC-12).</w:t>
      </w:r>
    </w:p>
    <w:p>
      <w:pPr>
        <w:pStyle w:val="ListBullet2"/>
        <w:tabs>
          <w:tab w:pos="792" w:val="left"/>
        </w:tabs>
        <w:spacing w:before="0" w:after="60" w:line="259" w:lineRule="auto"/>
        <w:ind w:left="792" w:hanging="288"/>
      </w:pPr>
      <w:r>
        <w:rPr>
          <w:b/>
          <w:sz w:val="20"/>
        </w:rPr>
        <w:t>The model receives redacted text only</w:t>
      </w:r>
      <w:r>
        <w:rPr>
          <w:sz w:val="20"/>
        </w:rPr>
        <w:t xml:space="preserve"> (section 02).</w:t>
      </w:r>
    </w:p>
    <w:p>
      <w:pPr>
        <w:spacing w:before="0" w:after="60" w:line="259" w:lineRule="auto"/>
      </w:pPr>
      <w:r>
        <w:rPr>
          <w:b/>
          <w:sz w:val="20"/>
        </w:rPr>
        <w:t>Compliance, in brief.</w:t>
      </w:r>
    </w:p>
    <w:p>
      <w:pPr>
        <w:pStyle w:val="ListBullet2"/>
        <w:tabs>
          <w:tab w:pos="792" w:val="left"/>
        </w:tabs>
        <w:spacing w:before="0" w:after="60" w:line="259" w:lineRule="auto"/>
        <w:ind w:left="792" w:hanging="288"/>
      </w:pPr>
      <w:r>
        <w:rPr>
          <w:b/>
          <w:sz w:val="20"/>
        </w:rPr>
        <w:t>Live-mode data.</w:t>
      </w:r>
      <w:r>
        <w:rPr>
          <w:sz w:val="20"/>
        </w:rPr>
        <w:t xml:space="preserve"> Only in live mode do a buyer's documents go, redacted, to the configured provider, and only for extraction. Cache mode sends nothing.</w:t>
      </w:r>
    </w:p>
    <w:p>
      <w:pPr>
        <w:pStyle w:val="ListBullet2"/>
        <w:tabs>
          <w:tab w:pos="792" w:val="left"/>
        </w:tabs>
        <w:spacing w:before="0"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pPr>
        <w:pStyle w:val="ListBullet2"/>
        <w:tabs>
          <w:tab w:pos="792" w:val="left"/>
        </w:tabs>
        <w:spacing w:before="0" w:after="60" w:line="259" w:lineRule="auto"/>
        <w:ind w:left="792" w:hanging="288"/>
      </w:pPr>
      <w:r>
        <w:rPr>
          <w:b/>
          <w:sz w:val="20"/>
        </w:rPr>
        <w:t>Labelled AI output.</w:t>
      </w:r>
      <w:r>
        <w:rPr>
          <w:sz w:val="20"/>
        </w:rPr>
        <w:t xml:space="preserve"> Model readings are labelled "AI-generated, for reference" until the owner confirms them.</w:t>
      </w:r>
    </w:p>
    <w:p>
      <w:pPr>
        <w:pStyle w:val="ListBullet2"/>
        <w:tabs>
          <w:tab w:pos="792" w:val="left"/>
        </w:tabs>
        <w:spacing w:before="0"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pPr>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fig7-security-results.png"/>
                    <pic:cNvPicPr/>
                  </pic:nvPicPr>
                  <pic:blipFill>
                    <a:blip r:embed="rId17"/>
                    <a:stretch>
                      <a:fillRect/>
                    </a:stretch>
                  </pic:blipFill>
                  <pic:spPr>
                    <a:xfrm>
                      <a:off x="0" y="0"/>
                      <a:ext cx="5669280" cy="3897630"/>
                    </a:xfrm>
                    <a:prstGeom prst="rect"/>
                  </pic:spPr>
                </pic:pic>
              </a:graphicData>
            </a:graphic>
          </wp:inline>
        </w:drawing>
      </w:r>
    </w:p>
    <w:p>
      <w:pPr>
        <w:pStyle w:val="Caption"/>
      </w:pPr>
      <w:r>
        <w:t>Figure 8. The attack catalogue: 260 stored cases through the API and chat, by class. None violated the defined harm oracles. Every case reached the path it targets; of the 127 API cases, 119 were stopped by the control they name and 8 by another control.</w:t>
      </w:r>
    </w:p>
    <w:p>
      <w:pPr>
        <w:spacing w:before="0" w:after="60" w:line="259" w:lineRule="auto"/>
      </w:pPr>
      <w:r>
        <w:rPr>
          <w:b/>
          <w:sz w:val="20"/>
        </w:rPr>
        <w:t>Table 12. Attack results (260 stored cases: 127 through the API, 133 through chat; each in a fresh in-memory runtime, offline, with recorded or scripted model answers).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4782"/>
            <w:shd w:val="clear" w:color="auto" w:fill="E8EEFB"/>
          </w:tcPr>
          <w:p>
            <w:pPr>
              <w:keepNext/>
              <w:spacing w:before="20" w:after="20" w:line="240" w:lineRule="auto"/>
            </w:pPr>
            <w:r>
              <w:rPr>
                <w:b/>
                <w:sz w:val="18"/>
              </w:rPr>
              <w:t>Measure</w:t>
            </w:r>
          </w:p>
        </w:tc>
        <w:tc>
          <w:tcPr>
            <w:tcW w:type="dxa" w:w="4578"/>
            <w:shd w:val="clear" w:color="auto" w:fill="E8EEFB"/>
          </w:tcPr>
          <w:p>
            <w:pPr>
              <w:keepNext/>
              <w:spacing w:before="20" w:after="20" w:line="240" w:lineRule="auto"/>
            </w:pPr>
            <w:r>
              <w:rPr>
                <w:b/>
                <w:sz w:val="18"/>
              </w:rPr>
              <w:t>Result</w:t>
            </w:r>
          </w:p>
        </w:tc>
      </w:tr>
      <w:tr>
        <w:trPr>
          <w:cantSplit w:val="true"/>
        </w:trPr>
        <w:tc>
          <w:tcPr>
            <w:tcW w:type="dxa" w:w="4782"/>
          </w:tcPr>
          <w:p>
            <w:pPr>
              <w:spacing w:before="20" w:after="20" w:line="240" w:lineRule="auto"/>
            </w:pPr>
            <w:r>
              <w:rPr>
                <w:sz w:val="18"/>
              </w:rPr>
              <w:t>Harm-oracle violations, in each specified run</w:t>
            </w:r>
          </w:p>
        </w:tc>
        <w:tc>
          <w:tcPr>
            <w:tcW w:type="dxa" w:w="4578"/>
          </w:tcPr>
          <w:p>
            <w:pPr>
              <w:spacing w:before="20" w:after="20" w:line="240" w:lineRule="auto"/>
            </w:pPr>
            <w:r>
              <w:rPr>
                <w:sz w:val="18"/>
              </w:rPr>
              <w:t>0 of 260</w:t>
            </w:r>
          </w:p>
        </w:tc>
      </w:tr>
      <w:tr>
        <w:trPr>
          <w:cantSplit w:val="true"/>
        </w:trPr>
        <w:tc>
          <w:tcPr>
            <w:tcW w:type="dxa" w:w="4782"/>
          </w:tcPr>
          <w:p>
            <w:pPr>
              <w:spacing w:before="20" w:after="20" w:line="240" w:lineRule="auto"/>
            </w:pPr>
            <w:r>
              <w:rPr>
                <w:sz w:val="18"/>
              </w:rPr>
              <w:t>Unauthorised operations executed / money moved by attacks</w:t>
            </w:r>
          </w:p>
        </w:tc>
        <w:tc>
          <w:tcPr>
            <w:tcW w:type="dxa" w:w="4578"/>
          </w:tcPr>
          <w:p>
            <w:pPr>
              <w:spacing w:before="20" w:after="20" w:line="240" w:lineRule="auto"/>
            </w:pPr>
            <w:r>
              <w:rPr>
                <w:sz w:val="18"/>
              </w:rPr>
              <w:t>0 / ¥0.00</w:t>
            </w:r>
          </w:p>
        </w:tc>
      </w:tr>
      <w:tr>
        <w:trPr>
          <w:cantSplit w:val="true"/>
        </w:trPr>
        <w:tc>
          <w:tcPr>
            <w:tcW w:type="dxa" w:w="4782"/>
          </w:tcPr>
          <w:p>
            <w:pPr>
              <w:spacing w:before="20" w:after="20" w:line="240" w:lineRule="auto"/>
            </w:pPr>
            <w:r>
              <w:rPr>
                <w:sz w:val="18"/>
              </w:rPr>
              <w:t>Facilities added by non-owners; concessions booked from unproven claims</w:t>
            </w:r>
          </w:p>
        </w:tc>
        <w:tc>
          <w:tcPr>
            <w:tcW w:type="dxa" w:w="4578"/>
          </w:tcPr>
          <w:p>
            <w:pPr>
              <w:spacing w:before="20" w:after="20" w:line="240" w:lineRule="auto"/>
            </w:pPr>
            <w:r>
              <w:rPr>
                <w:sz w:val="18"/>
              </w:rPr>
              <w:t>0; 0</w:t>
            </w:r>
          </w:p>
        </w:tc>
      </w:tr>
      <w:tr>
        <w:trPr>
          <w:cantSplit w:val="true"/>
        </w:trPr>
        <w:tc>
          <w:tcPr>
            <w:tcW w:type="dxa" w:w="4782"/>
          </w:tcPr>
          <w:p>
            <w:pPr>
              <w:spacing w:before="20" w:after="20" w:line="240" w:lineRule="auto"/>
            </w:pPr>
            <w:r>
              <w:rPr>
                <w:sz w:val="18"/>
              </w:rPr>
              <w:t>Integrity failures (partial write, double execution, erased log)</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Protected values disclosed in outbound text or readable without the owner token</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Cases that reached the path they target</w:t>
            </w:r>
          </w:p>
        </w:tc>
        <w:tc>
          <w:tcPr>
            <w:tcW w:type="dxa" w:w="4578"/>
          </w:tcPr>
          <w:p>
            <w:pPr>
              <w:spacing w:before="20" w:after="20" w:line="240" w:lineRule="auto"/>
            </w:pPr>
            <w:r>
              <w:rPr>
                <w:sz w:val="18"/>
              </w:rPr>
              <w:t>260 of 260. A case that never reaches its path no longer counts as defended</w:t>
            </w:r>
          </w:p>
        </w:tc>
      </w:tr>
      <w:tr>
        <w:trPr>
          <w:cantSplit w:val="true"/>
        </w:trPr>
        <w:tc>
          <w:tcPr>
            <w:tcW w:type="dxa" w:w="4782"/>
          </w:tcPr>
          <w:p>
            <w:pPr>
              <w:spacing w:before="20" w:after="20" w:line="240" w:lineRule="auto"/>
            </w:pPr>
            <w:r>
              <w:rPr>
                <w:sz w:val="18"/>
              </w:rPr>
              <w:t>API cases stopped by the control they name</w:t>
            </w:r>
          </w:p>
        </w:tc>
        <w:tc>
          <w:tcPr>
            <w:tcW w:type="dxa" w:w="4578"/>
          </w:tcPr>
          <w:p>
            <w:pPr>
              <w:spacing w:before="20" w:after="20" w:line="240" w:lineRule="auto"/>
            </w:pPr>
            <w:r>
              <w:rPr>
                <w:sz w:val="18"/>
              </w:rPr>
              <w:t>119 of 127. The other 8 were stopped by another control, with no harm (known gaps, SEC-34, each pinned by a test)</w:t>
            </w:r>
          </w:p>
        </w:tc>
      </w:tr>
    </w:tbl>
    <w:p>
      <w:pPr>
        <w:spacing w:after="40"/>
      </w:pPr>
    </w:p>
    <w:p>
      <w:pPr>
        <w:spacing w:before="0" w:after="60" w:line="259" w:lineRule="auto"/>
      </w:pPr>
      <w:r>
        <w:rPr>
          <w:sz w:val="20"/>
        </w:rPr>
        <w:t>This is a test result within a scope, not proof that no exploitable path exists. The catalogue drives part of the 100 routes; a separate route-policy test calls every route as every kind of caller. No running deployment has had a penetration test.</w:t>
      </w:r>
    </w:p>
    <w:p>
      <w:pPr>
        <w:spacing w:before="0" w:after="60" w:line="259" w:lineRule="auto"/>
      </w:pPr>
      <w:r>
        <w:rPr>
          <w:b/>
          <w:sz w:val="20"/>
        </w:rPr>
        <w:t>Assurance.</w:t>
      </w:r>
      <w:r>
        <w:rPr>
          <w:sz w:val="20"/>
        </w:rPr>
        <w:t xml:space="preserve"> Every review was AI-assisted; none was external professional assurance.</w:t>
      </w:r>
    </w:p>
    <w:p>
      <w:pPr>
        <w:pStyle w:val="ListBullet2"/>
        <w:tabs>
          <w:tab w:pos="792" w:val="left"/>
        </w:tabs>
        <w:spacing w:before="0" w:after="60" w:line="259" w:lineRule="auto"/>
        <w:ind w:left="792" w:hanging="288"/>
      </w:pPr>
      <w:r>
        <w:rPr>
          <w:b/>
          <w:sz w:val="20"/>
        </w:rPr>
        <w:t>A separate audit and five red-team rounds by AI subagents (1 to 3 Oct)</w:t>
      </w:r>
      <w:r>
        <w:rPr>
          <w:sz w:val="20"/>
        </w:rPr>
        <w:t xml:space="preserve"> found 39 issues. All are fixed, each with a regression test.</w:t>
      </w:r>
    </w:p>
    <w:p>
      <w:pPr>
        <w:pStyle w:val="ListBullet2"/>
        <w:tabs>
          <w:tab w:pos="792" w:val="left"/>
        </w:tabs>
        <w:spacing w:before="0" w:after="60" w:line="259" w:lineRule="auto"/>
        <w:ind w:left="792" w:hanging="288"/>
      </w:pPr>
      <w:r>
        <w:rPr>
          <w:b/>
          <w:sz w:val="20"/>
        </w:rPr>
        <w:t>An external red-team run (16 Oct)</w:t>
      </w:r>
      <w:r>
        <w:rPr>
          <w:sz w:val="20"/>
        </w:rPr>
        <w:t xml:space="preserve"> ran 17 tests, including 100 live model calls. Its results are its own; they were not re-run, and its five observations were re-checked on the code.</w:t>
      </w:r>
    </w:p>
    <w:p>
      <w:pPr>
        <w:pStyle w:val="ListBullet2"/>
        <w:tabs>
          <w:tab w:pos="792" w:val="left"/>
        </w:tabs>
        <w:spacing w:before="0" w:after="60" w:line="259" w:lineRule="auto"/>
        <w:ind w:left="792" w:hanging="288"/>
      </w:pPr>
      <w:r>
        <w:rPr>
          <w:b/>
          <w:sz w:val="20"/>
        </w:rPr>
        <w:t>The Security Lead (14 to 17 Oct)</w:t>
      </w:r>
      <w:r>
        <w:rPr>
          <w:sz w:val="20"/>
        </w:rPr>
        <w:t xml:space="preserve"> is an AI agent in a separate session and worktree. It reproduced every finding, wrote each fix on its own branch with a regression test, re-ran its checks on each merged commit and certified it. It also wrote the security fixes it certified. "Certified" here is an internal release decision, not accreditation.</w:t>
      </w:r>
    </w:p>
    <w:p>
      <w:pPr>
        <w:pStyle w:val="ListBullet2"/>
        <w:tabs>
          <w:tab w:pos="792" w:val="left"/>
        </w:tabs>
        <w:spacing w:before="0" w:after="60" w:line="259" w:lineRule="auto"/>
        <w:ind w:left="792" w:hanging="288"/>
      </w:pPr>
      <w:r>
        <w:rPr>
          <w:b/>
          <w:sz w:val="20"/>
        </w:rPr>
        <w:t>Verdicts (Security Self-Assessment v3).</w:t>
      </w:r>
    </w:p>
    <w:p>
      <w:pPr>
        <w:pStyle w:val="ListBullet3"/>
        <w:tabs>
          <w:tab w:pos="1152" w:val="left"/>
        </w:tabs>
        <w:spacing w:before="0" w:after="60" w:line="259" w:lineRule="auto"/>
        <w:ind w:left="1152" w:hanging="288"/>
      </w:pPr>
      <w:r>
        <w:rPr>
          <w:sz w:val="20"/>
        </w:rPr>
        <w:t>Local simulation on loopback: GO.</w:t>
      </w:r>
    </w:p>
    <w:p>
      <w:pPr>
        <w:pStyle w:val="ListBullet3"/>
        <w:tabs>
          <w:tab w:pos="1152" w:val="left"/>
        </w:tabs>
        <w:spacing w:before="0" w:after="60" w:line="259" w:lineRule="auto"/>
        <w:ind w:left="1152" w:hanging="288"/>
      </w:pPr>
      <w:r>
        <w:rPr>
          <w:sz w:val="20"/>
        </w:rPr>
        <w:t>A demo over a network: NO-GO until a tested deployment profile exists; we demonstrate the local configuration.</w:t>
      </w:r>
    </w:p>
    <w:p>
      <w:pPr>
        <w:pStyle w:val="ListBullet3"/>
        <w:tabs>
          <w:tab w:pos="1152" w:val="left"/>
        </w:tabs>
        <w:spacing w:before="0" w:after="60" w:line="259" w:lineRule="auto"/>
        <w:ind w:left="1152" w:hanging="288"/>
      </w:pPr>
      <w:r>
        <w:rPr>
          <w:sz w:val="20"/>
        </w:rPr>
        <w:t>Production with real customers, documents or money: NO-GO, because of the items in section 05.</w:t>
      </w:r>
    </w:p>
    <w:p>
      <w:pPr>
        <w:spacing w:before="0" w:after="60" w:line="259" w:lineRule="auto"/>
      </w:pPr>
      <w:r>
        <w:rPr>
          <w:sz w:val="20"/>
        </w:rPr>
        <w:t>The full register is in the Security Self-Assessment, which uses the same build and figures.</w:t>
      </w:r>
    </w:p>
    <w:p>
      <w:pPr>
        <w:pStyle w:val="Heading1"/>
      </w:pPr>
      <w:r>
        <w:t>05 Deployment and Testing</w:t>
      </w:r>
    </w:p>
    <w:p>
      <w:pPr>
        <w:pStyle w:val="ListBullet"/>
        <w:spacing w:after="100"/>
      </w:pPr>
      <w:r>
        <w:t>Environment, deployment instructions, test cases and known limitations</w:t>
      </w:r>
    </w:p>
    <w:p>
      <w:pPr>
        <w:spacing w:before="0" w:after="60" w:line="259" w:lineRule="auto"/>
      </w:pPr>
      <w:r>
        <w:rPr>
          <w:b/>
          <w:sz w:val="20"/>
        </w:rPr>
        <w:t>Environment.</w:t>
      </w:r>
    </w:p>
    <w:p>
      <w:pPr>
        <w:pStyle w:val="ListBullet2"/>
        <w:tabs>
          <w:tab w:pos="792" w:val="left"/>
        </w:tabs>
        <w:spacing w:before="0" w:after="60" w:line="259" w:lineRule="auto"/>
        <w:ind w:left="792" w:hanging="288"/>
      </w:pPr>
      <w:r>
        <w:rPr>
          <w:b/>
          <w:sz w:val="20"/>
        </w:rPr>
        <w:t>API:</w:t>
      </w:r>
      <w:r>
        <w:rPr>
          <w:sz w:val="20"/>
        </w:rPr>
        <w:t xml:space="preserve"> Python 3.12 with uv; SQLite or in-memory locally; PostgreSQL in production.</w:t>
      </w:r>
    </w:p>
    <w:p>
      <w:pPr>
        <w:pStyle w:val="ListBullet2"/>
        <w:tabs>
          <w:tab w:pos="792" w:val="left"/>
        </w:tabs>
        <w:spacing w:before="0" w:after="60" w:line="259" w:lineRule="auto"/>
        <w:ind w:left="792" w:hanging="288"/>
      </w:pPr>
      <w:r>
        <w:rPr>
          <w:b/>
          <w:sz w:val="20"/>
        </w:rPr>
        <w:t>Web:</w:t>
      </w:r>
      <w:r>
        <w:rPr>
          <w:sz w:val="20"/>
        </w:rPr>
        <w:t xml:space="preserve"> Node 22 or newer with pnpm.</w:t>
      </w:r>
    </w:p>
    <w:p>
      <w:pPr>
        <w:pStyle w:val="ListBullet2"/>
        <w:tabs>
          <w:tab w:pos="792" w:val="left"/>
        </w:tabs>
        <w:spacing w:before="0" w:after="60" w:line="259" w:lineRule="auto"/>
        <w:ind w:left="792" w:hanging="288"/>
      </w:pPr>
      <w:r>
        <w:rPr>
          <w:b/>
          <w:sz w:val="20"/>
        </w:rPr>
        <w:t>No network or API key is needed</w:t>
      </w:r>
      <w:r>
        <w:rPr>
          <w:sz w:val="20"/>
        </w:rPr>
        <w:t xml:space="preserve"> for the default mode, which replays recorded model readings.</w:t>
      </w:r>
    </w:p>
    <w:p>
      <w:pPr>
        <w:spacing w:before="0" w:after="60" w:line="259" w:lineRule="auto"/>
      </w:pPr>
      <w:r>
        <w:rPr>
          <w:b/>
          <w:sz w:val="20"/>
        </w:rPr>
        <w:t>Run it (Windows, macOS or Linux, from the repository root).</w:t>
      </w:r>
    </w:p>
    <w:p>
      <w:pPr>
        <w:shd w:val="clear" w:color="auto" w:fill="F3F5F9"/>
        <w:spacing w:after="120"/>
      </w:pPr>
      <w:r>
        <w:rPr>
          <w:rFonts w:ascii="Courier New" w:hAnsi="Courier New" w:eastAsia="Courier New"/>
          <w:sz w:val="14"/>
        </w:rPr>
        <w:t>cd apps/web &amp;&amp; pnpm install &amp;&amp; cd ../..    # once</w:t>
        <w:br/>
      </w:r>
      <w:r>
        <w:rPr>
          <w:rFonts w:ascii="Courier New" w:hAnsi="Courier New" w:eastAsia="Courier New"/>
          <w:sz w:val="14"/>
        </w:rPr>
        <w:t>pnpm demo                                  # API on :8000 and web on :3000; open the address it prints</w:t>
      </w:r>
    </w:p>
    <w:p>
      <w:pPr>
        <w:spacing w:before="0" w:after="60" w:line="259" w:lineRule="auto"/>
      </w:pPr>
      <w:r>
        <w:rPr>
          <w:sz w:val="20"/>
        </w:rPr>
        <w:t>The launcher starts the API with in-memory books, recorded model readings and the demo credentials, then starts the web app against it. It prints "Ready. Open http://localhost:3000" when both are up. The owner sign-in is prefilled with the published demo token.</w:t>
      </w:r>
    </w:p>
    <w:p>
      <w:pPr>
        <w:pStyle w:val="ListBullet2"/>
        <w:tabs>
          <w:tab w:pos="792" w:val="left"/>
        </w:tabs>
        <w:spacing w:before="0" w:after="60" w:line="259" w:lineRule="auto"/>
        <w:ind w:left="792" w:hanging="288"/>
      </w:pPr>
      <w:r>
        <w:rPr>
          <w:rFonts w:ascii="Courier New" w:hAnsi="Courier New"/>
          <w:sz w:val="18"/>
        </w:rPr>
        <w:t>pnpm demo:mock</w:t>
      </w:r>
      <w:r>
        <w:rPr>
          <w:sz w:val="20"/>
        </w:rPr>
        <w:t xml:space="preserve"> runs the web app alone on recorded data.</w:t>
      </w:r>
    </w:p>
    <w:p>
      <w:pPr>
        <w:pStyle w:val="ListBullet2"/>
        <w:tabs>
          <w:tab w:pos="792" w:val="left"/>
        </w:tabs>
        <w:spacing w:before="0" w:after="60" w:line="259" w:lineRule="auto"/>
        <w:ind w:left="792" w:hanging="288"/>
      </w:pPr>
      <w:r>
        <w:rPr>
          <w:rFonts w:ascii="Courier New" w:hAnsi="Courier New"/>
          <w:sz w:val="18"/>
        </w:rPr>
        <w:t>pnpm demo:keep</w:t>
      </w:r>
      <w:r>
        <w:rPr>
          <w:sz w:val="20"/>
        </w:rPr>
        <w:t xml:space="preserve"> keeps the books in a local file, so uploads, confirmations and the day survive a restart; </w:t>
      </w:r>
      <w:r>
        <w:rPr>
          <w:rFonts w:ascii="Courier New" w:hAnsi="Courier New"/>
          <w:sz w:val="18"/>
        </w:rPr>
        <w:t>pnpm demo:keep --fresh</w:t>
      </w:r>
      <w:r>
        <w:rPr>
          <w:sz w:val="20"/>
        </w:rPr>
        <w:t xml:space="preserve"> starts over.</w:t>
      </w:r>
    </w:p>
    <w:p>
      <w:pPr>
        <w:pStyle w:val="ListBullet2"/>
        <w:tabs>
          <w:tab w:pos="792" w:val="left"/>
        </w:tabs>
        <w:spacing w:before="0" w:after="60" w:line="259" w:lineRule="auto"/>
        <w:ind w:left="792" w:hanging="288"/>
      </w:pPr>
      <w:r>
        <w:rPr>
          <w:rFonts w:ascii="Courier New" w:hAnsi="Courier New"/>
          <w:sz w:val="18"/>
        </w:rPr>
        <w:t>pnpm demo:blank</w:t>
      </w:r>
      <w:r>
        <w:rPr>
          <w:sz w:val="20"/>
        </w:rPr>
        <w:t xml:space="preserve"> starts with empty books, to set up your own company in six steps.</w:t>
      </w:r>
    </w:p>
    <w:p>
      <w:pPr>
        <w:pStyle w:val="ListBullet2"/>
        <w:tabs>
          <w:tab w:pos="792" w:val="left"/>
        </w:tabs>
        <w:spacing w:before="0" w:after="60" w:line="259" w:lineRule="auto"/>
        <w:ind w:left="792" w:hanging="288"/>
      </w:pPr>
      <w:r>
        <w:rPr>
          <w:sz w:val="20"/>
        </w:rPr>
        <w:t>If a port is taken, the launcher says so and suggests another.</w:t>
      </w:r>
    </w:p>
    <w:p>
      <w:pPr>
        <w:spacing w:before="0"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Capex &amp; purchases, Receivables and Activity.</w:t>
      </w:r>
    </w:p>
    <w:p>
      <w:pPr>
        <w:spacing w:before="0" w:after="60" w:line="259" w:lineRule="auto"/>
      </w:pPr>
      <w:r>
        <w:rPr>
          <w:b/>
          <w:sz w:val="20"/>
        </w:rPr>
        <w:t>Check the evidence without the UI.</w:t>
      </w:r>
    </w:p>
    <w:p>
      <w:pPr>
        <w:shd w:val="clear" w:color="auto" w:fill="F3F5F9"/>
        <w:spacing w:after="120"/>
      </w:pPr>
      <w:r>
        <w:rPr>
          <w:rFonts w:ascii="Courier New" w:hAnsi="Courier New" w:eastAsia="Courier New"/>
          <w:sz w:val="14"/>
        </w:rPr>
        <w:t>uv run --project services/api python scripts/judge_eval.py     # 2 to 4 min: 49 tasks, 260 attack cases, the demo walk, the chain check</w:t>
        <w:br/>
      </w:r>
      <w:r>
        <w:rPr>
          <w:rFonts w:ascii="Courier New" w:hAnsi="Courier New" w:eastAsia="Courier New"/>
          <w:sz w:val="14"/>
        </w:rPr>
        <w:t>uv run --project services/api python scripts/evaluate.py       # about 8 min: the full offline evaluation</w:t>
      </w:r>
    </w:p>
    <w:p>
      <w:pPr>
        <w:spacing w:before="0"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pPr>
        <w:pStyle w:val="ListBullet2"/>
        <w:tabs>
          <w:tab w:pos="792" w:val="left"/>
        </w:tabs>
        <w:spacing w:before="0" w:after="60" w:line="259" w:lineRule="auto"/>
        <w:ind w:left="792" w:hanging="288"/>
      </w:pPr>
      <w:r>
        <w:rPr>
          <w:sz w:val="20"/>
        </w:rPr>
        <w:t>the owner's public signing key is not passed in;</w:t>
      </w:r>
    </w:p>
    <w:p>
      <w:pPr>
        <w:pStyle w:val="ListBullet2"/>
        <w:tabs>
          <w:tab w:pos="792" w:val="left"/>
        </w:tabs>
        <w:spacing w:before="0" w:after="60" w:line="259" w:lineRule="auto"/>
        <w:ind w:left="792" w:hanging="288"/>
      </w:pPr>
      <w:r>
        <w:rPr>
          <w:sz w:val="20"/>
        </w:rPr>
        <w:t>nothing provisions the books and the signed mandate;</w:t>
      </w:r>
    </w:p>
    <w:p>
      <w:pPr>
        <w:pStyle w:val="ListBullet2"/>
        <w:tabs>
          <w:tab w:pos="792" w:val="left"/>
        </w:tabs>
        <w:spacing w:before="0" w:after="60" w:line="259" w:lineRule="auto"/>
        <w:ind w:left="792" w:hanging="288"/>
      </w:pPr>
      <w:r>
        <w:rPr>
          <w:sz w:val="20"/>
        </w:rPr>
        <w:t>the web image is built against localhost.</w:t>
      </w:r>
    </w:p>
    <w:p>
      <w:pPr>
        <w:spacing w:before="0" w:after="60" w:line="259" w:lineRule="auto"/>
      </w:pPr>
      <w:r>
        <w:rPr>
          <w:sz w:val="20"/>
        </w:rPr>
        <w:t>These are open production blockers. The supported way to run FLOW is the local launcher above.</w:t>
      </w:r>
    </w:p>
    <w:p>
      <w:pPr>
        <w:spacing w:before="0"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pPr>
        <w:spacing w:before="0" w:after="60" w:line="259" w:lineRule="auto"/>
      </w:pPr>
      <w:r>
        <w:rPr>
          <w:b/>
          <w:sz w:val="20"/>
        </w:rPr>
        <w:t xml:space="preserve">Table 13. Evidence for every headline figure (dev </w:t>
      </w:r>
      <w:r>
        <w:rPr>
          <w:rFonts w:ascii="Courier New" w:hAnsi="Courier New"/>
          <w:b/>
          <w:sz w:val="18"/>
        </w:rPr>
        <w:t>975e082f</w:t>
      </w:r>
      <w:r>
        <w:rPr>
          <w:b/>
          <w:sz w:val="20"/>
        </w:rPr>
        <w:t>, 17 Oct 2026, cache mode, offline, unless noted).</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03"/>
            <w:shd w:val="clear" w:color="auto" w:fill="E8EEFB"/>
          </w:tcPr>
          <w:p>
            <w:pPr>
              <w:keepNext/>
              <w:spacing w:before="20" w:after="20" w:line="240" w:lineRule="auto"/>
            </w:pPr>
            <w:r>
              <w:rPr>
                <w:b/>
                <w:sz w:val="18"/>
              </w:rPr>
              <w:t>Claim</w:t>
            </w:r>
          </w:p>
        </w:tc>
        <w:tc>
          <w:tcPr>
            <w:tcW w:type="dxa" w:w="4021"/>
            <w:shd w:val="clear" w:color="auto" w:fill="E8EEFB"/>
          </w:tcPr>
          <w:p>
            <w:pPr>
              <w:keepNext/>
              <w:spacing w:before="20" w:after="20" w:line="240" w:lineRule="auto"/>
            </w:pPr>
            <w:r>
              <w:rPr>
                <w:b/>
                <w:sz w:val="18"/>
              </w:rPr>
              <w:t>Command</w:t>
            </w:r>
          </w:p>
        </w:tc>
        <w:tc>
          <w:tcPr>
            <w:tcW w:type="dxa" w:w="3635"/>
            <w:shd w:val="clear" w:color="auto" w:fill="E8EEFB"/>
          </w:tcPr>
          <w:p>
            <w:pPr>
              <w:keepNext/>
              <w:spacing w:before="20" w:after="20" w:line="240" w:lineRule="auto"/>
            </w:pPr>
            <w:r>
              <w:rPr>
                <w:b/>
                <w:sz w:val="18"/>
              </w:rPr>
              <w:t>Result</w:t>
            </w:r>
          </w:p>
        </w:tc>
      </w:tr>
      <w:tr>
        <w:trPr>
          <w:cantSplit w:val="true"/>
        </w:trPr>
        <w:tc>
          <w:tcPr>
            <w:tcW w:type="dxa" w:w="1703"/>
          </w:tcPr>
          <w:p>
            <w:pPr>
              <w:spacing w:before="20" w:after="20" w:line="240" w:lineRule="auto"/>
            </w:pPr>
            <w:r>
              <w:rPr>
                <w:sz w:val="18"/>
              </w:rPr>
              <w:t>API tests</w:t>
            </w:r>
          </w:p>
        </w:tc>
        <w:tc>
          <w:tcPr>
            <w:tcW w:type="dxa" w:w="4021"/>
          </w:tcPr>
          <w:p>
            <w:pPr>
              <w:spacing w:before="20" w:after="20" w:line="240" w:lineRule="auto"/>
            </w:pPr>
            <w:r>
              <w:rPr>
                <w:rFonts w:ascii="Courier New" w:hAnsi="Courier New"/>
                <w:sz w:val="18"/>
              </w:rPr>
              <w:t>uv run pytest</w:t>
            </w:r>
            <w:r>
              <w:rPr>
                <w:sz w:val="18"/>
              </w:rPr>
              <w:t xml:space="preserve"> (services/api)</w:t>
            </w:r>
          </w:p>
        </w:tc>
        <w:tc>
          <w:tcPr>
            <w:tcW w:type="dxa" w:w="3635"/>
          </w:tcPr>
          <w:p>
            <w:pPr>
              <w:spacing w:before="20" w:after="20" w:line="240" w:lineRule="auto"/>
            </w:pPr>
            <w:r>
              <w:rPr>
                <w:sz w:val="18"/>
              </w:rPr>
              <w:t>9,085 collected; 9,040 passed; 1 known failure (#161, a hash that differs by machine); the rest skipped by design</w:t>
            </w:r>
          </w:p>
        </w:tc>
      </w:tr>
      <w:tr>
        <w:trPr>
          <w:cantSplit w:val="true"/>
        </w:trPr>
        <w:tc>
          <w:tcPr>
            <w:tcW w:type="dxa" w:w="1703"/>
          </w:tcPr>
          <w:p>
            <w:pPr>
              <w:spacing w:before="20" w:after="20" w:line="240" w:lineRule="auto"/>
            </w:pPr>
            <w:r>
              <w:rPr>
                <w:sz w:val="18"/>
              </w:rPr>
              <w:t>Web tests</w:t>
            </w:r>
          </w:p>
        </w:tc>
        <w:tc>
          <w:tcPr>
            <w:tcW w:type="dxa" w:w="4021"/>
          </w:tcPr>
          <w:p>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type="dxa" w:w="3635"/>
          </w:tcPr>
          <w:p>
            <w:pPr>
              <w:spacing w:before="20" w:after="20" w:line="240" w:lineRule="auto"/>
            </w:pPr>
            <w:r>
              <w:rPr>
                <w:sz w:val="18"/>
              </w:rPr>
              <w:t>clean; 169 passed</w:t>
            </w:r>
          </w:p>
        </w:tc>
      </w:tr>
      <w:tr>
        <w:trPr>
          <w:cantSplit w:val="true"/>
        </w:trPr>
        <w:tc>
          <w:tcPr>
            <w:tcW w:type="dxa" w:w="1703"/>
          </w:tcPr>
          <w:p>
            <w:pPr>
              <w:spacing w:before="20" w:after="20" w:line="240" w:lineRule="auto"/>
            </w:pPr>
            <w:r>
              <w:rPr>
                <w:sz w:val="18"/>
              </w:rPr>
              <w:t>Browser tests</w:t>
            </w:r>
          </w:p>
        </w:tc>
        <w:tc>
          <w:tcPr>
            <w:tcW w:type="dxa" w:w="4021"/>
          </w:tcPr>
          <w:p>
            <w:pPr>
              <w:spacing w:before="20" w:after="20" w:line="240" w:lineRule="auto"/>
            </w:pPr>
            <w:r>
              <w:rPr>
                <w:rFonts w:ascii="Courier New" w:hAnsi="Courier New"/>
                <w:sz w:val="18"/>
              </w:rPr>
              <w:t>pnpm exec playwright test</w:t>
            </w:r>
            <w:r>
              <w:rPr>
                <w:sz w:val="18"/>
              </w:rPr>
              <w:t xml:space="preserve"> (mock and live projects)</w:t>
            </w:r>
          </w:p>
        </w:tc>
        <w:tc>
          <w:tcPr>
            <w:tcW w:type="dxa" w:w="3635"/>
          </w:tcPr>
          <w:p>
            <w:pPr>
              <w:spacing w:before="20" w:after="20" w:line="240" w:lineRule="auto"/>
            </w:pPr>
            <w:r>
              <w:rPr>
                <w:sz w:val="18"/>
              </w:rPr>
              <w:t>mock 445 passed, 0 failed; live 139 passed, with 2 known write-conflict retry failures (#157)</w:t>
            </w:r>
          </w:p>
        </w:tc>
      </w:tr>
      <w:tr>
        <w:trPr>
          <w:cantSplit w:val="true"/>
        </w:trPr>
        <w:tc>
          <w:tcPr>
            <w:tcW w:type="dxa" w:w="1703"/>
          </w:tcPr>
          <w:p>
            <w:pPr>
              <w:spacing w:before="20" w:after="20" w:line="240" w:lineRule="auto"/>
            </w:pPr>
            <w:r>
              <w:rPr>
                <w:sz w:val="18"/>
              </w:rPr>
              <w:t>Attacks</w:t>
            </w:r>
          </w:p>
        </w:tc>
        <w:tc>
          <w:tcPr>
            <w:tcW w:type="dxa" w:w="4021"/>
          </w:tcPr>
          <w:p>
            <w:pPr>
              <w:spacing w:before="20" w:after="20" w:line="240" w:lineRule="auto"/>
            </w:pPr>
            <w:r>
              <w:rPr>
                <w:rFonts w:ascii="Courier New" w:hAnsi="Courier New"/>
                <w:sz w:val="18"/>
              </w:rPr>
              <w:t>uv run python -m app.security.attacks --report</w:t>
            </w:r>
            <w:r>
              <w:rPr>
                <w:sz w:val="18"/>
              </w:rPr>
              <w:t xml:space="preserve"> (round four, 17 Oct)</w:t>
            </w:r>
          </w:p>
        </w:tc>
        <w:tc>
          <w:tcPr>
            <w:tcW w:type="dxa" w:w="3635"/>
          </w:tcPr>
          <w:p>
            <w:pPr>
              <w:spacing w:before="20" w:after="20" w:line="240" w:lineRule="auto"/>
            </w:pPr>
            <w:r>
              <w:rPr>
                <w:sz w:val="18"/>
              </w:rPr>
              <w:t>260 cases, 0 harm-oracle violations; 260 of 260 reached their path</w:t>
            </w:r>
          </w:p>
        </w:tc>
      </w:tr>
      <w:tr>
        <w:trPr>
          <w:cantSplit w:val="true"/>
        </w:trPr>
        <w:tc>
          <w:tcPr>
            <w:tcW w:type="dxa" w:w="1703"/>
          </w:tcPr>
          <w:p>
            <w:pPr>
              <w:spacing w:before="20" w:after="20" w:line="240" w:lineRule="auto"/>
            </w:pPr>
            <w:r>
              <w:rPr>
                <w:sz w:val="18"/>
              </w:rPr>
              <w:t>Agent tasks</w:t>
            </w:r>
          </w:p>
        </w:tc>
        <w:tc>
          <w:tcPr>
            <w:tcW w:type="dxa" w:w="4021"/>
          </w:tcPr>
          <w:p>
            <w:pPr>
              <w:spacing w:before="20" w:after="20" w:line="240" w:lineRule="auto"/>
            </w:pPr>
            <w:r>
              <w:rPr>
                <w:rFonts w:ascii="Courier New" w:hAnsi="Courier New"/>
                <w:sz w:val="18"/>
              </w:rPr>
              <w:t>scripts/run_scenarios.py --inproc</w:t>
            </w:r>
          </w:p>
        </w:tc>
        <w:tc>
          <w:tcPr>
            <w:tcW w:type="dxa" w:w="3635"/>
          </w:tcPr>
          <w:p>
            <w:pPr>
              <w:spacing w:before="20" w:after="20" w:line="240" w:lineRule="auto"/>
            </w:pPr>
            <w:r>
              <w:rPr>
                <w:sz w:val="18"/>
              </w:rPr>
              <w:t>49/49; all evidence chains verify</w:t>
            </w:r>
          </w:p>
        </w:tc>
      </w:tr>
      <w:tr>
        <w:trPr>
          <w:cantSplit w:val="true"/>
        </w:trPr>
        <w:tc>
          <w:tcPr>
            <w:tcW w:type="dxa" w:w="1703"/>
          </w:tcPr>
          <w:p>
            <w:pPr>
              <w:spacing w:before="20" w:after="20" w:line="240" w:lineRule="auto"/>
            </w:pPr>
            <w:r>
              <w:rPr>
                <w:sz w:val="18"/>
              </w:rPr>
              <w:t>Offline evaluation</w:t>
            </w:r>
          </w:p>
        </w:tc>
        <w:tc>
          <w:tcPr>
            <w:tcW w:type="dxa" w:w="4021"/>
          </w:tcPr>
          <w:p>
            <w:pPr>
              <w:spacing w:before="20" w:after="20" w:line="240" w:lineRule="auto"/>
            </w:pPr>
            <w:r>
              <w:rPr>
                <w:rFonts w:ascii="Courier New" w:hAnsi="Courier New"/>
                <w:sz w:val="18"/>
              </w:rPr>
              <w:t>scripts/evaluate.py</w:t>
            </w:r>
            <w:r>
              <w:rPr>
                <w:sz w:val="18"/>
              </w:rPr>
              <w:t xml:space="preserve"> (7 min 41 s, including the funding brute force)</w:t>
            </w:r>
          </w:p>
        </w:tc>
        <w:tc>
          <w:tcPr>
            <w:tcW w:type="dxa" w:w="3635"/>
          </w:tcPr>
          <w:p>
            <w:pPr>
              <w:spacing w:before="20" w:after="20" w:line="240" w:lineRule="auto"/>
            </w:pPr>
            <w:r>
              <w:rPr>
                <w:sz w:val="18"/>
              </w:rPr>
              <w:t>every target met; figures in Tables 9 and 6</w:t>
            </w:r>
          </w:p>
        </w:tc>
      </w:tr>
      <w:tr>
        <w:trPr>
          <w:cantSplit w:val="true"/>
        </w:trPr>
        <w:tc>
          <w:tcPr>
            <w:tcW w:type="dxa" w:w="1703"/>
          </w:tcPr>
          <w:p>
            <w:pPr>
              <w:spacing w:before="20" w:after="20" w:line="240" w:lineRule="auto"/>
            </w:pPr>
            <w:r>
              <w:rPr>
                <w:sz w:val="18"/>
              </w:rPr>
              <w:t>Autonomy funnel</w:t>
            </w:r>
          </w:p>
        </w:tc>
        <w:tc>
          <w:tcPr>
            <w:tcW w:type="dxa" w:w="4021"/>
          </w:tcPr>
          <w:p>
            <w:pPr>
              <w:spacing w:before="20" w:after="20" w:line="240" w:lineRule="auto"/>
            </w:pPr>
            <w:r>
              <w:rPr>
                <w:rFonts w:ascii="Courier New" w:hAnsi="Courier New"/>
                <w:sz w:val="18"/>
              </w:rPr>
              <w:t>scripts/analysis/autonomy_funnel.py fixtures/heldout3 fixtures/heldout2</w:t>
            </w:r>
          </w:p>
        </w:tc>
        <w:tc>
          <w:tcPr>
            <w:tcW w:type="dxa" w:w="3635"/>
          </w:tcPr>
          <w:p>
            <w:pPr>
              <w:spacing w:before="20" w:after="20" w:line="240" w:lineRule="auto"/>
            </w:pPr>
            <w:r>
              <w:rPr>
                <w:sz w:val="18"/>
              </w:rPr>
              <w:t>Table 7</w:t>
            </w:r>
          </w:p>
        </w:tc>
      </w:tr>
      <w:tr>
        <w:trPr>
          <w:cantSplit w:val="true"/>
        </w:trPr>
        <w:tc>
          <w:tcPr>
            <w:tcW w:type="dxa" w:w="1703"/>
          </w:tcPr>
          <w:p>
            <w:pPr>
              <w:spacing w:before="20" w:after="20" w:line="240" w:lineRule="auto"/>
            </w:pPr>
            <w:r>
              <w:rPr>
                <w:sz w:val="18"/>
              </w:rPr>
              <w:t>Contract reading</w:t>
            </w:r>
          </w:p>
        </w:tc>
        <w:tc>
          <w:tcPr>
            <w:tcW w:type="dxa" w:w="4021"/>
          </w:tcPr>
          <w:p>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type="dxa" w:w="3635"/>
          </w:tcPr>
          <w:p>
            <w:pPr>
              <w:spacing w:before="20" w:after="20" w:line="240" w:lineRule="auto"/>
            </w:pPr>
            <w:r>
              <w:rPr>
                <w:sz w:val="18"/>
              </w:rPr>
              <w:t>75% held-out, 86% after fixes, 98% tuned; measured in session, 17 Oct</w:t>
            </w:r>
          </w:p>
        </w:tc>
      </w:tr>
      <w:tr>
        <w:trPr>
          <w:cantSplit w:val="true"/>
        </w:trPr>
        <w:tc>
          <w:tcPr>
            <w:tcW w:type="dxa" w:w="1703"/>
          </w:tcPr>
          <w:p>
            <w:pPr>
              <w:spacing w:before="20" w:after="20" w:line="240" w:lineRule="auto"/>
            </w:pPr>
            <w:r>
              <w:rPr>
                <w:sz w:val="18"/>
              </w:rPr>
              <w:t>Routes / migrations</w:t>
            </w:r>
          </w:p>
        </w:tc>
        <w:tc>
          <w:tcPr>
            <w:tcW w:type="dxa" w:w="4021"/>
          </w:tcPr>
          <w:p>
            <w:pPr>
              <w:spacing w:before="20" w:after="20" w:line="240" w:lineRule="auto"/>
            </w:pPr>
            <w:r>
              <w:rPr>
                <w:rFonts w:ascii="Courier New" w:hAnsi="Courier New"/>
                <w:sz w:val="18"/>
              </w:rPr>
              <w:t>scripts/security_route_inventory.py</w:t>
            </w:r>
            <w:r>
              <w:rPr>
                <w:sz w:val="18"/>
              </w:rPr>
              <w:t>; Alembic head</w:t>
            </w:r>
          </w:p>
        </w:tc>
        <w:tc>
          <w:tcPr>
            <w:tcW w:type="dxa" w:w="3635"/>
          </w:tcPr>
          <w:p>
            <w:pPr>
              <w:spacing w:before="20" w:after="20" w:line="240" w:lineRule="auto"/>
            </w:pPr>
            <w:r>
              <w:rPr>
                <w:sz w:val="18"/>
              </w:rPr>
              <w:t>100 routes; migration 0009</w:t>
            </w:r>
          </w:p>
        </w:tc>
      </w:tr>
    </w:tbl>
    <w:p>
      <w:pPr>
        <w:spacing w:after="40"/>
      </w:pPr>
    </w:p>
    <w:p>
      <w:pPr>
        <w:spacing w:before="0" w:after="60" w:line="259" w:lineRule="auto"/>
      </w:pPr>
      <w:r>
        <w:rPr>
          <w:b/>
          <w:sz w:val="20"/>
        </w:rPr>
        <w:t>Table 14. Representative test cases.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839"/>
            <w:shd w:val="clear" w:color="auto" w:fill="E8EEFB"/>
          </w:tcPr>
          <w:p>
            <w:pPr>
              <w:keepNext/>
              <w:spacing w:before="20" w:after="20" w:line="240" w:lineRule="auto"/>
            </w:pPr>
            <w:r>
              <w:rPr>
                <w:b/>
                <w:sz w:val="18"/>
              </w:rPr>
              <w:t>Case</w:t>
            </w:r>
          </w:p>
        </w:tc>
        <w:tc>
          <w:tcPr>
            <w:tcW w:type="dxa" w:w="2621"/>
            <w:shd w:val="clear" w:color="auto" w:fill="E8EEFB"/>
          </w:tcPr>
          <w:p>
            <w:pPr>
              <w:keepNext/>
              <w:spacing w:before="20" w:after="20" w:line="240" w:lineRule="auto"/>
            </w:pPr>
            <w:r>
              <w:rPr>
                <w:b/>
                <w:sz w:val="18"/>
              </w:rPr>
              <w:t>Input</w:t>
            </w:r>
          </w:p>
        </w:tc>
        <w:tc>
          <w:tcPr>
            <w:tcW w:type="dxa" w:w="2452"/>
            <w:shd w:val="clear" w:color="auto" w:fill="E8EEFB"/>
          </w:tcPr>
          <w:p>
            <w:pPr>
              <w:keepNext/>
              <w:spacing w:before="20" w:after="20" w:line="240" w:lineRule="auto"/>
            </w:pPr>
            <w:r>
              <w:rPr>
                <w:b/>
                <w:sz w:val="18"/>
              </w:rPr>
              <w:t>Expected result</w:t>
            </w:r>
          </w:p>
        </w:tc>
        <w:tc>
          <w:tcPr>
            <w:tcW w:type="dxa" w:w="2448"/>
            <w:shd w:val="clear" w:color="auto" w:fill="E8EEFB"/>
          </w:tcPr>
          <w:p>
            <w:pPr>
              <w:keepNext/>
              <w:spacing w:before="20" w:after="20" w:line="240" w:lineRule="auto"/>
            </w:pPr>
            <w:r>
              <w:rPr>
                <w:b/>
                <w:sz w:val="18"/>
              </w:rPr>
              <w:t>Checked by</w:t>
            </w:r>
          </w:p>
        </w:tc>
      </w:tr>
      <w:tr>
        <w:trPr>
          <w:cantSplit w:val="true"/>
        </w:trPr>
        <w:tc>
          <w:tcPr>
            <w:tcW w:type="dxa" w:w="1839"/>
          </w:tcPr>
          <w:p>
            <w:pPr>
              <w:spacing w:before="20" w:after="20" w:line="240" w:lineRule="auto"/>
            </w:pPr>
            <w:r>
              <w:rPr>
                <w:sz w:val="18"/>
              </w:rPr>
              <w:t>The golden request</w:t>
            </w:r>
          </w:p>
        </w:tc>
        <w:tc>
          <w:tcPr>
            <w:tcW w:type="dxa" w:w="2621"/>
          </w:tcPr>
          <w:p>
            <w:pPr>
              <w:spacing w:before="20" w:after="20" w:line="240" w:lineRule="auto"/>
            </w:pPr>
            <w:r>
              <w:rPr>
                <w:sz w:val="18"/>
              </w:rPr>
              <w:t>EX01: 60-day terms, 1.2% early payment, contingent rebate</w:t>
            </w:r>
          </w:p>
        </w:tc>
        <w:tc>
          <w:tcPr>
            <w:tcW w:type="dxa" w:w="2452"/>
          </w:tcPr>
          <w:p>
            <w:pPr>
              <w:spacing w:before="20" w:after="20" w:line="240" w:lineRule="auto"/>
            </w:pPr>
            <w:r>
              <w:rPr>
                <w:sz w:val="18"/>
              </w:rPr>
              <w:t>Rejected with four reasons; Options A and B; the buyer accepts A and pays ¥257,790.00 on day 2</w:t>
            </w:r>
          </w:p>
        </w:tc>
        <w:tc>
          <w:tcPr>
            <w:tcW w:type="dxa" w:w="2448"/>
          </w:tcPr>
          <w:p>
            <w:pPr>
              <w:spacing w:before="20" w:after="20" w:line="240" w:lineRule="auto"/>
            </w:pPr>
            <w:r>
              <w:rPr>
                <w:sz w:val="18"/>
              </w:rPr>
              <w:t>Scripted task S01, evidence chain verified</w:t>
            </w:r>
          </w:p>
        </w:tc>
      </w:tr>
      <w:tr>
        <w:trPr>
          <w:cantSplit w:val="true"/>
        </w:trPr>
        <w:tc>
          <w:tcPr>
            <w:tcW w:type="dxa" w:w="1839"/>
          </w:tcPr>
          <w:p>
            <w:pPr>
              <w:spacing w:before="20" w:after="20" w:line="240" w:lineRule="auto"/>
            </w:pPr>
            <w:r>
              <w:rPr>
                <w:sz w:val="18"/>
              </w:rPr>
              <w:t>Honest no deal</w:t>
            </w:r>
          </w:p>
        </w:tc>
        <w:tc>
          <w:tcPr>
            <w:tcW w:type="dxa" w:w="2621"/>
          </w:tcPr>
          <w:p>
            <w:pPr>
              <w:spacing w:before="20" w:after="20" w:line="240" w:lineRule="auto"/>
            </w:pPr>
            <w:r>
              <w:rPr>
                <w:sz w:val="18"/>
              </w:rPr>
              <w:t>A hard-line buyer refuses every counter</w:t>
            </w:r>
          </w:p>
        </w:tc>
        <w:tc>
          <w:tcPr>
            <w:tcW w:type="dxa" w:w="2452"/>
          </w:tcPr>
          <w:p>
            <w:pPr>
              <w:spacing w:before="20" w:after="20" w:line="240" w:lineRule="auto"/>
            </w:pPr>
            <w:r>
              <w:rPr>
                <w:sz w:val="18"/>
              </w:rPr>
              <w:t>NO DEAL within 3 rounds; the gap funded for ¥3,113.93; the reserve holds</w:t>
            </w:r>
          </w:p>
        </w:tc>
        <w:tc>
          <w:tcPr>
            <w:tcW w:type="dxa" w:w="2448"/>
          </w:tcPr>
          <w:p>
            <w:pPr>
              <w:spacing w:before="20" w:after="20" w:line="240" w:lineRule="auto"/>
            </w:pPr>
            <w:r>
              <w:rPr>
                <w:sz w:val="18"/>
              </w:rPr>
              <w:t>Evaluation gate E5 (7/7)</w:t>
            </w:r>
          </w:p>
        </w:tc>
      </w:tr>
      <w:tr>
        <w:trPr>
          <w:cantSplit w:val="true"/>
        </w:trPr>
        <w:tc>
          <w:tcPr>
            <w:tcW w:type="dxa" w:w="1839"/>
          </w:tcPr>
          <w:p>
            <w:pPr>
              <w:spacing w:before="20" w:after="20" w:line="240" w:lineRule="auto"/>
            </w:pPr>
            <w:r>
              <w:rPr>
                <w:sz w:val="18"/>
              </w:rPr>
              <w:t>Early-payment boundary</w:t>
            </w:r>
          </w:p>
        </w:tc>
        <w:tc>
          <w:tcPr>
            <w:tcW w:type="dxa" w:w="2621"/>
          </w:tcPr>
          <w:p>
            <w:pPr>
              <w:spacing w:before="20" w:after="20" w:line="240" w:lineRule="auto"/>
            </w:pPr>
            <w:r>
              <w:rPr>
                <w:sz w:val="18"/>
              </w:rPr>
              <w:t>Whole-invoice early payment at 0.75%, then 0.74%</w:t>
            </w:r>
          </w:p>
        </w:tc>
        <w:tc>
          <w:tcPr>
            <w:tcW w:type="dxa" w:w="2452"/>
          </w:tcPr>
          <w:p>
            <w:pPr>
              <w:spacing w:before="20" w:after="20" w:line="240" w:lineRule="auto"/>
            </w:pPr>
            <w:r>
              <w:rPr>
                <w:sz w:val="18"/>
              </w:rPr>
              <w:t>0.75% (¥3,150.00) countered as dearer than the plan; 0.74% (¥3,108.00) accepted at Tier 1</w:t>
            </w:r>
          </w:p>
        </w:tc>
        <w:tc>
          <w:tcPr>
            <w:tcW w:type="dxa" w:w="2448"/>
          </w:tcPr>
          <w:p>
            <w:pPr>
              <w:spacing w:before="20" w:after="20" w:line="240" w:lineRule="auto"/>
            </w:pPr>
            <w:r>
              <w:rPr>
                <w:sz w:val="18"/>
              </w:rPr>
              <w:t>Verifier hand-calculation tests</w:t>
            </w:r>
          </w:p>
        </w:tc>
      </w:tr>
      <w:tr>
        <w:trPr>
          <w:cantSplit w:val="true"/>
        </w:trPr>
        <w:tc>
          <w:tcPr>
            <w:tcW w:type="dxa" w:w="1839"/>
          </w:tcPr>
          <w:p>
            <w:pPr>
              <w:spacing w:before="20" w:after="20" w:line="240" w:lineRule="auto"/>
            </w:pPr>
            <w:r>
              <w:rPr>
                <w:sz w:val="18"/>
              </w:rPr>
              <w:t>Cure above the ceiling</w:t>
            </w:r>
          </w:p>
        </w:tc>
        <w:tc>
          <w:tcPr>
            <w:tcW w:type="dxa" w:w="2621"/>
          </w:tcPr>
          <w:p>
            <w:pPr>
              <w:spacing w:before="20" w:after="20" w:line="240" w:lineRule="auto"/>
            </w:pPr>
            <w:r>
              <w:rPr>
                <w:sz w:val="18"/>
              </w:rPr>
              <w:t>Day 34: "go ahead" on a ¥200,000 advance at 32.5% a year</w:t>
            </w:r>
          </w:p>
        </w:tc>
        <w:tc>
          <w:tcPr>
            <w:tcW w:type="dxa" w:w="2452"/>
          </w:tcPr>
          <w:p>
            <w:pPr>
              <w:spacing w:before="20" w:after="20" w:line="240" w:lineRule="auto"/>
            </w:pPr>
            <w:r>
              <w:rPr>
                <w:sz w:val="18"/>
              </w:rPr>
              <w:t>Queued for approval, nothing runs; it runs only on the owner's approval, and the cash lands on day 37</w:t>
            </w:r>
          </w:p>
        </w:tc>
        <w:tc>
          <w:tcPr>
            <w:tcW w:type="dxa" w:w="2448"/>
          </w:tcPr>
          <w:p>
            <w:pPr>
              <w:spacing w:before="20" w:after="20" w:line="240" w:lineRule="auto"/>
            </w:pPr>
            <w:r>
              <w:rPr>
                <w:rFonts w:ascii="Courier New" w:hAnsi="Courier New"/>
                <w:sz w:val="18"/>
              </w:rPr>
              <w:t>scripts/demo_run.py</w:t>
            </w:r>
          </w:p>
        </w:tc>
      </w:tr>
      <w:tr>
        <w:trPr>
          <w:cantSplit w:val="true"/>
        </w:trPr>
        <w:tc>
          <w:tcPr>
            <w:tcW w:type="dxa" w:w="1839"/>
          </w:tcPr>
          <w:p>
            <w:pPr>
              <w:spacing w:before="20" w:after="20" w:line="240" w:lineRule="auto"/>
            </w:pPr>
            <w:r>
              <w:rPr>
                <w:sz w:val="18"/>
              </w:rPr>
              <w:t>Consent</w:t>
            </w:r>
          </w:p>
        </w:tc>
        <w:tc>
          <w:tcPr>
            <w:tcW w:type="dxa" w:w="2621"/>
          </w:tcPr>
          <w:p>
            <w:pPr>
              <w:spacing w:before="20" w:after="20" w:line="240" w:lineRule="auto"/>
            </w:pPr>
            <w:r>
              <w:rPr>
                <w:sz w:val="18"/>
              </w:rPr>
              <w:t>Negated, conditional, future-dated, foreign-currency or quoted instructions, in both languages</w:t>
            </w:r>
          </w:p>
        </w:tc>
        <w:tc>
          <w:tcPr>
            <w:tcW w:type="dxa" w:w="2452"/>
          </w:tcPr>
          <w:p>
            <w:pPr>
              <w:spacing w:before="20" w:after="20" w:line="240" w:lineRule="auto"/>
            </w:pPr>
            <w:r>
              <w:rPr>
                <w:sz w:val="18"/>
              </w:rPr>
              <w:t>Nothing executes</w:t>
            </w:r>
          </w:p>
        </w:tc>
        <w:tc>
          <w:tcPr>
            <w:tcW w:type="dxa" w:w="2448"/>
          </w:tcPr>
          <w:p>
            <w:pPr>
              <w:spacing w:before="20" w:after="20" w:line="240" w:lineRule="auto"/>
            </w:pPr>
            <w:r>
              <w:rPr>
                <w:sz w:val="18"/>
              </w:rPr>
              <w:t>41 consent attacks</w:t>
            </w:r>
          </w:p>
        </w:tc>
      </w:tr>
      <w:tr>
        <w:trPr>
          <w:cantSplit w:val="true"/>
        </w:trPr>
        <w:tc>
          <w:tcPr>
            <w:tcW w:type="dxa" w:w="1839"/>
          </w:tcPr>
          <w:p>
            <w:pPr>
              <w:spacing w:before="20" w:after="20" w:line="240" w:lineRule="auto"/>
            </w:pPr>
            <w:r>
              <w:rPr>
                <w:sz w:val="18"/>
              </w:rPr>
              <w:t>Injection in a contract</w:t>
            </w:r>
          </w:p>
        </w:tc>
        <w:tc>
          <w:tcPr>
            <w:tcW w:type="dxa" w:w="2621"/>
          </w:tcPr>
          <w:p>
            <w:pPr>
              <w:spacing w:before="20" w:after="20" w:line="240" w:lineRule="auto"/>
            </w:pPr>
            <w:r>
              <w:rPr>
                <w:sz w:val="18"/>
              </w:rPr>
              <w:t>A clause addressed to the agent</w:t>
            </w:r>
          </w:p>
        </w:tc>
        <w:tc>
          <w:tcPr>
            <w:tcW w:type="dxa" w:w="2452"/>
          </w:tcPr>
          <w:p>
            <w:pPr>
              <w:spacing w:before="20" w:after="20" w:line="240" w:lineRule="auto"/>
            </w:pPr>
            <w:r>
              <w:rPr>
                <w:sz w:val="18"/>
              </w:rPr>
              <w:t>Never read as a term; cannot be confirmed; a security event is logged</w:t>
            </w:r>
          </w:p>
        </w:tc>
        <w:tc>
          <w:tcPr>
            <w:tcW w:type="dxa" w:w="2448"/>
          </w:tcPr>
          <w:p>
            <w:pPr>
              <w:spacing w:before="20" w:after="20" w:line="240" w:lineRule="auto"/>
            </w:pPr>
            <w:r>
              <w:rPr>
                <w:sz w:val="18"/>
              </w:rPr>
              <w:t>Contract-ingestion attacks</w:t>
            </w:r>
          </w:p>
        </w:tc>
      </w:tr>
      <w:tr>
        <w:trPr>
          <w:cantSplit w:val="true"/>
        </w:trPr>
        <w:tc>
          <w:tcPr>
            <w:tcW w:type="dxa" w:w="1839"/>
          </w:tcPr>
          <w:p>
            <w:pPr>
              <w:spacing w:before="20" w:after="20" w:line="240" w:lineRule="auto"/>
            </w:pPr>
            <w:r>
              <w:rPr>
                <w:sz w:val="18"/>
              </w:rPr>
              <w:t>Wrong company</w:t>
            </w:r>
          </w:p>
        </w:tc>
        <w:tc>
          <w:tcPr>
            <w:tcW w:type="dxa" w:w="2621"/>
          </w:tcPr>
          <w:p>
            <w:pPr>
              <w:spacing w:before="20" w:after="20" w:line="240" w:lineRule="auto"/>
            </w:pPr>
            <w:r>
              <w:rPr>
                <w:sz w:val="18"/>
              </w:rPr>
              <w:t>A contract naming two other companies, uploaded "with Foshan"</w:t>
            </w:r>
          </w:p>
        </w:tc>
        <w:tc>
          <w:tcPr>
            <w:tcW w:type="dxa" w:w="2452"/>
          </w:tcPr>
          <w:p>
            <w:pPr>
              <w:spacing w:before="20" w:after="20" w:line="240" w:lineRule="auto"/>
            </w:pPr>
            <w:r>
              <w:rPr>
                <w:sz w:val="18"/>
              </w:rPr>
              <w:t>Cannot be confirmed; the companies it names are shown</w:t>
            </w:r>
          </w:p>
        </w:tc>
        <w:tc>
          <w:tcPr>
            <w:tcW w:type="dxa" w:w="2448"/>
          </w:tcPr>
          <w:p>
            <w:pPr>
              <w:spacing w:before="20" w:after="20" w:line="240" w:lineRule="auto"/>
            </w:pPr>
            <w:r>
              <w:rPr>
                <w:sz w:val="18"/>
              </w:rPr>
              <w:t>Contract party tests</w:t>
            </w:r>
          </w:p>
        </w:tc>
      </w:tr>
      <w:tr>
        <w:trPr>
          <w:cantSplit w:val="true"/>
        </w:trPr>
        <w:tc>
          <w:tcPr>
            <w:tcW w:type="dxa" w:w="1839"/>
          </w:tcPr>
          <w:p>
            <w:pPr>
              <w:spacing w:before="20" w:after="20" w:line="240" w:lineRule="auto"/>
            </w:pPr>
            <w:r>
              <w:rPr>
                <w:sz w:val="18"/>
              </w:rPr>
              <w:t>Tier 3 by the owner</w:t>
            </w:r>
          </w:p>
        </w:tc>
        <w:tc>
          <w:tcPr>
            <w:tcW w:type="dxa" w:w="2621"/>
          </w:tcPr>
          <w:p>
            <w:pPr>
              <w:spacing w:before="20" w:after="20" w:line="240" w:lineRule="auto"/>
            </w:pPr>
            <w:r>
              <w:rPr>
                <w:sz w:val="18"/>
              </w:rPr>
              <w:t>The owner asks to sign a personal guarantee</w:t>
            </w:r>
          </w:p>
        </w:tc>
        <w:tc>
          <w:tcPr>
            <w:tcW w:type="dxa" w:w="2452"/>
          </w:tcPr>
          <w:p>
            <w:pPr>
              <w:spacing w:before="20" w:after="20" w:line="240" w:lineRule="auto"/>
            </w:pPr>
            <w:r>
              <w:rPr>
                <w:sz w:val="18"/>
              </w:rPr>
              <w:t>Refused for every caller</w:t>
            </w:r>
          </w:p>
        </w:tc>
        <w:tc>
          <w:tcPr>
            <w:tcW w:type="dxa" w:w="2448"/>
          </w:tcPr>
          <w:p>
            <w:pPr>
              <w:spacing w:before="20" w:after="20" w:line="240" w:lineRule="auto"/>
            </w:pPr>
            <w:r>
              <w:rPr>
                <w:sz w:val="18"/>
              </w:rPr>
              <w:t>Permission tests</w:t>
            </w:r>
          </w:p>
        </w:tc>
      </w:tr>
      <w:tr>
        <w:trPr>
          <w:cantSplit w:val="true"/>
        </w:trPr>
        <w:tc>
          <w:tcPr>
            <w:tcW w:type="dxa" w:w="1839"/>
          </w:tcPr>
          <w:p>
            <w:pPr>
              <w:spacing w:before="20" w:after="20" w:line="240" w:lineRule="auto"/>
            </w:pPr>
            <w:r>
              <w:rPr>
                <w:sz w:val="18"/>
              </w:rPr>
              <w:t>Tampered evidence</w:t>
            </w:r>
          </w:p>
        </w:tc>
        <w:tc>
          <w:tcPr>
            <w:tcW w:type="dxa" w:w="2621"/>
          </w:tcPr>
          <w:p>
            <w:pPr>
              <w:spacing w:before="20" w:after="20" w:line="240" w:lineRule="auto"/>
            </w:pPr>
            <w:r>
              <w:rPr>
                <w:sz w:val="18"/>
              </w:rPr>
              <w:t>One log entry edited</w:t>
            </w:r>
          </w:p>
        </w:tc>
        <w:tc>
          <w:tcPr>
            <w:tcW w:type="dxa" w:w="2452"/>
          </w:tcPr>
          <w:p>
            <w:pPr>
              <w:spacing w:before="20" w:after="20" w:line="240" w:lineRule="auto"/>
            </w:pPr>
            <w:r>
              <w:rPr>
                <w:sz w:val="18"/>
              </w:rPr>
              <w:t>The verifier rejects the copy; untouched chains verify</w:t>
            </w:r>
          </w:p>
        </w:tc>
        <w:tc>
          <w:tcPr>
            <w:tcW w:type="dxa" w:w="2448"/>
          </w:tcPr>
          <w:p>
            <w:pPr>
              <w:spacing w:before="20" w:after="20" w:line="240" w:lineRule="auto"/>
            </w:pPr>
            <w:r>
              <w:rPr>
                <w:sz w:val="18"/>
              </w:rPr>
              <w:t>Judge report</w:t>
            </w:r>
          </w:p>
        </w:tc>
      </w:tr>
      <w:tr>
        <w:trPr>
          <w:cantSplit w:val="true"/>
        </w:trPr>
        <w:tc>
          <w:tcPr>
            <w:tcW w:type="dxa" w:w="1839"/>
          </w:tcPr>
          <w:p>
            <w:pPr>
              <w:spacing w:before="20" w:after="20" w:line="240" w:lineRule="auto"/>
            </w:pPr>
            <w:r>
              <w:rPr>
                <w:sz w:val="18"/>
              </w:rPr>
              <w:t>Two writers at once</w:t>
            </w:r>
          </w:p>
        </w:tc>
        <w:tc>
          <w:tcPr>
            <w:tcW w:type="dxa" w:w="2621"/>
          </w:tcPr>
          <w:p>
            <w:pPr>
              <w:spacing w:before="20" w:after="20" w:line="240" w:lineRule="auto"/>
            </w:pPr>
            <w:r>
              <w:rPr>
                <w:sz w:val="18"/>
              </w:rPr>
              <w:t>Two processes act on the same books</w:t>
            </w:r>
          </w:p>
        </w:tc>
        <w:tc>
          <w:tcPr>
            <w:tcW w:type="dxa" w:w="2452"/>
          </w:tcPr>
          <w:p>
            <w:pPr>
              <w:spacing w:before="20" w:after="20" w:line="240" w:lineRule="auto"/>
            </w:pPr>
            <w:r>
              <w:rPr>
                <w:sz w:val="18"/>
              </w:rPr>
              <w:t>Eight invariants hold; a serial replay gives identical books</w:t>
            </w:r>
          </w:p>
        </w:tc>
        <w:tc>
          <w:tcPr>
            <w:tcW w:type="dxa" w:w="2448"/>
          </w:tcPr>
          <w:p>
            <w:pPr>
              <w:spacing w:before="20" w:after="20" w:line="240" w:lineRule="auto"/>
            </w:pPr>
            <w:r>
              <w:rPr>
                <w:sz w:val="18"/>
              </w:rPr>
              <w:t>Concurrency tests, SQLite and PostgreSQL 17</w:t>
            </w:r>
          </w:p>
        </w:tc>
      </w:tr>
    </w:tbl>
    <w:p>
      <w:pPr>
        <w:spacing w:after="40"/>
      </w:pPr>
    </w:p>
    <w:p>
      <w:pPr>
        <w:jc w:val="center"/>
      </w:pPr>
      <w:r>
        <w:drawing>
          <wp:inline xmlns:a="http://schemas.openxmlformats.org/drawingml/2006/main" xmlns:pic="http://schemas.openxmlformats.org/drawingml/2006/picture">
            <wp:extent cx="3260704" cy="4389119"/>
            <wp:docPr id="9" name="Picture 9"/>
            <wp:cNvGraphicFramePr>
              <a:graphicFrameLocks noChangeAspect="1"/>
            </wp:cNvGraphicFramePr>
            <a:graphic>
              <a:graphicData uri="http://schemas.openxmlformats.org/drawingml/2006/picture">
                <pic:pic>
                  <pic:nvPicPr>
                    <pic:cNvPr id="0" name="shot3-approval.png"/>
                    <pic:cNvPicPr/>
                  </pic:nvPicPr>
                  <pic:blipFill>
                    <a:blip r:embed="rId18"/>
                    <a:stretch>
                      <a:fillRect/>
                    </a:stretch>
                  </pic:blipFill>
                  <pic:spPr>
                    <a:xfrm>
                      <a:off x="0" y="0"/>
                      <a:ext cx="3260704" cy="4389119"/>
                    </a:xfrm>
                    <a:prstGeom prst="rect"/>
                  </pic:spPr>
                </pic:pic>
              </a:graphicData>
            </a:graphic>
          </wp:inline>
        </w:drawing>
      </w:r>
    </w:p>
    <w:p>
      <w:pPr>
        <w:pStyle w:val="Caption"/>
      </w:pPr>
      <w:r>
        <w:t>Figure 9. The owner stays in control. On day 34 FLOW proposes a ¥200,000 advance; because it costs 32.5% a year, above the owner's 15% ceiling, it waits on the Approvals page and nothing has run.</w:t>
      </w:r>
    </w:p>
    <w:p>
      <w:pPr>
        <w:spacing w:before="0" w:after="60" w:line="259" w:lineRule="auto"/>
      </w:pPr>
      <w:r>
        <w:rPr>
          <w:b/>
          <w:sz w:val="20"/>
        </w:rPr>
        <w:t>Known limitations.</w:t>
      </w:r>
      <w:r>
        <w:rPr>
          <w:sz w:val="20"/>
        </w:rPr>
        <w:t xml:space="preserve"> Grouped by what they affect.</w:t>
      </w:r>
    </w:p>
    <w:p>
      <w:pPr>
        <w:spacing w:before="0" w:after="60" w:line="259" w:lineRule="auto"/>
      </w:pPr>
      <w:r>
        <w:rPr>
          <w:i/>
          <w:sz w:val="20"/>
        </w:rPr>
        <w:t>Limits of the demo (by design):</w:t>
      </w:r>
    </w:p>
    <w:p>
      <w:pPr>
        <w:pStyle w:val="ListBullet2"/>
        <w:tabs>
          <w:tab w:pos="792" w:val="left"/>
        </w:tabs>
        <w:spacing w:before="0" w:after="60" w:line="259" w:lineRule="auto"/>
        <w:ind w:left="792" w:hanging="288"/>
      </w:pPr>
      <w:r>
        <w:rPr>
          <w:b/>
          <w:sz w:val="20"/>
        </w:rPr>
        <w:t>Everything outside FLOW is simulated.</w:t>
      </w:r>
      <w:r>
        <w:rPr>
          <w:sz w:val="20"/>
        </w:rPr>
        <w:t xml:space="preserve"> Lenders, buyers, rates and the bank feed are simulated, and no real money moves.</w:t>
      </w:r>
    </w:p>
    <w:p>
      <w:pPr>
        <w:pStyle w:val="ListBullet2"/>
        <w:tabs>
          <w:tab w:pos="792" w:val="left"/>
        </w:tabs>
        <w:spacing w:before="0" w:after="60" w:line="259" w:lineRule="auto"/>
        <w:ind w:left="792" w:hanging="288"/>
      </w:pPr>
      <w:r>
        <w:rPr>
          <w:b/>
          <w:sz w:val="20"/>
        </w:rPr>
        <w:t>Recorded readings only.</w:t>
      </w:r>
      <w:r>
        <w:rPr>
          <w:sz w:val="20"/>
        </w:rPr>
        <w:t xml:space="preserve"> The demo replays recorded model readings. A new document gets the rules reading unless live mode is on.</w:t>
      </w:r>
    </w:p>
    <w:p>
      <w:pPr>
        <w:pStyle w:val="ListBullet2"/>
        <w:tabs>
          <w:tab w:pos="792" w:val="left"/>
        </w:tabs>
        <w:spacing w:before="0" w:after="60" w:line="259" w:lineRule="auto"/>
        <w:ind w:left="792" w:hanging="288"/>
      </w:pPr>
      <w:r>
        <w:rPr>
          <w:b/>
          <w:sz w:val="20"/>
        </w:rPr>
        <w:t>The demo company is a fixed test set.</w:t>
      </w:r>
      <w:r>
        <w:rPr>
          <w:sz w:val="20"/>
        </w:rPr>
        <w:t xml:space="preserve"> Its books hold one payroll (¥340,000 on day 12), sized for the 60-day story, so its 120-day forecast has no later payrolls and is optimistic after day 30. No decision in the story depends on that period. Books opened through setup repeat payroll monthly (or quarterly or yearly) across the whole forecast.</w:t>
      </w:r>
    </w:p>
    <w:p>
      <w:pPr>
        <w:pStyle w:val="ListBullet2"/>
        <w:tabs>
          <w:tab w:pos="792" w:val="left"/>
        </w:tabs>
        <w:spacing w:before="0"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so restarting it starts fresh. </w:t>
      </w:r>
      <w:r>
        <w:rPr>
          <w:rFonts w:ascii="Courier New" w:hAnsi="Courier New"/>
          <w:sz w:val="18"/>
        </w:rPr>
        <w:t>pnpm demo:keep</w:t>
      </w:r>
      <w:r>
        <w:rPr>
          <w:sz w:val="20"/>
        </w:rPr>
        <w:t xml:space="preserve"> keeps them in a local SQLite file instead.</w:t>
      </w:r>
    </w:p>
    <w:p>
      <w:pPr>
        <w:spacing w:before="0" w:after="60" w:line="259" w:lineRule="auto"/>
      </w:pPr>
      <w:r>
        <w:rPr>
          <w:i/>
          <w:sz w:val="20"/>
        </w:rPr>
        <w:t>Product gaps (known, with the next step):</w:t>
      </w:r>
    </w:p>
    <w:p>
      <w:pPr>
        <w:pStyle w:val="ListBullet2"/>
        <w:tabs>
          <w:tab w:pos="792" w:val="left"/>
        </w:tabs>
        <w:spacing w:before="0"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7). Reading settlement dates is next.</w:t>
      </w:r>
    </w:p>
    <w:p>
      <w:pPr>
        <w:pStyle w:val="ListBullet2"/>
        <w:tabs>
          <w:tab w:pos="792" w:val="left"/>
        </w:tabs>
        <w:spacing w:before="0"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pPr>
        <w:pStyle w:val="ListBullet2"/>
        <w:tabs>
          <w:tab w:pos="792" w:val="left"/>
        </w:tabs>
        <w:spacing w:before="0" w:after="60" w:line="259" w:lineRule="auto"/>
        <w:ind w:left="792" w:hanging="288"/>
      </w:pPr>
      <w:r>
        <w:rPr>
          <w:b/>
          <w:sz w:val="20"/>
        </w:rPr>
        <w:t>Contracts.</w:t>
      </w:r>
      <w:r>
        <w:rPr>
          <w:sz w:val="20"/>
        </w:rPr>
        <w:t xml:space="preserve"> Contract reading is 75% on unseen text-layer contracts. Scans and photos are refused, since there is no OCR. Confirming a contract files its reading but does not change the books.</w:t>
      </w:r>
    </w:p>
    <w:p>
      <w:pPr>
        <w:pStyle w:val="ListBullet2"/>
        <w:tabs>
          <w:tab w:pos="792" w:val="left"/>
        </w:tabs>
        <w:spacing w:before="0" w:after="60" w:line="259" w:lineRule="auto"/>
        <w:ind w:left="792" w:hanging="288"/>
      </w:pPr>
      <w:r>
        <w:rPr>
          <w:b/>
          <w:sz w:val="20"/>
        </w:rPr>
        <w:t>Router.</w:t>
      </w:r>
      <w:r>
        <w:rPr>
          <w:sz w:val="20"/>
        </w:rPr>
        <w:t xml:space="preserve"> Six of the 26 router plans rely on actions FLOW cannot run yet (asking a buyer to pay early, discounting a bill). They are labelled "cannot run today".</w:t>
      </w:r>
    </w:p>
    <w:p>
      <w:pPr>
        <w:pStyle w:val="ListBullet2"/>
        <w:tabs>
          <w:tab w:pos="792" w:val="left"/>
        </w:tabs>
        <w:spacing w:before="0"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pPr>
        <w:pStyle w:val="ListBullet2"/>
        <w:tabs>
          <w:tab w:pos="792" w:val="left"/>
        </w:tabs>
        <w:spacing w:before="0" w:after="60" w:line="259" w:lineRule="auto"/>
        <w:ind w:left="792" w:hanging="288"/>
      </w:pPr>
      <w:r>
        <w:rPr>
          <w:b/>
          <w:sz w:val="20"/>
        </w:rPr>
        <w:t>Live models.</w:t>
      </w:r>
      <w:r>
        <w:rPr>
          <w:sz w:val="20"/>
        </w:rPr>
        <w:t xml:space="preserve"> Live-model runs are fewer than recorded ones. The live DeepSeek accuracy figure is from 1 Oct, and the language-boundary set has not yet been run against a live model.</w:t>
      </w:r>
    </w:p>
    <w:p>
      <w:pPr>
        <w:spacing w:before="0" w:after="60" w:line="259" w:lineRule="auto"/>
      </w:pPr>
      <w:r>
        <w:rPr>
          <w:i/>
          <w:sz w:val="20"/>
        </w:rPr>
        <w:t>Open defect (minor):</w:t>
      </w:r>
    </w:p>
    <w:p>
      <w:pPr>
        <w:pStyle w:val="ListBullet2"/>
        <w:tabs>
          <w:tab w:pos="792" w:val="left"/>
        </w:tabs>
        <w:spacing w:before="0" w:after="60" w:line="259" w:lineRule="auto"/>
        <w:ind w:left="792" w:hanging="288"/>
      </w:pPr>
      <w:r>
        <w:rPr>
          <w:sz w:val="20"/>
        </w:rPr>
        <w:t>The approval card does not show the approval's id, which the exact approval sentence in chat needs.</w:t>
      </w:r>
    </w:p>
    <w:p>
      <w:pPr>
        <w:spacing w:before="0" w:after="60" w:line="259" w:lineRule="auto"/>
      </w:pPr>
      <w:r>
        <w:rPr>
          <w:i/>
          <w:sz w:val="20"/>
        </w:rPr>
        <w:t>Production blockers (from the Security Self-Assessment):</w:t>
      </w:r>
    </w:p>
    <w:p>
      <w:pPr>
        <w:pStyle w:val="ListBullet2"/>
        <w:tabs>
          <w:tab w:pos="792" w:val="left"/>
        </w:tabs>
        <w:spacing w:before="0" w:after="60" w:line="259" w:lineRule="auto"/>
        <w:ind w:left="792" w:hanging="288"/>
      </w:pPr>
      <w:r>
        <w:rPr>
          <w:b/>
          <w:sz w:val="20"/>
        </w:rPr>
        <w:t>No runnable production configuration</w:t>
      </w:r>
      <w:r>
        <w:rPr>
          <w:sz w:val="20"/>
        </w:rPr>
        <w:t xml:space="preserve"> (SEC-06).</w:t>
      </w:r>
    </w:p>
    <w:p>
      <w:pPr>
        <w:pStyle w:val="ListBullet2"/>
        <w:tabs>
          <w:tab w:pos="792" w:val="left"/>
        </w:tabs>
        <w:spacing w:before="0" w:after="60" w:line="259" w:lineRule="auto"/>
        <w:ind w:left="792" w:hanging="288"/>
      </w:pPr>
      <w:r>
        <w:rPr>
          <w:b/>
          <w:sz w:val="20"/>
        </w:rPr>
        <w:t>One worker process only</w:t>
      </w:r>
      <w:r>
        <w:rPr>
          <w:sz w:val="20"/>
        </w:rPr>
        <w:t xml:space="preserve"> until PostgreSQL is proven in CI (SEC-11).</w:t>
      </w:r>
    </w:p>
    <w:p>
      <w:pPr>
        <w:pStyle w:val="ListBullet2"/>
        <w:tabs>
          <w:tab w:pos="792" w:val="left"/>
        </w:tabs>
        <w:spacing w:before="0" w:after="60" w:line="259" w:lineRule="auto"/>
        <w:ind w:left="792" w:hanging="288"/>
      </w:pPr>
      <w:r>
        <w:rPr>
          <w:b/>
          <w:sz w:val="20"/>
        </w:rPr>
        <w:t>Single-operator key custody</w:t>
      </w:r>
      <w:r>
        <w:rPr>
          <w:sz w:val="20"/>
        </w:rPr>
        <w:t xml:space="preserve"> (R-2).</w:t>
      </w:r>
    </w:p>
    <w:p>
      <w:pPr>
        <w:pStyle w:val="ListBullet2"/>
        <w:tabs>
          <w:tab w:pos="792" w:val="left"/>
        </w:tabs>
        <w:spacing w:before="0" w:after="60" w:line="259" w:lineRule="auto"/>
        <w:ind w:left="792" w:hanging="288"/>
      </w:pPr>
      <w:r>
        <w:rPr>
          <w:b/>
          <w:sz w:val="20"/>
        </w:rPr>
        <w:t>The hash-chain head is not anchored outside the system.</w:t>
      </w:r>
    </w:p>
    <w:p>
      <w:pPr>
        <w:pStyle w:val="ListBullet2"/>
        <w:tabs>
          <w:tab w:pos="792" w:val="left"/>
        </w:tabs>
        <w:spacing w:before="0" w:after="60" w:line="259" w:lineRule="auto"/>
        <w:ind w:left="792" w:hanging="288"/>
      </w:pPr>
      <w:r>
        <w:rPr>
          <w:b/>
          <w:sz w:val="20"/>
        </w:rPr>
        <w:t>No tested network deployment profile</w:t>
      </w:r>
      <w:r>
        <w:rPr>
          <w:sz w:val="20"/>
        </w:rPr>
        <w:t xml:space="preserve"> (TLS proxy, per-client limits, changed credentials and signing key), so a network demo is NO-GO.</w:t>
      </w:r>
    </w:p>
    <w:p>
      <w:pPr>
        <w:pStyle w:val="ListBullet2"/>
        <w:tabs>
          <w:tab w:pos="792" w:val="left"/>
        </w:tabs>
        <w:spacing w:before="0" w:after="60" w:line="259" w:lineRule="auto"/>
        <w:ind w:left="792" w:hanging="288"/>
      </w:pPr>
      <w:r>
        <w:rPr>
          <w:b/>
          <w:sz w:val="20"/>
        </w:rPr>
        <w:t>Open security risks:</w:t>
      </w:r>
      <w:r>
        <w:rPr>
          <w:sz w:val="20"/>
        </w:rPr>
        <w:t xml:space="preserve"> the Tier-1 reach of a compromised agent (R-3), the trusted in-process actor (R-5), and two medium chat items: threshold probing by a buyer with its key (S5) and the agent key reading status and alerts through chat (S9).</w:t>
      </w:r>
    </w:p>
    <w:p>
      <w:pPr>
        <w:pStyle w:val="Heading3"/>
      </w:pPr>
      <w:r>
        <w:rPr/>
        <w:t>Appendix A. Metric definitions</w:t>
      </w:r>
    </w:p>
    <w:p>
      <w:pPr>
        <w:pStyle w:val="ListBullet2"/>
        <w:tabs>
          <w:tab w:pos="792" w:val="left"/>
        </w:tabs>
        <w:spacing w:before="0"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pPr>
        <w:pStyle w:val="ListBullet2"/>
        <w:tabs>
          <w:tab w:pos="792" w:val="left"/>
        </w:tabs>
        <w:spacing w:before="0"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pPr>
        <w:pStyle w:val="ListBullet2"/>
        <w:tabs>
          <w:tab w:pos="792" w:val="left"/>
        </w:tabs>
        <w:spacing w:before="0" w:after="60" w:line="259" w:lineRule="auto"/>
        <w:ind w:left="792" w:hanging="288"/>
      </w:pPr>
      <w:r>
        <w:rPr>
          <w:b/>
          <w:sz w:val="20"/>
        </w:rPr>
        <w:t>Silent material error:</w:t>
      </w:r>
      <w:r>
        <w:rPr>
          <w:sz w:val="20"/>
        </w:rPr>
        <w:t xml:space="preserve"> a material error, plus a must-abstain message that FLOW booked anyway.</w:t>
      </w:r>
    </w:p>
    <w:p>
      <w:pPr>
        <w:pStyle w:val="ListBullet2"/>
        <w:tabs>
          <w:tab w:pos="792" w:val="left"/>
        </w:tabs>
        <w:spacing w:before="0"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pPr>
        <w:pStyle w:val="ListBullet2"/>
        <w:tabs>
          <w:tab w:pos="792" w:val="left"/>
        </w:tabs>
        <w:spacing w:before="0"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pPr>
        <w:pStyle w:val="ListBullet2"/>
        <w:tabs>
          <w:tab w:pos="792" w:val="left"/>
        </w:tabs>
        <w:spacing w:before="0" w:after="60" w:line="259" w:lineRule="auto"/>
        <w:ind w:left="792" w:hanging="288"/>
      </w:pPr>
      <w:r>
        <w:rPr>
          <w:b/>
          <w:sz w:val="20"/>
        </w:rPr>
        <w:t>Eligible for autonomy (Table 7):</w:t>
      </w:r>
      <w:r>
        <w:rPr>
          <w:sz w:val="20"/>
        </w:rPr>
        <w:t xml:space="preserve"> the label is a pure early-payment accept, and the discount is cheaper than the standing plan under today's rules.</w:t>
      </w:r>
    </w:p>
    <w:p>
      <w:pPr>
        <w:pStyle w:val="Heading3"/>
      </w:pPr>
      <w:r>
        <w:rPr/>
        <w:t>Appendix B. Components (services/api/app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801"/>
            <w:shd w:val="clear" w:color="auto" w:fill="E8EEFB"/>
          </w:tcPr>
          <w:p>
            <w:pPr>
              <w:keepNext/>
              <w:spacing w:before="20" w:after="20" w:line="240" w:lineRule="auto"/>
            </w:pPr>
            <w:r>
              <w:rPr>
                <w:b/>
                <w:sz w:val="18"/>
              </w:rPr>
              <w:t>Component</w:t>
            </w:r>
          </w:p>
        </w:tc>
        <w:tc>
          <w:tcPr>
            <w:tcW w:type="dxa" w:w="6559"/>
            <w:shd w:val="clear" w:color="auto" w:fill="E8EEFB"/>
          </w:tcPr>
          <w:p>
            <w:pPr>
              <w:keepNext/>
              <w:spacing w:before="20" w:after="20" w:line="240" w:lineRule="auto"/>
            </w:pPr>
            <w:r>
              <w:rPr>
                <w:b/>
                <w:sz w:val="18"/>
              </w:rPr>
              <w:t>Responsibility</w:t>
            </w:r>
          </w:p>
        </w:tc>
      </w:tr>
      <w:tr>
        <w:trPr>
          <w:cantSplit w:val="true"/>
        </w:trPr>
        <w:tc>
          <w:tcPr>
            <w:tcW w:type="dxa" w:w="2801"/>
          </w:tcPr>
          <w:p>
            <w:pPr>
              <w:spacing w:before="20" w:after="20" w:line="240" w:lineRule="auto"/>
            </w:pPr>
            <w:r>
              <w:rPr>
                <w:rFonts w:ascii="Courier New" w:hAnsi="Courier New"/>
                <w:sz w:val="18"/>
              </w:rPr>
              <w:t>compiler/</w:t>
            </w:r>
          </w:p>
        </w:tc>
        <w:tc>
          <w:tcPr>
            <w:tcW w:type="dxa" w:w="6559"/>
          </w:tcPr>
          <w:p>
            <w:pPr>
              <w:spacing w:before="20" w:after="20" w:line="240" w:lineRule="auto"/>
            </w:pPr>
            <w:r>
              <w:rPr>
                <w:sz w:val="18"/>
              </w:rPr>
              <w:t>Offers, term sheets and contracts into typed obligations or terms, each grounded in an exact quote; redaction; the coverage proof</w:t>
            </w:r>
          </w:p>
        </w:tc>
      </w:tr>
      <w:tr>
        <w:trPr>
          <w:cantSplit w:val="true"/>
        </w:trPr>
        <w:tc>
          <w:tcPr>
            <w:tcW w:type="dxa" w:w="2801"/>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type="dxa" w:w="6559"/>
          </w:tcPr>
          <w:p>
            <w:pPr>
              <w:spacing w:before="20" w:after="20" w:line="240" w:lineRule="auto"/>
            </w:pPr>
            <w:r>
              <w:rPr>
                <w:sz w:val="18"/>
              </w:rPr>
              <w:t>The daily cash, debt and future-concession trajectory in integer fen; DSCR, leverage and clean-down</w:t>
            </w:r>
          </w:p>
        </w:tc>
      </w:tr>
      <w:tr>
        <w:trPr>
          <w:cantSplit w:val="true"/>
        </w:trPr>
        <w:tc>
          <w:tcPr>
            <w:tcW w:type="dxa" w:w="2801"/>
          </w:tcPr>
          <w:p>
            <w:pPr>
              <w:spacing w:before="20" w:after="20" w:line="240" w:lineRule="auto"/>
            </w:pPr>
            <w:r>
              <w:rPr>
                <w:rFonts w:ascii="Courier New" w:hAnsi="Courier New"/>
                <w:sz w:val="18"/>
              </w:rPr>
              <w:t>funding/</w:t>
            </w:r>
          </w:p>
        </w:tc>
        <w:tc>
          <w:tcPr>
            <w:tcW w:type="dxa" w:w="6559"/>
          </w:tcPr>
          <w:p>
            <w:pPr>
              <w:spacing w:before="20" w:after="20" w:line="240" w:lineRule="auto"/>
            </w:pPr>
            <w:r>
              <w:rPr>
                <w:sz w:val="18"/>
              </w:rPr>
              <w:t>The router: the cheapest admissible mix, marginal cost of funds, break-even, admission</w:t>
            </w:r>
          </w:p>
        </w:tc>
      </w:tr>
      <w:tr>
        <w:trPr>
          <w:cantSplit w:val="true"/>
        </w:trPr>
        <w:tc>
          <w:tcPr>
            <w:tcW w:type="dxa" w:w="2801"/>
          </w:tcPr>
          <w:p>
            <w:pPr>
              <w:spacing w:before="20" w:after="20" w:line="240" w:lineRule="auto"/>
            </w:pPr>
            <w:r>
              <w:rPr>
                <w:rFonts w:ascii="Courier New" w:hAnsi="Courier New"/>
                <w:sz w:val="18"/>
              </w:rPr>
              <w:t>mandate/</w:t>
            </w:r>
          </w:p>
        </w:tc>
        <w:tc>
          <w:tcPr>
            <w:tcW w:type="dxa" w:w="6559"/>
          </w:tcPr>
          <w:p>
            <w:pPr>
              <w:spacing w:before="20" w:after="20" w:line="240" w:lineRule="auto"/>
            </w:pPr>
            <w:r>
              <w:rPr>
                <w:sz w:val="18"/>
              </w:rPr>
              <w:t>Ed25519 signing and verification, validity, tiers and mandate rules</w:t>
            </w:r>
          </w:p>
        </w:tc>
      </w:tr>
      <w:tr>
        <w:trPr>
          <w:cantSplit w:val="true"/>
        </w:trPr>
        <w:tc>
          <w:tcPr>
            <w:tcW w:type="dxa" w:w="2801"/>
          </w:tcPr>
          <w:p>
            <w:pPr>
              <w:spacing w:before="20" w:after="20" w:line="240" w:lineRule="auto"/>
            </w:pPr>
            <w:r>
              <w:rPr>
                <w:rFonts w:ascii="Courier New" w:hAnsi="Courier New"/>
                <w:sz w:val="18"/>
              </w:rPr>
              <w:t>verifier/</w:t>
            </w:r>
          </w:p>
        </w:tc>
        <w:tc>
          <w:tcPr>
            <w:tcW w:type="dxa" w:w="6559"/>
          </w:tcPr>
          <w:p>
            <w:pPr>
              <w:spacing w:before="20" w:after="20" w:line="240" w:lineRule="auto"/>
            </w:pPr>
            <w:r>
              <w:rPr>
                <w:sz w:val="18"/>
              </w:rPr>
              <w:t>The verdict, reason codes, formulas and priced counters; reads no free text</w:t>
            </w:r>
          </w:p>
        </w:tc>
      </w:tr>
      <w:tr>
        <w:trPr>
          <w:cantSplit w:val="true"/>
        </w:trPr>
        <w:tc>
          <w:tcPr>
            <w:tcW w:type="dxa" w:w="2801"/>
          </w:tcPr>
          <w:p>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type="dxa" w:w="6559"/>
          </w:tcPr>
          <w:p>
            <w:pPr>
              <w:spacing w:before="20" w:after="20" w:line="240" w:lineRule="auto"/>
            </w:pPr>
            <w:r>
              <w:rPr>
                <w:sz w:val="18"/>
              </w:rPr>
              <w:t>The executor (the only writer) and the commitment lifecycle with nonce, expiry and terms hash</w:t>
            </w:r>
          </w:p>
        </w:tc>
      </w:tr>
      <w:tr>
        <w:trPr>
          <w:cantSplit w:val="true"/>
        </w:trPr>
        <w:tc>
          <w:tcPr>
            <w:tcW w:type="dxa" w:w="2801"/>
          </w:tcPr>
          <w:p>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type="dxa" w:w="6559"/>
          </w:tcPr>
          <w:p>
            <w:pPr>
              <w:spacing w:before="20" w:after="20" w:line="240" w:lineRule="auto"/>
            </w:pPr>
            <w:r>
              <w:rPr>
                <w:sz w:val="18"/>
              </w:rPr>
              <w:t>Today's books plus agreed changes; the simulated clock</w:t>
            </w:r>
          </w:p>
        </w:tc>
      </w:tr>
      <w:tr>
        <w:trPr>
          <w:cantSplit w:val="true"/>
        </w:trPr>
        <w:tc>
          <w:tcPr>
            <w:tcW w:type="dxa" w:w="2801"/>
          </w:tcPr>
          <w:p>
            <w:pPr>
              <w:spacing w:before="20" w:after="20" w:line="240" w:lineRule="auto"/>
            </w:pPr>
            <w:r>
              <w:rPr>
                <w:rFonts w:ascii="Courier New" w:hAnsi="Courier New"/>
                <w:sz w:val="18"/>
              </w:rPr>
              <w:t>persistence/</w:t>
            </w:r>
          </w:p>
        </w:tc>
        <w:tc>
          <w:tcPr>
            <w:tcW w:type="dxa" w:w="6559"/>
          </w:tcPr>
          <w:p>
            <w:pPr>
              <w:spacing w:before="20" w:after="20" w:line="240" w:lineRule="auto"/>
            </w:pPr>
            <w:r>
              <w:rPr>
                <w:sz w:val="18"/>
              </w:rPr>
              <w:t>Tables, migrations 0001–0009, the hash-chained log and the database guards</w:t>
            </w:r>
          </w:p>
        </w:tc>
      </w:tr>
      <w:tr>
        <w:trPr>
          <w:cantSplit w:val="true"/>
        </w:trPr>
        <w:tc>
          <w:tcPr>
            <w:tcW w:type="dxa" w:w="2801"/>
          </w:tcPr>
          <w:p>
            <w:pPr>
              <w:spacing w:before="20" w:after="20" w:line="240" w:lineRule="auto"/>
            </w:pPr>
            <w:r>
              <w:rPr>
                <w:rFonts w:ascii="Courier New" w:hAnsi="Courier New"/>
                <w:sz w:val="18"/>
              </w:rPr>
              <w:t>nl/</w:t>
            </w:r>
          </w:p>
        </w:tc>
        <w:tc>
          <w:tcPr>
            <w:tcW w:type="dxa" w:w="6559"/>
          </w:tcPr>
          <w:p>
            <w:pPr>
              <w:spacing w:before="20" w:after="20" w:line="240" w:lineRule="auto"/>
            </w:pPr>
            <w:r>
              <w:rPr>
                <w:sz w:val="18"/>
              </w:rPr>
              <w:t>The chat harness: intents, slots, consent grammar, sessions, plans</w:t>
            </w:r>
          </w:p>
        </w:tc>
      </w:tr>
      <w:tr>
        <w:trPr>
          <w:cantSplit w:val="true"/>
        </w:trPr>
        <w:tc>
          <w:tcPr>
            <w:tcW w:type="dxa" w:w="2801"/>
          </w:tcPr>
          <w:p>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p>
        </w:tc>
        <w:tc>
          <w:tcPr>
            <w:tcW w:type="dxa" w:w="6559"/>
          </w:tcPr>
          <w:p>
            <w:pPr>
              <w:spacing w:before="20" w:after="20" w:line="240" w:lineRule="auto"/>
            </w:pPr>
            <w:r>
              <w:rPr>
                <w:sz w:val="18"/>
              </w:rPr>
              <w:t>Contract records and reading, the deal summary, the decision record</w:t>
            </w:r>
          </w:p>
        </w:tc>
      </w:tr>
      <w:tr>
        <w:trPr>
          <w:cantSplit w:val="true"/>
        </w:trPr>
        <w:tc>
          <w:tcPr>
            <w:tcW w:type="dxa" w:w="2801"/>
          </w:tcPr>
          <w:p>
            <w:pPr>
              <w:spacing w:before="20" w:after="20" w:line="240" w:lineRule="auto"/>
            </w:pPr>
            <w:r>
              <w:rPr>
                <w:rFonts w:ascii="Courier New" w:hAnsi="Courier New"/>
                <w:sz w:val="18"/>
              </w:rPr>
              <w:t>capex/</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type="dxa" w:w="6559"/>
          </w:tcPr>
          <w:p>
            <w:pPr>
              <w:spacing w:before="20" w:after="20" w:line="240" w:lineRule="auto"/>
            </w:pPr>
            <w:r>
              <w:rPr>
                <w:sz w:val="18"/>
              </w:rPr>
              <w:t>Capex screening, cash alerts and reconciliation, the sandbox, read-only strategy answers</w:t>
            </w:r>
          </w:p>
        </w:tc>
      </w:tr>
      <w:tr>
        <w:trPr>
          <w:cantSplit w:val="true"/>
        </w:trPr>
        <w:tc>
          <w:tcPr>
            <w:tcW w:type="dxa" w:w="2801"/>
          </w:tcPr>
          <w:p>
            <w:pPr>
              <w:spacing w:before="20" w:after="20" w:line="240" w:lineRule="auto"/>
            </w:pPr>
            <w:r>
              <w:rPr>
                <w:rFonts w:ascii="Courier New" w:hAnsi="Courier New"/>
                <w:sz w:val="18"/>
              </w:rPr>
              <w:t>api/</w:t>
            </w:r>
          </w:p>
        </w:tc>
        <w:tc>
          <w:tcPr>
            <w:tcW w:type="dxa" w:w="6559"/>
          </w:tcPr>
          <w:p>
            <w:pPr>
              <w:spacing w:before="20" w:after="20" w:line="240" w:lineRule="auto"/>
            </w:pPr>
            <w:r>
              <w:rPr>
                <w:sz w:val="18"/>
              </w:rPr>
              <w:t>Routes, authentication, rate limits and every sentence shown, in English and Chinese</w:t>
            </w:r>
          </w:p>
        </w:tc>
      </w:tr>
      <w:tr>
        <w:trPr>
          <w:cantSplit w:val="true"/>
        </w:trPr>
        <w:tc>
          <w:tcPr>
            <w:tcW w:type="dxa" w:w="2801"/>
          </w:tcPr>
          <w:p>
            <w:pPr>
              <w:spacing w:before="20" w:after="20" w:line="240" w:lineRule="auto"/>
            </w:pPr>
            <w:r>
              <w:rPr>
                <w:rFonts w:ascii="Courier New" w:hAnsi="Courier New"/>
                <w:sz w:val="18"/>
              </w:rPr>
              <w:t>apps/web</w:t>
            </w:r>
          </w:p>
        </w:tc>
        <w:tc>
          <w:tcPr>
            <w:tcW w:type="dxa" w:w="6559"/>
          </w:tcPr>
          <w:p>
            <w:pPr>
              <w:spacing w:before="20" w:after="20" w:line="240" w:lineRule="auto"/>
            </w:pPr>
            <w:r>
              <w:rPr>
                <w:sz w:val="18"/>
              </w:rPr>
              <w:t>The Next.js app: Business pages, the Demo story, Ask FLOW chat; displays server-written values only</w:t>
            </w:r>
          </w:p>
        </w:tc>
      </w:tr>
    </w:tbl>
    <w:p>
      <w:pPr>
        <w:spacing w:after="40"/>
      </w:pPr>
    </w:p>
    <w:p>
      <w:pPr>
        <w:pStyle w:val="Heading3"/>
      </w:pPr>
      <w:r>
        <w:rPr/>
        <w:t>Appendix C. The agent's tools (HTTP routes, owner token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477"/>
            <w:shd w:val="clear" w:color="auto" w:fill="E8EEFB"/>
          </w:tcPr>
          <w:p>
            <w:pPr>
              <w:keepNext/>
              <w:spacing w:before="20" w:after="20" w:line="240" w:lineRule="auto"/>
            </w:pPr>
            <w:r>
              <w:rPr>
                <w:b/>
                <w:sz w:val="18"/>
              </w:rPr>
              <w:t>Area</w:t>
            </w:r>
          </w:p>
        </w:tc>
        <w:tc>
          <w:tcPr>
            <w:tcW w:type="dxa" w:w="6883"/>
            <w:shd w:val="clear" w:color="auto" w:fill="E8EEFB"/>
          </w:tcPr>
          <w:p>
            <w:pPr>
              <w:keepNext/>
              <w:spacing w:before="20" w:after="20" w:line="240" w:lineRule="auto"/>
            </w:pPr>
            <w:r>
              <w:rPr>
                <w:b/>
                <w:sz w:val="18"/>
              </w:rPr>
              <w:t>Routes</w:t>
            </w:r>
          </w:p>
        </w:tc>
      </w:tr>
      <w:tr>
        <w:trPr>
          <w:cantSplit w:val="true"/>
        </w:trPr>
        <w:tc>
          <w:tcPr>
            <w:tcW w:type="dxa" w:w="2477"/>
          </w:tcPr>
          <w:p>
            <w:pPr>
              <w:spacing w:before="20" w:after="20" w:line="240" w:lineRule="auto"/>
            </w:pPr>
            <w:r>
              <w:rPr>
                <w:sz w:val="18"/>
              </w:rPr>
              <w:t>Chat</w:t>
            </w:r>
          </w:p>
        </w:tc>
        <w:tc>
          <w:tcPr>
            <w:tcW w:type="dxa" w:w="6883"/>
          </w:tcPr>
          <w:p>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p>
        </w:tc>
      </w:tr>
      <w:tr>
        <w:trPr>
          <w:cantSplit w:val="true"/>
        </w:trPr>
        <w:tc>
          <w:tcPr>
            <w:tcW w:type="dxa" w:w="2477"/>
          </w:tcPr>
          <w:p>
            <w:pPr>
              <w:spacing w:before="20" w:after="20" w:line="240" w:lineRule="auto"/>
            </w:pPr>
            <w:r>
              <w:rPr>
                <w:sz w:val="18"/>
              </w:rPr>
              <w:t>Offers and negotiation</w:t>
            </w:r>
          </w:p>
        </w:tc>
        <w:tc>
          <w:tcPr>
            <w:tcW w:type="dxa" w:w="6883"/>
          </w:tcPr>
          <w:p>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the owner's accept and decline; a counter marked sent outside, accepted or declined</w:t>
            </w:r>
          </w:p>
        </w:tc>
      </w:tr>
      <w:tr>
        <w:trPr>
          <w:cantSplit w:val="true"/>
        </w:trPr>
        <w:tc>
          <w:tcPr>
            <w:tcW w:type="dxa" w:w="2477"/>
          </w:tcPr>
          <w:p>
            <w:pPr>
              <w:spacing w:before="20" w:after="20" w:line="240" w:lineRule="auto"/>
            </w:pPr>
            <w:r>
              <w:rPr>
                <w:sz w:val="18"/>
              </w:rPr>
              <w:t>Funding and capex</w:t>
            </w:r>
          </w:p>
        </w:tc>
        <w:tc>
          <w:tcPr>
            <w:tcW w:type="dxa" w:w="6883"/>
          </w:tcPr>
          <w:p>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p>
        </w:tc>
      </w:tr>
      <w:tr>
        <w:trPr>
          <w:cantSplit w:val="true"/>
        </w:trPr>
        <w:tc>
          <w:tcPr>
            <w:tcW w:type="dxa" w:w="2477"/>
          </w:tcPr>
          <w:p>
            <w:pPr>
              <w:spacing w:before="20" w:after="20" w:line="240" w:lineRule="auto"/>
            </w:pPr>
            <w:r>
              <w:rPr>
                <w:sz w:val="18"/>
              </w:rPr>
              <w:t>Execution</w:t>
            </w:r>
          </w:p>
        </w:tc>
        <w:tc>
          <w:tcPr>
            <w:tcW w:type="dxa" w:w="6883"/>
          </w:tcPr>
          <w:p>
            <w:pPr>
              <w:spacing w:before="20" w:after="20" w:line="240" w:lineRule="auto"/>
            </w:pPr>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p>
        </w:tc>
      </w:tr>
      <w:tr>
        <w:trPr>
          <w:cantSplit w:val="true"/>
        </w:trPr>
        <w:tc>
          <w:tcPr>
            <w:tcW w:type="dxa" w:w="2477"/>
          </w:tcPr>
          <w:p>
            <w:pPr>
              <w:spacing w:before="20" w:after="20" w:line="240" w:lineRule="auto"/>
            </w:pPr>
            <w:r>
              <w:rPr>
                <w:sz w:val="18"/>
              </w:rPr>
              <w:t>Clock, alerts, reconciliation</w:t>
            </w:r>
          </w:p>
        </w:tc>
        <w:tc>
          <w:tcPr>
            <w:tcW w:type="dxa" w:w="6883"/>
          </w:tcPr>
          <w:p>
            <w:pPr>
              <w:spacing w:before="20" w:after="20" w:line="240" w:lineRule="auto"/>
            </w:pP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p>
        </w:tc>
      </w:tr>
      <w:tr>
        <w:trPr>
          <w:cantSplit w:val="true"/>
        </w:trPr>
        <w:tc>
          <w:tcPr>
            <w:tcW w:type="dxa" w:w="2477"/>
          </w:tcPr>
          <w:p>
            <w:pPr>
              <w:spacing w:before="20" w:after="20" w:line="240" w:lineRule="auto"/>
            </w:pPr>
            <w:r>
              <w:rPr>
                <w:sz w:val="18"/>
              </w:rPr>
              <w:t>Contracts and deals</w:t>
            </w:r>
          </w:p>
        </w:tc>
        <w:tc>
          <w:tcPr>
            <w:tcW w:type="dxa" w:w="6883"/>
          </w:tcPr>
          <w:p>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GET /deals</w:t>
            </w:r>
            <w:r>
              <w:rPr>
                <w:sz w:val="18"/>
              </w:rPr>
              <w:t xml:space="preserve">, </w:t>
            </w:r>
            <w:r>
              <w:rPr>
                <w:rFonts w:ascii="Courier New" w:hAnsi="Courier New"/>
                <w:sz w:val="18"/>
              </w:rPr>
              <w:t>/deals/{buyer}</w:t>
            </w:r>
          </w:p>
        </w:tc>
      </w:tr>
      <w:tr>
        <w:trPr>
          <w:cantSplit w:val="true"/>
        </w:trPr>
        <w:tc>
          <w:tcPr>
            <w:tcW w:type="dxa" w:w="2477"/>
          </w:tcPr>
          <w:p>
            <w:pPr>
              <w:spacing w:before="20" w:after="20" w:line="240" w:lineRule="auto"/>
            </w:pPr>
            <w:r>
              <w:rPr>
                <w:sz w:val="18"/>
              </w:rPr>
              <w:t>Read views and evidence</w:t>
            </w:r>
          </w:p>
        </w:tc>
        <w:tc>
          <w:tcPr>
            <w:tcW w:type="dxa" w:w="6883"/>
          </w:tcPr>
          <w:p>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/customers</w:t>
            </w:r>
            <w:r>
              <w:rPr>
                <w:sz w:val="18"/>
              </w:rPr>
              <w:t xml:space="preserve">, </w:t>
            </w:r>
            <w:r>
              <w:rPr>
                <w:rFonts w:ascii="Courier New" w:hAnsi="Courier New"/>
                <w:sz w:val="18"/>
              </w:rPr>
              <w:t>/decisions</w:t>
            </w:r>
          </w:p>
        </w:tc>
      </w:tr>
    </w:tbl>
    <w:p>
      <w:pPr>
        <w:spacing w:after="40"/>
      </w:pPr>
    </w:p>
    <w:p>
      <w:pPr>
        <w:pStyle w:val="Heading3"/>
      </w:pPr>
      <w:r>
        <w:rPr/>
        <w:t>Appendix D. Terms and codes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047"/>
            <w:shd w:val="clear" w:color="auto" w:fill="E8EEFB"/>
          </w:tcPr>
          <w:p>
            <w:pPr>
              <w:keepNext/>
              <w:spacing w:before="20" w:after="20" w:line="240" w:lineRule="auto"/>
            </w:pPr>
            <w:r>
              <w:rPr>
                <w:b/>
                <w:sz w:val="18"/>
              </w:rPr>
              <w:t>Term</w:t>
            </w:r>
          </w:p>
        </w:tc>
        <w:tc>
          <w:tcPr>
            <w:tcW w:type="dxa" w:w="7313"/>
            <w:shd w:val="clear" w:color="auto" w:fill="E8EEFB"/>
          </w:tcPr>
          <w:p>
            <w:pPr>
              <w:keepNext/>
              <w:spacing w:before="20" w:after="20" w:line="240" w:lineRule="auto"/>
            </w:pPr>
            <w:r>
              <w:rPr>
                <w:b/>
                <w:sz w:val="18"/>
              </w:rPr>
              <w:t>Meaning</w:t>
            </w:r>
          </w:p>
        </w:tc>
      </w:tr>
      <w:tr>
        <w:trPr>
          <w:cantSplit w:val="true"/>
        </w:trPr>
        <w:tc>
          <w:tcPr>
            <w:tcW w:type="dxa" w:w="2047"/>
          </w:tcPr>
          <w:p>
            <w:pPr>
              <w:spacing w:before="20" w:after="20" w:line="240" w:lineRule="auto"/>
            </w:pPr>
            <w:r>
              <w:rPr>
                <w:sz w:val="18"/>
              </w:rPr>
              <w:t>fen, bp</w:t>
            </w:r>
          </w:p>
        </w:tc>
        <w:tc>
          <w:tcPr>
            <w:tcW w:type="dxa" w:w="7313"/>
          </w:tcPr>
          <w:p>
            <w:pPr>
              <w:spacing w:before="20" w:after="20" w:line="240" w:lineRule="auto"/>
            </w:pPr>
            <w:r>
              <w:rPr>
                <w:sz w:val="18"/>
              </w:rPr>
              <w:t>¥0.01; 0.01%. Money is integer fen and rates integer basis points</w:t>
            </w:r>
          </w:p>
        </w:tc>
      </w:tr>
      <w:tr>
        <w:trPr>
          <w:cantSplit w:val="true"/>
        </w:trPr>
        <w:tc>
          <w:tcPr>
            <w:tcW w:type="dxa" w:w="2047"/>
          </w:tcPr>
          <w:p>
            <w:pPr>
              <w:spacing w:before="20" w:after="20" w:line="240" w:lineRule="auto"/>
            </w:pPr>
            <w:r>
              <w:rPr>
                <w:sz w:val="18"/>
              </w:rPr>
              <w:t>Mandate</w:t>
            </w:r>
          </w:p>
        </w:tc>
        <w:tc>
          <w:tcPr>
            <w:tcW w:type="dxa" w:w="7313"/>
          </w:tcPr>
          <w:p>
            <w:pPr>
              <w:spacing w:before="20" w:after="20" w:line="240" w:lineRule="auto"/>
            </w:pPr>
            <w:r>
              <w:rPr>
                <w:sz w:val="18"/>
              </w:rPr>
              <w:t>The owner's signed limits: cash reserve, concession caps, covenant thresholds, rate ceiling, Tier-2 limit</w:t>
            </w:r>
          </w:p>
        </w:tc>
      </w:tr>
      <w:tr>
        <w:trPr>
          <w:cantSplit w:val="true"/>
        </w:trPr>
        <w:tc>
          <w:tcPr>
            <w:tcW w:type="dxa" w:w="2047"/>
          </w:tcPr>
          <w:p>
            <w:pPr>
              <w:spacing w:before="20" w:after="20" w:line="240" w:lineRule="auto"/>
            </w:pPr>
            <w:r>
              <w:rPr>
                <w:sz w:val="18"/>
              </w:rPr>
              <w:t>Reserve (floor)</w:t>
            </w:r>
          </w:p>
        </w:tc>
        <w:tc>
          <w:tcPr>
            <w:tcW w:type="dxa" w:w="7313"/>
          </w:tcPr>
          <w:p>
            <w:pPr>
              <w:spacing w:before="20" w:after="20" w:line="240" w:lineRule="auto"/>
            </w:pPr>
            <w:r>
              <w:rPr>
                <w:sz w:val="18"/>
              </w:rPr>
              <w:t>The lowest closing cash the mandate allows on any day: ¥300,000 on the demo company</w:t>
            </w:r>
          </w:p>
        </w:tc>
      </w:tr>
      <w:tr>
        <w:trPr>
          <w:cantSplit w:val="true"/>
        </w:trPr>
        <w:tc>
          <w:tcPr>
            <w:tcW w:type="dxa" w:w="2047"/>
          </w:tcPr>
          <w:p>
            <w:pPr>
              <w:spacing w:before="20" w:after="20" w:line="240" w:lineRule="auto"/>
            </w:pPr>
            <w:r>
              <w:rPr>
                <w:sz w:val="18"/>
              </w:rPr>
              <w:t>Golden books</w:t>
            </w:r>
          </w:p>
        </w:tc>
        <w:tc>
          <w:tcPr>
            <w:tcW w:type="dxa" w:w="7313"/>
          </w:tcPr>
          <w:p>
            <w:pPr>
              <w:spacing w:before="20" w:after="20" w:line="240" w:lineRule="auto"/>
            </w:pPr>
            <w:r>
              <w:rPr>
                <w:sz w:val="18"/>
              </w:rPr>
              <w:t>The synthetic demo company, with expected values from an independent oracle</w:t>
            </w:r>
          </w:p>
        </w:tc>
      </w:tr>
      <w:tr>
        <w:trPr>
          <w:cantSplit w:val="true"/>
        </w:trPr>
        <w:tc>
          <w:tcPr>
            <w:tcW w:type="dxa" w:w="2047"/>
          </w:tcPr>
          <w:p>
            <w:pPr>
              <w:spacing w:before="20" w:after="20" w:line="240" w:lineRule="auto"/>
            </w:pPr>
            <w:r>
              <w:rPr>
                <w:sz w:val="18"/>
              </w:rPr>
              <w:t>Marginal cost of funds</w:t>
            </w:r>
          </w:p>
        </w:tc>
        <w:tc>
          <w:tcPr>
            <w:tcW w:type="dxa" w:w="7313"/>
          </w:tcPr>
          <w:p>
            <w:pPr>
              <w:spacing w:before="20" w:after="20" w:line="240" w:lineRule="auto"/>
            </w:pPr>
            <w:r>
              <w:rPr>
                <w:sz w:val="18"/>
              </w:rPr>
              <w:t>The all-in rate of the cheapest committed source able to carry a permanent need: 10.84%</w:t>
            </w:r>
          </w:p>
        </w:tc>
      </w:tr>
      <w:tr>
        <w:trPr>
          <w:cantSplit w:val="true"/>
        </w:trPr>
        <w:tc>
          <w:tcPr>
            <w:tcW w:type="dxa" w:w="2047"/>
          </w:tcPr>
          <w:p>
            <w:pPr>
              <w:spacing w:before="20" w:after="20" w:line="240" w:lineRule="auto"/>
            </w:pPr>
            <w:r>
              <w:rPr>
                <w:sz w:val="18"/>
              </w:rPr>
              <w:t>Break-even discount</w:t>
            </w:r>
          </w:p>
        </w:tc>
        <w:tc>
          <w:tcPr>
            <w:tcW w:type="dxa" w:w="7313"/>
          </w:tcPr>
          <w:p>
            <w:pPr>
              <w:spacing w:before="20" w:after="20" w:line="240" w:lineRule="auto"/>
            </w:pPr>
            <w:r>
              <w:rPr>
                <w:sz w:val="18"/>
              </w:rPr>
              <w:t>The largest early-payment discount cheaper than that source: 0.8832% for 30 days</w:t>
            </w:r>
          </w:p>
        </w:tc>
      </w:tr>
      <w:tr>
        <w:trPr>
          <w:cantSplit w:val="true"/>
        </w:trPr>
        <w:tc>
          <w:tcPr>
            <w:tcW w:type="dxa" w:w="2047"/>
          </w:tcPr>
          <w:p>
            <w:pPr>
              <w:spacing w:before="20" w:after="20" w:line="240" w:lineRule="auto"/>
            </w:pPr>
            <w:r>
              <w:rPr>
                <w:sz w:val="18"/>
              </w:rPr>
              <w:t>Future concession</w:t>
            </w:r>
          </w:p>
        </w:tc>
        <w:tc>
          <w:tcPr>
            <w:tcW w:type="dxa" w:w="7313"/>
          </w:tcPr>
          <w:p>
            <w:pPr>
              <w:spacing w:before="20" w:after="20" w:line="240" w:lineRule="auto"/>
            </w:pPr>
            <w:r>
              <w:rPr>
                <w:sz w:val="18"/>
              </w:rPr>
              <w:t>A promise that costs money later (longer terms, a rebate, a price change), valued at the marginal cost of funds</w:t>
            </w:r>
          </w:p>
        </w:tc>
      </w:tr>
      <w:tr>
        <w:trPr>
          <w:cantSplit w:val="true"/>
        </w:trPr>
        <w:tc>
          <w:tcPr>
            <w:tcW w:type="dxa" w:w="2047"/>
          </w:tcPr>
          <w:p>
            <w:pPr>
              <w:spacing w:before="20" w:after="20" w:line="240" w:lineRule="auto"/>
            </w:pPr>
            <w:r>
              <w:rPr>
                <w:sz w:val="18"/>
              </w:rPr>
              <w:t>Coverage proof</w:t>
            </w:r>
          </w:p>
        </w:tc>
        <w:tc>
          <w:tcPr>
            <w:tcW w:type="dxa" w:w="7313"/>
          </w:tcPr>
          <w:p>
            <w:pPr>
              <w:spacing w:before="20" w:after="20" w:line="240" w:lineRule="auto"/>
            </w:pPr>
            <w:r>
              <w:rPr>
                <w:sz w:val="18"/>
              </w:rPr>
              <w:t>The compiler's check that every figure and request in a message is accounted for (ADR-0005)</w:t>
            </w:r>
          </w:p>
        </w:tc>
      </w:tr>
      <w:tr>
        <w:trPr>
          <w:cantSplit w:val="true"/>
        </w:trPr>
        <w:tc>
          <w:tcPr>
            <w:tcW w:type="dxa" w:w="2047"/>
          </w:tcPr>
          <w:p>
            <w:pPr>
              <w:spacing w:before="20" w:after="20" w:line="240" w:lineRule="auto"/>
            </w:pPr>
            <w:r>
              <w:rPr>
                <w:sz w:val="18"/>
              </w:rPr>
              <w:t>ADR-nnnn</w:t>
            </w:r>
          </w:p>
        </w:tc>
        <w:tc>
          <w:tcPr>
            <w:tcW w:type="dxa" w:w="7313"/>
          </w:tcPr>
          <w:p>
            <w:pPr>
              <w:spacing w:before="20" w:after="20" w:line="240" w:lineRule="auto"/>
            </w:pPr>
            <w:r>
              <w:rPr>
                <w:sz w:val="18"/>
              </w:rPr>
              <w:t>An architecture decision record (</w:t>
            </w:r>
            <w:r>
              <w:rPr>
                <w:rFonts w:ascii="Courier New" w:hAnsi="Courier New"/>
                <w:sz w:val="18"/>
              </w:rPr>
              <w:t>docs/adr/</w:t>
            </w:r>
            <w:r>
              <w:rPr>
                <w:sz w:val="18"/>
              </w:rPr>
              <w:t>)</w:t>
            </w:r>
          </w:p>
        </w:tc>
      </w:tr>
      <w:tr>
        <w:trPr>
          <w:cantSplit w:val="true"/>
        </w:trPr>
        <w:tc>
          <w:tcPr>
            <w:tcW w:type="dxa" w:w="2047"/>
          </w:tcPr>
          <w:p>
            <w:pPr>
              <w:spacing w:before="20" w:after="20" w:line="240" w:lineRule="auto"/>
            </w:pPr>
            <w:r>
              <w:rPr>
                <w:sz w:val="18"/>
              </w:rPr>
              <w:t>SEC-nn, R-nn, PRIV-n</w:t>
            </w:r>
          </w:p>
        </w:tc>
        <w:tc>
          <w:tcPr>
            <w:tcW w:type="dxa" w:w="7313"/>
          </w:tcPr>
          <w:p>
            <w:pPr>
              <w:spacing w:before="20" w:after="20" w:line="240" w:lineRule="auto"/>
            </w:pPr>
            <w:r>
              <w:rPr>
                <w:sz w:val="18"/>
              </w:rPr>
              <w:t>A security finding, risk or privacy item in the Security Self-Assessment</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2026-10-17T10:33:12Z</dcterms:created>
  <dcterms:modified xsi:type="dcterms:W3CDTF">2026-10-17T10:33:12Z</dcterms:modified>
  <cp:category/>
</cp:coreProperties>
</file>