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an independent oracle (</w:t>
      </w:r>
      <w:r>
        <w:rPr>
          <w:rFonts w:ascii="Courier New" w:hAnsi="Courier New"/>
          <w:sz w:val="18"/>
        </w:rPr>
        <w:t>fixtures/golden/compute_golden.py</w:t>
      </w:r>
      <w:r>
        <w:rPr/>
        <w:t xml:space="preserve">), or from the evaluation reports in </w:t>
      </w:r>
      <w:r>
        <w:rPr>
          <w:rFonts w:ascii="Courier New" w:hAnsi="Courier New"/>
          <w:sz w:val="18"/>
        </w:rPr>
        <w:t>services/api/evals/</w:t>
      </w:r>
      <w:r>
        <w:rPr/>
        <w:t>.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¥207,123.29</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informal SME conversations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accepts, counters, records commitments, draws and repays committed facilities, and submits invoices for financing. It refuses under injection. Every action is a typed operation in an append-only, hash-chained log.</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 One live-mode weakness, where the model's contingency label can change a verdict, is disclosed as finding F-04 in section 04.</w:t>
      </w:r>
    </w:p>
    <w:p>
      <w:pPr>
        <w:ind w:left="720" w:hanging="288"/>
      </w:pPr>
      <w:r>
        <w:t xml:space="preserve">2. </w:t>
      </w:r>
      <w:r>
        <w:rPr/>
        <w:t>Every accepted, countered and refused offer carries a typed record with the failing predicate and its source spans.</w:t>
      </w:r>
    </w:p>
    <w:p>
      <w:pPr>
        <w:ind w:left="720" w:hanging="288"/>
      </w:pPr>
      <w:r>
        <w:t xml:space="preserve">3. </w:t>
      </w:r>
      <w:r>
        <w:rPr/>
        <w:t>The verifier never reads free text.</w:t>
      </w:r>
    </w:p>
    <w:p>
      <w:pPr>
        <w:ind w:left="720" w:hanging="288"/>
      </w:pPr>
      <w:r>
        <w:t xml:space="preserve">4. </w:t>
      </w:r>
      <w:r>
        <w:rPr/>
        <w:t>Contingent concessions count at maximum exposure, and uncommitted facilities at zero, by default.</w:t>
      </w:r>
    </w:p>
    <w:p>
      <w:pPr>
        <w:ind w:left="720" w:hanging="288"/>
      </w:pPr>
      <w:r>
        <w:t xml:space="preserve">5. </w:t>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displays server-formatted money; it never computes money</w:t>
      </w: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persistence/</w:t>
            </w:r>
          </w:p>
        </w:tc>
        <w:tc>
          <w:tcPr>
            <w:tcW w:type="dxa" w:w="3293"/>
          </w:tcPr>
          <w:p>
            <w:r>
              <w:rPr>
                <w:sz w:val="18"/>
              </w:rPr>
              <w:t xml:space="preserve">SQLAlchemy tables, Alembic migrations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fallback</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and receipt reconciliation; a read-only what-if sandbox. All are feature-flagged.</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Next.js screens: Mandate, Inbox, Trajectory, Funding, Verdict, Capex, Ledger, plus Approvals, Security, Evidence, Alerts, Reconciliation and What-if; English and Chinese labels; a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gives </w:t>
      </w:r>
      <w:r>
        <w:rPr>
          <w:rFonts w:ascii="Courier New" w:hAnsi="Courier New"/>
          <w:sz w:val="18"/>
        </w:rPr>
        <w:t>NO_VERDICT</w:t>
      </w:r>
      <w:r>
        <w:rPr/>
        <w:t xml:space="preserve"> with </w:t>
      </w:r>
      <w:r>
        <w:rPr>
          <w:rFonts w:ascii="Courier New" w:hAnsi="Courier New"/>
          <w:sz w:val="18"/>
        </w:rPr>
        <w:t>CONFLICTING_SOURCES</w:t>
      </w:r>
      <w:r>
        <w:rPr/>
        <w:t>.</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and returns a verdict with formulas. On REJECT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and the scenario runner. No network.</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p>
        </w:tc>
      </w:tr>
      <w:tr>
        <w:tc>
          <w:tcPr>
            <w:tcW w:type="dxa" w:w="4939"/>
          </w:tcPr>
          <w:p>
            <w:r>
              <w:rPr>
                <w:sz w:val="18"/>
              </w:rPr>
              <w:t>Read views and evidence</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122 attacks.</w:t>
      </w:r>
    </w:p>
    <w:p>
      <w:pPr>
        <w:pStyle w:val="ListBullet2"/>
        <w:tabs>
          <w:tab w:pos="792" w:val="left"/>
        </w:tabs>
        <w:ind w:left="792" w:hanging="288"/>
      </w:pPr>
      <w:r>
        <w:rPr>
          <w:rFonts w:ascii="Courier New" w:hAnsi="Courier New"/>
          <w:sz w:val="18"/>
        </w:rPr>
        <w:t>services/api/evals/e2e/scenarios.yaml</w:t>
      </w:r>
      <w:r>
        <w:rPr/>
        <w:t xml:space="preserve">: 37 scripted </w:t>
      </w:r>
      <w:r>
        <w:rPr>
          <w:rFonts w:ascii="Courier New" w:hAnsi="Courier New"/>
          <w:sz w:val="18"/>
        </w:rPr>
        <w:t>/nl</w:t>
      </w:r>
      <w:r>
        <w:rPr/>
        <w:t xml:space="preserve"> tasks.</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on a Supabase Singapore pooler, with row-level security enabled on every table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Roles.</w:t>
      </w:r>
      <w:r>
        <w:rPr/>
        <w:t xml:space="preserve"> The pipeline has four roles: Compiler (the model, untrusted), Risk/Verifier (engine, covenants, verifier), Negotiator (counters and the bounded buyer rounds) and Treasurer (router and executor). Each role is a module with its own boundary, not a free-running LLM agent.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13 intents: EVALUATE_OFFER, NEGOTIATE, ACCELERATE_RECEIPT, FUND_GAP, REPAY_FACILITY, SHOW_STATUS, EXPLAIN, WHAT_IF, APPROVE, REJECT, COUNTERPARTY_MESSAGE, OUT_OF_SCOPE and AMBIGUOUS. It fills typed slots; every id is checked against the registry.</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a polite refusal plus the list of what the agent can do.</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A simulated clock drives expiry, and the executor refuses backdated or future-dated operations.</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Router grid search (</w:t>
      </w:r>
      <w:r>
        <w:rPr>
          <w:rFonts w:ascii="Courier New" w:hAnsi="Courier New"/>
          <w:b/>
          <w:sz w:val="18"/>
        </w:rPr>
        <w:t>funding/</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t>A candidate is admissible only if closing cash stays at or above the floor every day, no covenant is violated, every source's all-in rate is within the mandate's maximum APR, and new borrowing is allowed.</w:t>
      </w:r>
    </w:p>
    <w:p>
      <w:pPr>
        <w:pStyle w:val="ListBullet2"/>
        <w:tabs>
          <w:tab w:pos="792" w:val="left"/>
        </w:tabs>
        <w:ind w:left="792" w:hanging="288"/>
      </w:pPr>
      <w:r>
        <w:rPr/>
        <w:t>Every source is requested on day 0 and lands after its lead time (ADR-0003). The search is over amounts, on a ¥10,000 grid.</w:t>
      </w:r>
    </w:p>
    <w:p>
      <w:pPr>
        <w:pStyle w:val="ListBullet2"/>
        <w:tabs>
          <w:tab w:pos="792" w:val="left"/>
        </w:tabs>
        <w:ind w:left="792" w:hanging="288"/>
      </w:pPr>
      <w:r>
        <w:rPr/>
        <w:t>The search runs single-source fills; then pairs (a grid over the first source, the second filling the residual); then triples (the first source at capacity, a grid over the second, the third filling). Candidates whose probed lower-bound cost already exceeds the best plan found are pruned.</w:t>
      </w:r>
    </w:p>
    <w:p>
      <w:pPr>
        <w:pStyle w:val="ListBullet2"/>
        <w:tabs>
          <w:tab w:pos="792" w:val="left"/>
        </w:tabs>
        <w:ind w:left="792" w:hanging="288"/>
      </w:pPr>
      <w:r>
        <w:rPr/>
        <w:t xml:space="preserve">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 </w:t>
      </w:r>
      <w:r>
        <w:rPr>
          <w:b/>
        </w:rPr>
        <w:t>0.88%</w:t>
      </w:r>
      <w:r>
        <w:rPr/>
        <w:t>.</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Debt service is existing service plus interest and fees on facilities that count, plus scheduled amortisation.</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t>Offer status: conflicting sources or abstention give NO_VERDICT.</w:t>
      </w:r>
    </w:p>
    <w:p>
      <w:pPr>
        <w:ind w:left="720" w:hanging="288"/>
      </w:pPr>
      <w:r>
        <w:t xml:space="preserve">2. </w:t>
      </w:r>
      <w:r>
        <w:rPr/>
        <w:t xml:space="preserve">Security screen,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t>Mandate validity: signature, version, expiry and revocation.</w:t>
      </w:r>
    </w:p>
    <w:p>
      <w:pPr>
        <w:ind w:left="720" w:hanging="288"/>
      </w:pPr>
      <w:r>
        <w:t xml:space="preserve">4. </w:t>
      </w:r>
      <w:r>
        <w:rPr/>
        <w:t>Conservative projection, the router plan and the marginal cost.</w:t>
      </w:r>
    </w:p>
    <w:p>
      <w:pPr>
        <w:ind w:left="720" w:hanging="288"/>
      </w:pPr>
      <w:r>
        <w:t xml:space="preserve">5. </w:t>
      </w:r>
      <w:r>
        <w:rPr/>
        <w:t>Predicates: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t>Outcome: Tier 3 or an unknown counterparty gives REJECT; any hard violation gives REJECT with counters; a Tier-2 need gives NEEDS_OWNER_APPROVAL; otherwise ACCEPT.</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w:t>
      </w:r>
      <w:r>
        <w:rPr/>
        <w:t>.</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¥211,800</w:t>
      </w:r>
      <w:r>
        <w:rPr/>
        <w:t xml:space="preserve"> of face at the largest whole-5 bp rate below break-even, </w:t>
      </w:r>
      <w:r>
        <w:rPr>
          <w:b/>
        </w:rPr>
        <w:t>0.85%</w:t>
      </w:r>
      <w:r>
        <w:rPr/>
        <w:t xml:space="preserve">. The supplier's cost is the discount of </w:t>
      </w:r>
      <w:r>
        <w:rPr>
          <w:b/>
        </w:rPr>
        <w:t>¥1,800.30</w:t>
      </w:r>
      <w:r>
        <w:rPr/>
        <w:t xml:space="preserve"> plus line interest of </w:t>
      </w:r>
      <w:r>
        <w:rPr>
          <w:b/>
        </w:rPr>
        <w:t>¥841.64</w:t>
      </w:r>
      <w:r>
        <w:rPr/>
        <w:t xml:space="preserve">: </w:t>
      </w:r>
      <w:r>
        <w:rPr>
          <w:b/>
        </w:rPr>
        <w:t>¥2,641.94</w:t>
      </w:r>
      <w:r>
        <w:rPr/>
        <w:t>.</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never the supplier's cost or rationale.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r>
        <w:rPr>
          <w:b/>
        </w:rPr>
        <w:t>Evaluation approach.</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What is tested</w:t>
            </w:r>
          </w:p>
        </w:tc>
        <w:tc>
          <w:tcPr>
            <w:tcW w:type="dxa" w:w="3293"/>
            <w:shd w:val="clear" w:color="auto" w:fill="E8EEFB"/>
          </w:tcPr>
          <w:p>
            <w:r>
              <w:rPr>
                <w:b/>
                <w:sz w:val="18"/>
              </w:rPr>
              <w:t>How</w:t>
            </w:r>
          </w:p>
        </w:tc>
        <w:tc>
          <w:tcPr>
            <w:tcW w:type="dxa" w:w="3293"/>
            <w:shd w:val="clear" w:color="auto" w:fill="E8EEFB"/>
          </w:tcPr>
          <w:p>
            <w:r>
              <w:rPr>
                <w:b/>
                <w:sz w:val="18"/>
              </w:rPr>
              <w:t>Current result</w:t>
            </w:r>
          </w:p>
        </w:tc>
      </w:tr>
      <w:tr>
        <w:tc>
          <w:tcPr>
            <w:tcW w:type="dxa" w:w="3293"/>
          </w:tcPr>
          <w:p>
            <w:r>
              <w:rPr>
                <w:sz w:val="18"/>
              </w:rPr>
              <w:t>Engine, router, covenants and capex exactness</w:t>
            </w:r>
          </w:p>
        </w:tc>
        <w:tc>
          <w:tcPr>
            <w:tcW w:type="dxa" w:w="3293"/>
          </w:tcPr>
          <w:p>
            <w:r>
              <w:rPr>
                <w:sz w:val="18"/>
              </w:rPr>
              <w:t>An independent oracle (</w:t>
            </w:r>
            <w:r>
              <w:rPr>
                <w:rFonts w:ascii="Courier New" w:hAnsi="Courier New"/>
                <w:sz w:val="18"/>
              </w:rPr>
              <w:t>fixtures/golden/compute_golden.py</w:t>
            </w:r>
            <w:r>
              <w:rPr>
                <w:sz w:val="18"/>
              </w:rPr>
              <w:t xml:space="preserve">, written separately from the engine) produces </w:t>
            </w:r>
            <w:r>
              <w:rPr>
                <w:rFonts w:ascii="Courier New" w:hAnsi="Courier New"/>
                <w:sz w:val="18"/>
              </w:rPr>
              <w:t>golden_values.json</w:t>
            </w:r>
            <w:r>
              <w:rPr>
                <w:sz w:val="18"/>
              </w:rPr>
              <w:t>; the engine, router, verifier and capex tests assert every value to the fen</w:t>
            </w:r>
          </w:p>
        </w:tc>
        <w:tc>
          <w:tcPr>
            <w:tcW w:type="dxa" w:w="3293"/>
          </w:tcPr>
          <w:p>
            <w:r>
              <w:rPr>
                <w:sz w:val="18"/>
              </w:rPr>
              <w:t>All golden values reproduced (see 05 for the test run)</w:t>
            </w:r>
          </w:p>
        </w:tc>
      </w:tr>
      <w:tr>
        <w:tc>
          <w:tcPr>
            <w:tcW w:type="dxa" w:w="3293"/>
          </w:tcPr>
          <w:p>
            <w:r>
              <w:rPr>
                <w:sz w:val="18"/>
              </w:rPr>
              <w:t>Worked examples</w:t>
            </w:r>
          </w:p>
        </w:tc>
        <w:tc>
          <w:tcPr>
            <w:tcW w:type="dxa" w:w="3293"/>
          </w:tcPr>
          <w:p>
            <w:r>
              <w:rPr>
                <w:sz w:val="18"/>
              </w:rPr>
              <w:t>The 12 examples of spec v2 §8, plus EX01B, as verdict tests</w:t>
            </w:r>
          </w:p>
        </w:tc>
        <w:tc>
          <w:tcPr>
            <w:tcW w:type="dxa" w:w="3293"/>
          </w:tcPr>
          <w:p>
            <w:r>
              <w:rPr>
                <w:sz w:val="18"/>
              </w:rPr>
              <w:t xml:space="preserve">Every </w:t>
            </w:r>
            <w:r>
              <w:rPr>
                <w:rFonts w:ascii="Courier New" w:hAnsi="Courier New"/>
                <w:sz w:val="18"/>
              </w:rPr>
              <w:t>offers.yaml</w:t>
            </w:r>
            <w:r>
              <w:rPr>
                <w:sz w:val="18"/>
              </w:rPr>
              <w:t xml:space="preserve"> verdict reproduces</w:t>
            </w:r>
          </w:p>
        </w:tc>
      </w:tr>
      <w:tr>
        <w:tc>
          <w:tcPr>
            <w:tcW w:type="dxa" w:w="3293"/>
          </w:tcPr>
          <w:p>
            <w:r>
              <w:rPr>
                <w:sz w:val="18"/>
              </w:rPr>
              <w:t>Wording invariance</w:t>
            </w:r>
          </w:p>
        </w:tc>
        <w:tc>
          <w:tcPr>
            <w:tcW w:type="dxa" w:w="3293"/>
          </w:tcPr>
          <w:p>
            <w:r>
              <w:rPr>
                <w:sz w:val="18"/>
              </w:rPr>
              <w:t xml:space="preserve">EX01B, the same economics in other words, must give the same verdict; paraphrase tests in </w:t>
            </w:r>
            <w:r>
              <w:rPr>
                <w:rFonts w:ascii="Courier New" w:hAnsi="Courier New"/>
                <w:sz w:val="18"/>
              </w:rPr>
              <w:t>tests/compiler</w:t>
            </w:r>
          </w:p>
        </w:tc>
        <w:tc>
          <w:tcPr>
            <w:tcW w:type="dxa" w:w="3293"/>
          </w:tcPr>
          <w:p>
            <w:r>
              <w:rPr>
                <w:sz w:val="18"/>
              </w:rPr>
              <w:t>Same verdict (scripted task S03)</w:t>
            </w:r>
          </w:p>
        </w:tc>
      </w:tr>
      <w:tr>
        <w:tc>
          <w:tcPr>
            <w:tcW w:type="dxa" w:w="3293"/>
          </w:tcPr>
          <w:p>
            <w:r>
              <w:rPr>
                <w:sz w:val="18"/>
              </w:rPr>
              <w:t>Router versus a naive baseline</w:t>
            </w:r>
          </w:p>
        </w:tc>
        <w:tc>
          <w:tcPr>
            <w:tcW w:type="dxa" w:w="3293"/>
          </w:tcPr>
          <w:p>
            <w:r>
              <w:rPr>
                <w:sz w:val="18"/>
              </w:rPr>
              <w:t>6 designed cases against "draw the line first, then the cheapest next source" (</w:t>
            </w:r>
            <w:r>
              <w:rPr>
                <w:rFonts w:ascii="Courier New" w:hAnsi="Courier New"/>
                <w:sz w:val="18"/>
              </w:rPr>
              <w:t>tests/funding/test_designed.py</w:t>
            </w:r>
            <w:r>
              <w:rPr>
                <w:sz w:val="18"/>
              </w:rPr>
              <w:t>)</w:t>
            </w:r>
          </w:p>
        </w:tc>
        <w:tc>
          <w:tcPr>
            <w:tcW w:type="dxa" w:w="3293"/>
          </w:tcPr>
          <w:p>
            <w:r>
              <w:rPr>
                <w:sz w:val="18"/>
              </w:rPr>
              <w:t>The router is cheaper in 3 and admissible where the baseline is not in 3</w:t>
            </w:r>
          </w:p>
        </w:tc>
      </w:tr>
      <w:tr>
        <w:tc>
          <w:tcPr>
            <w:tcW w:type="dxa" w:w="3293"/>
          </w:tcPr>
          <w:p>
            <w:r>
              <w:rPr>
                <w:sz w:val="18"/>
              </w:rPr>
              <w:t>Task completion</w:t>
            </w:r>
          </w:p>
        </w:tc>
        <w:tc>
          <w:tcPr>
            <w:tcW w:type="dxa" w:w="3293"/>
          </w:tcPr>
          <w:p>
            <w:r>
              <w:rPr>
                <w:sz w:val="18"/>
              </w:rPr>
              <w:t xml:space="preserve">37 scripted </w:t>
            </w:r>
            <w:r>
              <w:rPr>
                <w:rFonts w:ascii="Courier New" w:hAnsi="Courier New"/>
                <w:sz w:val="18"/>
              </w:rPr>
              <w:t>/nl</w:t>
            </w:r>
            <w:r>
              <w:rPr>
                <w:sz w:val="18"/>
              </w:rPr>
              <w:t xml:space="preserve"> tasks (</w:t>
            </w:r>
            <w:r>
              <w:rPr>
                <w:rFonts w:ascii="Courier New" w:hAnsi="Courier New"/>
                <w:sz w:val="18"/>
              </w:rPr>
              <w:t>scripts/run_scenarios.py</w:t>
            </w:r>
            <w:r>
              <w:rPr>
                <w:sz w:val="18"/>
              </w:rPr>
              <w:t>), each from a fresh reset, checking intent, verdict, codes and operation kinds and statuses</w:t>
            </w:r>
          </w:p>
        </w:tc>
        <w:tc>
          <w:tcPr>
            <w:tcW w:type="dxa" w:w="3293"/>
          </w:tcPr>
          <w:p>
            <w:r>
              <w:rPr>
                <w:b/>
                <w:sz w:val="18"/>
              </w:rPr>
              <w:t>37/37 passed</w:t>
            </w:r>
            <w:r>
              <w:rPr>
                <w:sz w:val="18"/>
              </w:rPr>
              <w:t xml:space="preserve"> (see the Execution Evidence document)</w:t>
            </w:r>
          </w:p>
        </w:tc>
      </w:tr>
      <w:tr>
        <w:tc>
          <w:tcPr>
            <w:tcW w:type="dxa" w:w="3293"/>
          </w:tcPr>
          <w:p>
            <w:r>
              <w:rPr>
                <w:sz w:val="18"/>
              </w:rPr>
              <w:t>Security</w:t>
            </w:r>
          </w:p>
        </w:tc>
        <w:tc>
          <w:tcPr>
            <w:tcW w:type="dxa" w:w="3293"/>
          </w:tcPr>
          <w:p>
            <w:r>
              <w:rPr>
                <w:sz w:val="18"/>
              </w:rPr>
              <w:t>122 attacks run end to end through the real API, plus two hypothesis fuzzers</w:t>
            </w:r>
          </w:p>
        </w:tc>
        <w:tc>
          <w:tcPr>
            <w:tcW w:type="dxa" w:w="3293"/>
          </w:tcPr>
          <w:p>
            <w:r>
              <w:rPr>
                <w:sz w:val="18"/>
              </w:rPr>
              <w:t>0 harm on the 118 catalogue attacks; 4 documented findings (see 04)</w:t>
            </w:r>
          </w:p>
        </w:tc>
      </w:tr>
      <w:tr>
        <w:tc>
          <w:tcPr>
            <w:tcW w:type="dxa" w:w="3293"/>
          </w:tcPr>
          <w:p>
            <w:r>
              <w:rPr>
                <w:sz w:val="18"/>
              </w:rPr>
              <w:t>Boundaries and money invariants</w:t>
            </w:r>
          </w:p>
        </w:tc>
        <w:tc>
          <w:tcPr>
            <w:tcW w:type="dxa" w:w="3293"/>
          </w:tcPr>
          <w:p>
            <w:r>
              <w:rPr>
                <w:sz w:val="18"/>
              </w:rPr>
              <w:t>Boundary tests at every cap and floor, and at cap ± 1 fen; hypothesis property tests on money, the trajectory, operations, commitments and the egress guard</w:t>
            </w:r>
          </w:p>
        </w:tc>
        <w:tc>
          <w:tcPr>
            <w:tcW w:type="dxa" w:w="3293"/>
          </w:tcPr>
          <w:p>
            <w:r>
              <w:rPr>
                <w:sz w:val="18"/>
              </w:rPr>
              <w:t>Included in the test run in 05</w:t>
            </w:r>
          </w:p>
        </w:tc>
      </w:tr>
    </w:tbl>
    <w:p>
      <w:pPr>
        <w:spacing w:after="40"/>
      </w:pPr>
    </w:p>
    <w:p>
      <w:r>
        <w:rPr/>
        <w:t xml:space="preserve">The full validation gate of spec v2 §14 has </w:t>
      </w:r>
      <w:r>
        <w:rPr>
          <w:b/>
        </w:rPr>
        <w:t>not</w:t>
      </w:r>
      <w:r>
        <w:rPr/>
        <w:t xml:space="preserve"> been run yet in its held-out form. That covers E2 (20 held-out offers by non-builders against a form and a bare LLM), E9 (20 held-out router scenarios against the line-first baseline), E5 and E8. We do not claim results for them. [TEAM: run E2 and E9 and record the results here before submission, or leave this sentence as it is.]</w:t>
      </w:r>
    </w:p>
    <w:p>
      <w:pPr>
        <w:pStyle w:val="Heading1"/>
      </w:pPr>
      <w:r>
        <w:t>04 Security Design</w:t>
      </w:r>
    </w:p>
    <w:p>
      <w:pPr>
        <w:pStyle w:val="ListBullet"/>
        <w:spacing w:after="100"/>
      </w:pPr>
      <w:r>
        <w:t>Tiered permissions and confirmation for sensitive actions</w:t>
      </w:r>
    </w:p>
    <w:p>
      <w:r>
        <w:rPr>
          <w:b/>
        </w:rPr>
        <w:t>Who can act.</w:t>
      </w:r>
    </w:p>
    <w:p>
      <w:pPr>
        <w:pStyle w:val="ListBullet2"/>
        <w:tabs>
          <w:tab w:pos="792" w:val="left"/>
        </w:tabs>
        <w:ind w:left="792" w:hanging="288"/>
      </w:pPr>
      <w:r>
        <w:rPr/>
        <w:t xml:space="preserve">The </w:t>
      </w:r>
      <w:r>
        <w:rPr>
          <w:b/>
        </w:rPr>
        <w:t>owner</w:t>
      </w:r>
      <w:r>
        <w:rPr/>
        <w:t xml:space="preserve"> is recognised only by the </w:t>
      </w:r>
      <w:r>
        <w:rPr>
          <w:rFonts w:ascii="Courier New" w:hAnsi="Courier New"/>
          <w:sz w:val="18"/>
        </w:rPr>
        <w:t>X-Owner-Token</w:t>
      </w:r>
      <w:r>
        <w:rPr/>
        <w:t xml:space="preserve"> header, compared in constant time.</w:t>
      </w:r>
    </w:p>
    <w:p>
      <w:pPr>
        <w:pStyle w:val="ListBullet2"/>
        <w:tabs>
          <w:tab w:pos="792" w:val="left"/>
        </w:tabs>
        <w:ind w:left="792" w:hanging="288"/>
      </w:pPr>
      <w:r>
        <w:rPr/>
        <w:t xml:space="preserve">The agent's own tool channel is recognised by the </w:t>
      </w:r>
      <w:r>
        <w:rPr>
          <w:rFonts w:ascii="Courier New" w:hAnsi="Courier New"/>
          <w:sz w:val="18"/>
        </w:rPr>
        <w:t>X-Agent-Key</w:t>
      </w:r>
      <w:r>
        <w:rPr/>
        <w:t xml:space="preserve"> header.</w:t>
      </w: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before parsing.</w:t>
      </w:r>
    </w:p>
    <w:p>
      <w:pPr>
        <w:pStyle w:val="ListBullet2"/>
        <w:tabs>
          <w:tab w:pos="792" w:val="left"/>
        </w:tabs>
        <w:ind w:left="792" w:hanging="288"/>
      </w:pPr>
      <w:r>
        <w:rPr/>
        <w:t xml:space="preserve">Counterparties can only submit documents or talk on </w:t>
      </w:r>
      <w:r>
        <w:rPr>
          <w:rFonts w:ascii="Courier New" w:hAnsi="Courier New"/>
          <w:sz w:val="18"/>
        </w:rPr>
        <w:t>/nl</w:t>
      </w:r>
      <w:r>
        <w:rPr/>
        <w:t xml:space="preserve"> as COUNTERPARTY, which compiles and verifies but never executes.</w:t>
      </w:r>
    </w:p>
    <w:p>
      <w:pPr>
        <w:pStyle w:val="ListBullet2"/>
        <w:tabs>
          <w:tab w:pos="792" w:val="left"/>
        </w:tabs>
        <w:ind w:left="792" w:hanging="288"/>
      </w:pPr>
      <w:r>
        <w:rPr/>
        <w:t>Outside demo mode (</w:t>
      </w:r>
      <w:r>
        <w:rPr>
          <w:rFonts w:ascii="Courier New" w:hAnsi="Courier New"/>
          <w:sz w:val="18"/>
        </w:rPr>
        <w:t>DEMO_MODE=0</w:t>
      </w:r>
      <w:r>
        <w:rPr/>
        <w:t xml:space="preserve">), the owner and agent routes fail closed (HTTP 503) until real credentials are set, and every refused credential is logged as a </w:t>
      </w:r>
      <w:r>
        <w:rPr>
          <w:rFonts w:ascii="Courier New" w:hAnsi="Courier New"/>
          <w:sz w:val="18"/>
        </w:rPr>
        <w:t>PRIVILEGE_ESCALATION</w:t>
      </w:r>
      <w:r>
        <w:rPr/>
        <w:t xml:space="preserve"> security event.</w:t>
      </w:r>
    </w:p>
    <w:p>
      <w:r>
        <w:rPr>
          <w:b/>
        </w:rPr>
        <w:t>Three tiers, computed by the executor</w:t>
      </w:r>
      <w:r>
        <w:rPr/>
        <w:t xml:space="preserve"> (</w:t>
      </w:r>
      <w:r>
        <w:rPr>
          <w:rFonts w:ascii="Courier New" w:hAnsi="Courier New"/>
          <w:sz w:val="18"/>
        </w:rPr>
        <w:t>app/mandate/tiers.py</w:t>
      </w:r>
      <w:r>
        <w:rPr/>
        <w:t>).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Accept, counter or reject a verified offer; record a commitment; draw on or repay a COMMITTED, owner-approved facility within its limit; submit an eligible invoice to the onboarded financing facility; receive a payment</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sz w:val="18"/>
              </w:rPr>
              <w:t>Apply for a facility; generate the borrower file; accept a commitment that changes payment terms; any single commitment above ¥100,000; draw on any facility that is not COMMITTED and owner-approved;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refusals in seven days; only the owner can reset it);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w:t>
      </w:r>
    </w:p>
    <w:p>
      <w:pPr>
        <w:ind w:left="720" w:hanging="288"/>
      </w:pPr>
      <w:r>
        <w:t xml:space="preserve">7. </w:t>
      </w:r>
      <w:r>
        <w:rPr/>
        <w:t>Tier 2 queue;</w:t>
      </w:r>
    </w:p>
    <w:p>
      <w:pPr>
        <w:ind w:left="720" w:hanging="288"/>
      </w:pPr>
      <w:r>
        <w:t xml:space="preserve">8. </w:t>
      </w:r>
      <w:r>
        <w:rPr/>
        <w:t>per-kind preconditions.</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through its lifecycle, decline a queued request, or revoke the mandate. A refused or pending operation leaves state unchanged; the attack suite checks this. A typed owner-only </w:t>
      </w:r>
      <w:r>
        <w:rPr>
          <w:rFonts w:ascii="Courier New" w:hAnsi="Courier New"/>
          <w:sz w:val="18"/>
        </w:rPr>
        <w:t>RevokeCommitment</w:t>
      </w:r>
      <w:r>
        <w:rPr/>
        <w:t xml:space="preserve"> operation is not built yet (R-6).</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The rules grammar flags override attempts, fake SYSTEM lines, role-play, encoded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numerals,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Measured results</w:t>
      </w:r>
      <w:r>
        <w:rPr/>
        <w:t xml:space="preserve"> (</w:t>
      </w:r>
      <w:r>
        <w:rPr>
          <w:rFonts w:ascii="Courier New" w:hAnsi="Courier New"/>
          <w:sz w:val="18"/>
        </w:rPr>
        <w:t>services/api/evals/security/latest_report.md</w:t>
      </w:r>
      <w:r>
        <w:rPr/>
        <w:t xml:space="preserve">; 122 attacks, </w:t>
      </w:r>
      <w:r>
        <w:rPr>
          <w:rFonts w:ascii="Courier New" w:hAnsi="Courier New"/>
          <w:sz w:val="18"/>
        </w:rPr>
        <w:t>LLM_MODE=cache</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Metric</w:t>
            </w:r>
          </w:p>
        </w:tc>
        <w:tc>
          <w:tcPr>
            <w:tcW w:type="dxa" w:w="3293"/>
            <w:shd w:val="clear" w:color="auto" w:fill="E8EEFB"/>
          </w:tcPr>
          <w:p>
            <w:r>
              <w:rPr>
                <w:b/>
                <w:sz w:val="18"/>
              </w:rPr>
              <w:t>Catalogue (118 attacks)</w:t>
            </w:r>
          </w:p>
        </w:tc>
        <w:tc>
          <w:tcPr>
            <w:tcW w:type="dxa" w:w="3293"/>
            <w:shd w:val="clear" w:color="auto" w:fill="E8EEFB"/>
          </w:tcPr>
          <w:p>
            <w:r>
              <w:rPr>
                <w:b/>
                <w:sz w:val="18"/>
              </w:rPr>
              <w:t>Documented findings (4 attacks)</w:t>
            </w:r>
          </w:p>
        </w:tc>
      </w:tr>
      <w:tr>
        <w:tc>
          <w:tcPr>
            <w:tcW w:type="dxa" w:w="3293"/>
          </w:tcPr>
          <w:p>
            <w:r>
              <w:rPr>
                <w:sz w:val="18"/>
              </w:rPr>
              <w:t>Unauthorised operations executed</w:t>
            </w:r>
          </w:p>
        </w:tc>
        <w:tc>
          <w:tcPr>
            <w:tcW w:type="dxa" w:w="3293"/>
          </w:tcPr>
          <w:p>
            <w:r>
              <w:rPr>
                <w:b/>
                <w:sz w:val="18"/>
              </w:rPr>
              <w:t>0</w:t>
            </w:r>
          </w:p>
        </w:tc>
        <w:tc>
          <w:tcPr>
            <w:tcW w:type="dxa" w:w="3293"/>
          </w:tcPr>
          <w:p>
            <w:r>
              <w:rPr>
                <w:sz w:val="18"/>
              </w:rPr>
              <w:t>4</w:t>
            </w:r>
          </w:p>
        </w:tc>
      </w:tr>
      <w:tr>
        <w:tc>
          <w:tcPr>
            <w:tcW w:type="dxa" w:w="3293"/>
          </w:tcPr>
          <w:p>
            <w:r>
              <w:rPr>
                <w:sz w:val="18"/>
              </w:rPr>
              <w:t>Facilities added by non-owners</w:t>
            </w:r>
          </w:p>
        </w:tc>
        <w:tc>
          <w:tcPr>
            <w:tcW w:type="dxa" w:w="3293"/>
          </w:tcPr>
          <w:p>
            <w:r>
              <w:rPr>
                <w:b/>
                <w:sz w:val="18"/>
              </w:rPr>
              <w:t>0</w:t>
            </w:r>
          </w:p>
        </w:tc>
        <w:tc>
          <w:tcPr>
            <w:tcW w:type="dxa" w:w="3293"/>
          </w:tcPr>
          <w:p>
            <w:r>
              <w:rPr>
                <w:sz w:val="18"/>
              </w:rPr>
              <w:t>0</w:t>
            </w:r>
          </w:p>
        </w:tc>
      </w:tr>
      <w:tr>
        <w:tc>
          <w:tcPr>
            <w:tcW w:type="dxa" w:w="3293"/>
          </w:tcPr>
          <w:p>
            <w:r>
              <w:rPr>
                <w:sz w:val="18"/>
              </w:rPr>
              <w:t>Concessions booked from unevidenced claims</w:t>
            </w:r>
          </w:p>
        </w:tc>
        <w:tc>
          <w:tcPr>
            <w:tcW w:type="dxa" w:w="3293"/>
          </w:tcPr>
          <w:p>
            <w:r>
              <w:rPr>
                <w:b/>
                <w:sz w:val="18"/>
              </w:rPr>
              <w:t>0</w:t>
            </w:r>
          </w:p>
        </w:tc>
        <w:tc>
          <w:tcPr>
            <w:tcW w:type="dxa" w:w="3293"/>
          </w:tcPr>
          <w:p>
            <w:r>
              <w:rPr>
                <w:sz w:val="18"/>
              </w:rPr>
              <w:t>0</w:t>
            </w:r>
          </w:p>
        </w:tc>
      </w:tr>
      <w:tr>
        <w:tc>
          <w:tcPr>
            <w:tcW w:type="dxa" w:w="3293"/>
          </w:tcPr>
          <w:p>
            <w:r>
              <w:rPr>
                <w:sz w:val="18"/>
              </w:rPr>
              <w:t>Money moved by attacks</w:t>
            </w:r>
          </w:p>
        </w:tc>
        <w:tc>
          <w:tcPr>
            <w:tcW w:type="dxa" w:w="3293"/>
          </w:tcPr>
          <w:p>
            <w:r>
              <w:rPr>
                <w:b/>
                <w:sz w:val="18"/>
              </w:rPr>
              <w:t>¥0.00</w:t>
            </w:r>
          </w:p>
        </w:tc>
        <w:tc>
          <w:tcPr>
            <w:tcW w:type="dxa" w:w="3293"/>
          </w:tcPr>
          <w:p>
            <w:r>
              <w:rPr>
                <w:sz w:val="18"/>
              </w:rPr>
              <w:t>¥460,000.00 of ledger movement</w:t>
            </w:r>
          </w:p>
        </w:tc>
      </w:tr>
      <w:tr>
        <w:tc>
          <w:tcPr>
            <w:tcW w:type="dxa" w:w="3293"/>
          </w:tcPr>
          <w:p>
            <w:r>
              <w:rPr>
                <w:sz w:val="18"/>
              </w:rPr>
              <w:t>Protected values disclosed in outbound text</w:t>
            </w:r>
          </w:p>
        </w:tc>
        <w:tc>
          <w:tcPr>
            <w:tcW w:type="dxa" w:w="3293"/>
          </w:tcPr>
          <w:p>
            <w:r>
              <w:rPr>
                <w:b/>
                <w:sz w:val="18"/>
              </w:rPr>
              <w:t>0</w:t>
            </w:r>
          </w:p>
        </w:tc>
        <w:tc>
          <w:tcPr>
            <w:tcW w:type="dxa" w:w="3293"/>
          </w:tcPr>
          <w:p>
            <w:r>
              <w:rPr>
                <w:sz w:val="18"/>
              </w:rPr>
              <w:t>0</w:t>
            </w:r>
          </w:p>
        </w:tc>
      </w:tr>
      <w:tr>
        <w:tc>
          <w:tcPr>
            <w:tcW w:type="dxa" w:w="3293"/>
          </w:tcPr>
          <w:p>
            <w:r>
              <w:rPr>
                <w:sz w:val="18"/>
              </w:rPr>
              <w:t>Protected values readable without the owner token</w:t>
            </w:r>
          </w:p>
        </w:tc>
        <w:tc>
          <w:tcPr>
            <w:tcW w:type="dxa" w:w="3293"/>
          </w:tcPr>
          <w:p>
            <w:r>
              <w:rPr>
                <w:b/>
                <w:sz w:val="18"/>
              </w:rPr>
              <w:t>0</w:t>
            </w:r>
          </w:p>
        </w:tc>
        <w:tc>
          <w:tcPr>
            <w:tcW w:type="dxa" w:w="3293"/>
          </w:tcPr>
          <w:p>
            <w:r>
              <w:rPr>
                <w:sz w:val="18"/>
              </w:rPr>
              <w:t>0</w:t>
            </w:r>
          </w:p>
        </w:tc>
      </w:tr>
      <w:tr>
        <w:tc>
          <w:tcPr>
            <w:tcW w:type="dxa" w:w="3293"/>
          </w:tcPr>
          <w:p>
            <w:r>
              <w:rPr>
                <w:sz w:val="18"/>
              </w:rPr>
              <w:t>Canaries tripped in outbound text</w:t>
            </w:r>
          </w:p>
        </w:tc>
        <w:tc>
          <w:tcPr>
            <w:tcW w:type="dxa" w:w="3293"/>
          </w:tcPr>
          <w:p>
            <w:r>
              <w:rPr>
                <w:b/>
                <w:sz w:val="18"/>
              </w:rPr>
              <w:t>0</w:t>
            </w:r>
          </w:p>
        </w:tc>
        <w:tc>
          <w:tcPr>
            <w:tcW w:type="dxa" w:w="3293"/>
          </w:tcPr>
          <w:p>
            <w:r>
              <w:rPr>
                <w:sz w:val="18"/>
              </w:rPr>
              <w:t>0</w:t>
            </w:r>
          </w:p>
        </w:tc>
      </w:tr>
    </w:tbl>
    <w:p>
      <w:pPr>
        <w:spacing w:after="40"/>
      </w:pPr>
    </w:p>
    <w:p>
      <w:pPr>
        <w:pStyle w:val="ListBullet2"/>
        <w:tabs>
          <w:tab w:pos="792" w:val="left"/>
        </w:tabs>
        <w:ind w:left="792" w:hanging="288"/>
      </w:pPr>
      <w:r>
        <w:rPr>
          <w:b/>
        </w:rPr>
        <w:t>Attack success rate on the catalogue:</w:t>
      </w:r>
      <w:r>
        <w:rPr/>
        <w:t xml:space="preserve"> 0.0% for injection (39 attempts), exfiltration (21), privilege escalation (20) and replay (20).</w:t>
      </w:r>
    </w:p>
    <w:p>
      <w:pPr>
        <w:pStyle w:val="ListBullet2"/>
        <w:tabs>
          <w:tab w:pos="792" w:val="left"/>
        </w:tabs>
        <w:ind w:left="792" w:hanging="288"/>
      </w:pPr>
      <w:r>
        <w:rPr>
          <w:b/>
        </w:rPr>
        <w:t>Detection rate:</w:t>
      </w:r>
      <w:r>
        <w:rPr/>
        <w:t xml:space="preserve"> 94.3% of all 122 attacks produced a SecurityEvent or a refusal code. </w:t>
      </w:r>
      <w:r>
        <w:rPr>
          <w:b/>
        </w:rPr>
        <w:t>SecurityEvent rate:</w:t>
      </w:r>
      <w:r>
        <w:rPr/>
        <w:t xml:space="preserve"> 53.3%.</w:t>
      </w:r>
    </w:p>
    <w:p>
      <w:pPr>
        <w:pStyle w:val="ListBullet2"/>
        <w:tabs>
          <w:tab w:pos="792" w:val="left"/>
        </w:tabs>
        <w:ind w:left="792" w:hanging="288"/>
      </w:pPr>
      <w:r>
        <w:rPr/>
        <w:t>The four documented findings are disclosed, not hidden. The suite runs each as a strict expected failure:</w:t>
      </w:r>
    </w:p>
    <w:p>
      <w:pPr>
        <w:pStyle w:val="ListBullet3"/>
        <w:tabs>
          <w:tab w:pos="1152" w:val="left"/>
        </w:tabs>
        <w:ind w:left="1152" w:hanging="288"/>
      </w:pPr>
      <w:r>
        <w:rPr/>
        <w:t>F-01: an operation's effects and its log entry are not one transaction (FR-06);</w:t>
      </w:r>
    </w:p>
    <w:p>
      <w:pPr>
        <w:pStyle w:val="ListBullet3"/>
        <w:tabs>
          <w:tab w:pos="1152" w:val="left"/>
        </w:tabs>
        <w:ind w:left="1152" w:hanging="288"/>
      </w:pPr>
      <w:r>
        <w:rPr/>
        <w:t>F-02: RECEIVE_PAYMENT is Tier 1 for any requester (SE-07);</w:t>
      </w:r>
    </w:p>
    <w:p>
      <w:pPr>
        <w:pStyle w:val="ListBullet3"/>
        <w:tabs>
          <w:tab w:pos="1152" w:val="left"/>
        </w:tabs>
        <w:ind w:left="1152" w:hanging="288"/>
      </w:pPr>
      <w:r>
        <w:rPr/>
        <w:t>F-04: in live mode, a gain's contingency relies on the model's label (FR-05);</w:t>
      </w:r>
    </w:p>
    <w:p>
      <w:pPr>
        <w:pStyle w:val="ListBullet3"/>
        <w:tabs>
          <w:tab w:pos="1152" w:val="left"/>
        </w:tabs>
        <w:ind w:left="1152" w:hanging="288"/>
      </w:pPr>
      <w:r>
        <w:rPr/>
        <w:t>F-07: commitments are bound to the stored offer, not to the verdict's obligations (TC-02).</w:t>
      </w:r>
    </w:p>
    <w:p>
      <w:r>
        <w:rPr/>
        <w:t>Each has a planned fix, listed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on Supabase (Singapore).</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37 scripted /nl tasks and evidence</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sz w:val="18"/>
        </w:rPr>
        <w:t>DEMO_MODE=0</w:t>
      </w:r>
      <w:r>
        <w:rPr/>
        <w:t xml:space="preserve">, so the published demo credentials are rejected. It binds the API to </w:t>
      </w:r>
      <w:r>
        <w:rPr>
          <w:rFonts w:ascii="Courier New" w:hAnsi="Courier New"/>
          <w:sz w:val="18"/>
        </w:rPr>
        <w:t>127.0.0.1:8000</w:t>
      </w:r>
      <w:r>
        <w:rPr/>
        <w:t>, to sit behind a TLS reverse proxy.</w:t>
      </w:r>
    </w:p>
    <w:p>
      <w:r>
        <w:rPr>
          <w:b/>
        </w:rPr>
        <w:t>Test cases.</w:t>
      </w:r>
      <w:r>
        <w:rPr/>
        <w:t xml:space="preserve"> </w:t>
      </w:r>
      <w:r>
        <w:rPr>
          <w:rFonts w:ascii="Courier New" w:hAnsi="Courier New"/>
          <w:sz w:val="18"/>
        </w:rPr>
        <w:t>uv run pytest --co</w:t>
      </w:r>
      <w:r>
        <w:rPr/>
        <w:t xml:space="preserve"> collects </w:t>
      </w:r>
      <w:r>
        <w:rPr>
          <w:b/>
        </w:rPr>
        <w:t>2,200</w:t>
      </w:r>
      <w:r>
        <w:rPr/>
        <w:t xml:space="preserve"> API tests: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925</w:t>
            </w:r>
          </w:p>
        </w:tc>
        <w:tc>
          <w:tcPr>
            <w:tcW w:type="dxa" w:w="2469"/>
          </w:tcPr>
          <w:p>
            <w:r>
              <w:rPr>
                <w:sz w:val="18"/>
              </w:rPr>
              <w:t>covenants</w:t>
            </w:r>
          </w:p>
        </w:tc>
        <w:tc>
          <w:tcPr>
            <w:tcW w:type="dxa" w:w="2469"/>
          </w:tcPr>
          <w:p>
            <w:r>
              <w:rPr>
                <w:sz w:val="18"/>
              </w:rPr>
              <w:t>32</w:t>
            </w:r>
          </w:p>
        </w:tc>
      </w:tr>
      <w:tr>
        <w:tc>
          <w:tcPr>
            <w:tcW w:type="dxa" w:w="2469"/>
          </w:tcPr>
          <w:p>
            <w:r>
              <w:rPr>
                <w:sz w:val="18"/>
              </w:rPr>
              <w:t>compiler</w:t>
            </w:r>
          </w:p>
        </w:tc>
        <w:tc>
          <w:tcPr>
            <w:tcW w:type="dxa" w:w="2469"/>
          </w:tcPr>
          <w:p>
            <w:r>
              <w:rPr>
                <w:sz w:val="18"/>
              </w:rPr>
              <w:t>199</w:t>
            </w:r>
          </w:p>
        </w:tc>
        <w:tc>
          <w:tcPr>
            <w:tcW w:type="dxa" w:w="2469"/>
          </w:tcPr>
          <w:p>
            <w:r>
              <w:rPr>
                <w:sz w:val="18"/>
              </w:rPr>
              <w:t>capex</w:t>
            </w:r>
          </w:p>
        </w:tc>
        <w:tc>
          <w:tcPr>
            <w:tcW w:type="dxa" w:w="2469"/>
          </w:tcPr>
          <w:p>
            <w:r>
              <w:rPr>
                <w:sz w:val="18"/>
              </w:rPr>
              <w:t>22</w:t>
            </w:r>
          </w:p>
        </w:tc>
      </w:tr>
      <w:tr>
        <w:tc>
          <w:tcPr>
            <w:tcW w:type="dxa" w:w="2469"/>
          </w:tcPr>
          <w:p>
            <w:r>
              <w:rPr>
                <w:sz w:val="18"/>
              </w:rPr>
              <w:t>operations (executor)</w:t>
            </w:r>
          </w:p>
        </w:tc>
        <w:tc>
          <w:tcPr>
            <w:tcW w:type="dxa" w:w="2469"/>
          </w:tcPr>
          <w:p>
            <w:r>
              <w:rPr>
                <w:sz w:val="18"/>
              </w:rPr>
              <w:t>166</w:t>
            </w:r>
          </w:p>
        </w:tc>
        <w:tc>
          <w:tcPr>
            <w:tcW w:type="dxa" w:w="2469"/>
          </w:tcPr>
          <w:p>
            <w:r>
              <w:rPr>
                <w:sz w:val="18"/>
              </w:rPr>
              <w:t>api</w:t>
            </w:r>
          </w:p>
        </w:tc>
        <w:tc>
          <w:tcPr>
            <w:tcW w:type="dxa" w:w="2469"/>
          </w:tcPr>
          <w:p>
            <w:r>
              <w:rPr>
                <w:sz w:val="18"/>
              </w:rPr>
              <w:t>21</w:t>
            </w:r>
          </w:p>
        </w:tc>
      </w:tr>
      <w:tr>
        <w:tc>
          <w:tcPr>
            <w:tcW w:type="dxa" w:w="2469"/>
          </w:tcPr>
          <w:p>
            <w:r>
              <w:rPr>
                <w:sz w:val="18"/>
              </w:rPr>
              <w:t>security (attacks + fuzzers)</w:t>
            </w:r>
          </w:p>
        </w:tc>
        <w:tc>
          <w:tcPr>
            <w:tcW w:type="dxa" w:w="2469"/>
          </w:tcPr>
          <w:p>
            <w:r>
              <w:rPr>
                <w:sz w:val="18"/>
              </w:rPr>
              <w:t>128</w:t>
            </w:r>
          </w:p>
        </w:tc>
        <w:tc>
          <w:tcPr>
            <w:tcW w:type="dxa" w:w="2469"/>
          </w:tcPr>
          <w:p>
            <w:r>
              <w:rPr>
                <w:sz w:val="18"/>
              </w:rPr>
              <w:t>borrower file</w:t>
            </w:r>
          </w:p>
        </w:tc>
        <w:tc>
          <w:tcPr>
            <w:tcW w:type="dxa" w:w="2469"/>
          </w:tcPr>
          <w:p>
            <w:r>
              <w:rPr>
                <w:sz w:val="18"/>
              </w:rPr>
              <w:t>19</w:t>
            </w:r>
          </w:p>
        </w:tc>
      </w:tr>
      <w:tr>
        <w:tc>
          <w:tcPr>
            <w:tcW w:type="dxa" w:w="2469"/>
          </w:tcPr>
          <w:p>
            <w:r>
              <w:rPr>
                <w:sz w:val="18"/>
              </w:rPr>
              <w:t>verifier</w:t>
            </w:r>
          </w:p>
        </w:tc>
        <w:tc>
          <w:tcPr>
            <w:tcW w:type="dxa" w:w="2469"/>
          </w:tcPr>
          <w:p>
            <w:r>
              <w:rPr>
                <w:sz w:val="18"/>
              </w:rPr>
              <w:t>113</w:t>
            </w:r>
          </w:p>
        </w:tc>
        <w:tc>
          <w:tcPr>
            <w:tcW w:type="dxa" w:w="2469"/>
          </w:tcPr>
          <w:p>
            <w:r>
              <w:rPr>
                <w:sz w:val="18"/>
              </w:rPr>
              <w:t>alerts</w:t>
            </w:r>
          </w:p>
        </w:tc>
        <w:tc>
          <w:tcPr>
            <w:tcW w:type="dxa" w:w="2469"/>
          </w:tcPr>
          <w:p>
            <w:r>
              <w:rPr>
                <w:sz w:val="18"/>
              </w:rPr>
              <w:t>18</w:t>
            </w:r>
          </w:p>
        </w:tc>
      </w:tr>
      <w:tr>
        <w:tc>
          <w:tcPr>
            <w:tcW w:type="dxa" w:w="2469"/>
          </w:tcPr>
          <w:p>
            <w:r>
              <w:rPr>
                <w:sz w:val="18"/>
              </w:rPr>
              <w:t>nl harness</w:t>
            </w:r>
          </w:p>
        </w:tc>
        <w:tc>
          <w:tcPr>
            <w:tcW w:type="dxa" w:w="2469"/>
          </w:tcPr>
          <w:p>
            <w:r>
              <w:rPr>
                <w:sz w:val="18"/>
              </w:rPr>
              <w:t>96</w:t>
            </w:r>
          </w:p>
        </w:tc>
        <w:tc>
          <w:tcPr>
            <w:tcW w:type="dxa" w:w="2469"/>
          </w:tcPr>
          <w:p>
            <w:r>
              <w:rPr>
                <w:sz w:val="18"/>
              </w:rPr>
              <w:t>money</w:t>
            </w:r>
          </w:p>
        </w:tc>
        <w:tc>
          <w:tcPr>
            <w:tcW w:type="dxa" w:w="2469"/>
          </w:tcPr>
          <w:p>
            <w:r>
              <w:rPr>
                <w:sz w:val="18"/>
              </w:rPr>
              <w:t>7</w:t>
            </w:r>
          </w:p>
        </w:tc>
      </w:tr>
      <w:tr>
        <w:tc>
          <w:tcPr>
            <w:tcW w:type="dxa" w:w="2469"/>
          </w:tcPr>
          <w:p>
            <w:r>
              <w:rPr>
                <w:sz w:val="18"/>
              </w:rPr>
              <w:t>commitments</w:t>
            </w:r>
          </w:p>
        </w:tc>
        <w:tc>
          <w:tcPr>
            <w:tcW w:type="dxa" w:w="2469"/>
          </w:tcPr>
          <w:p>
            <w:r>
              <w:rPr>
                <w:sz w:val="18"/>
              </w:rPr>
              <w:t>90</w:t>
            </w:r>
          </w:p>
        </w:tc>
        <w:tc>
          <w:tcPr>
            <w:tcW w:type="dxa" w:w="2469"/>
          </w:tcPr>
          <w:p>
            <w:r>
              <w:rPr>
                <w:sz w:val="18"/>
              </w:rPr>
              <w:t>fixtures</w:t>
            </w:r>
          </w:p>
        </w:tc>
        <w:tc>
          <w:tcPr>
            <w:tcW w:type="dxa" w:w="2469"/>
          </w:tcPr>
          <w:p>
            <w:r>
              <w:rPr>
                <w:sz w:val="18"/>
              </w:rPr>
              <w:t>4</w:t>
            </w:r>
          </w:p>
        </w:tc>
      </w:tr>
      <w:tr>
        <w:tc>
          <w:tcPr>
            <w:tcW w:type="dxa" w:w="2469"/>
          </w:tcPr>
          <w:p>
            <w:r>
              <w:rPr>
                <w:sz w:val="18"/>
              </w:rPr>
              <w:t>counterparties</w:t>
            </w:r>
          </w:p>
        </w:tc>
        <w:tc>
          <w:tcPr>
            <w:tcW w:type="dxa" w:w="2469"/>
          </w:tcPr>
          <w:p>
            <w:r>
              <w:rPr>
                <w:sz w:val="18"/>
              </w:rPr>
              <w:t>89</w:t>
            </w:r>
          </w:p>
        </w:tc>
        <w:tc>
          <w:tcPr>
            <w:tcW w:type="dxa" w:w="2469"/>
          </w:tcPr>
          <w:p>
            <w:r>
              <w:rPr>
                <w:sz w:val="18"/>
              </w:rPr>
              <w:t>persistence</w:t>
            </w:r>
          </w:p>
        </w:tc>
        <w:tc>
          <w:tcPr>
            <w:tcW w:type="dxa" w:w="2469"/>
          </w:tcPr>
          <w:p>
            <w:r>
              <w:rPr>
                <w:sz w:val="18"/>
              </w:rPr>
              <w:t>62</w:t>
            </w:r>
          </w:p>
        </w:tc>
      </w:tr>
      <w:tr>
        <w:tc>
          <w:tcPr>
            <w:tcW w:type="dxa" w:w="2469"/>
          </w:tcPr>
          <w:p>
            <w:r>
              <w:rPr>
                <w:sz w:val="18"/>
              </w:rPr>
              <w:t>mandate</w:t>
            </w:r>
          </w:p>
        </w:tc>
        <w:tc>
          <w:tcPr>
            <w:tcW w:type="dxa" w:w="2469"/>
          </w:tcPr>
          <w:p>
            <w:r>
              <w:rPr>
                <w:sz w:val="18"/>
              </w:rPr>
              <w:t>69</w:t>
            </w:r>
          </w:p>
        </w:tc>
        <w:tc>
          <w:tcPr>
            <w:tcW w:type="dxa" w:w="2469"/>
          </w:tcPr>
          <w:p>
            <w:r>
              <w:rPr>
                <w:sz w:val="18"/>
              </w:rPr>
              <w:t>financial engine</w:t>
            </w:r>
          </w:p>
        </w:tc>
        <w:tc>
          <w:tcPr>
            <w:tcW w:type="dxa" w:w="2469"/>
          </w:tcPr>
          <w:p>
            <w:r>
              <w:rPr>
                <w:sz w:val="18"/>
              </w:rPr>
              <w:t>52</w:t>
            </w:r>
          </w:p>
        </w:tc>
      </w:tr>
      <w:tr>
        <w:tc>
          <w:tcPr>
            <w:tcW w:type="dxa" w:w="2469"/>
          </w:tcPr>
          <w:p>
            <w:r>
              <w:rPr>
                <w:sz w:val="18"/>
              </w:rPr>
              <w:t>whatif</w:t>
            </w:r>
          </w:p>
        </w:tc>
        <w:tc>
          <w:tcPr>
            <w:tcW w:type="dxa" w:w="2469"/>
          </w:tcPr>
          <w:p>
            <w:r>
              <w:rPr>
                <w:sz w:val="18"/>
              </w:rPr>
              <w:t>44</w:t>
            </w:r>
          </w:p>
        </w:tc>
        <w:tc>
          <w:tcPr>
            <w:tcW w:type="dxa" w:w="2469"/>
          </w:tcPr>
          <w:p>
            <w:r>
              <w:rPr>
                <w:sz w:val="18"/>
              </w:rPr>
              <w:t>funding router</w:t>
            </w:r>
          </w:p>
        </w:tc>
        <w:tc>
          <w:tcPr>
            <w:tcW w:type="dxa" w:w="2469"/>
          </w:tcPr>
          <w:p>
            <w:r>
              <w:rPr>
                <w:sz w:val="18"/>
              </w:rPr>
              <w:t>44</w:t>
            </w:r>
          </w:p>
        </w:tc>
      </w:tr>
    </w:tbl>
    <w:p>
      <w:pPr>
        <w:spacing w:after="40"/>
      </w:pPr>
    </w:p>
    <w:p>
      <w:r>
        <w:rPr>
          <w:b/>
        </w:rPr>
        <w:t>Latest full run</w:t>
      </w:r>
      <w:r>
        <w:rPr/>
        <w:t xml:space="preserve"> (</w:t>
      </w:r>
      <w:r>
        <w:rPr>
          <w:rFonts w:ascii="Courier New" w:hAnsi="Courier New"/>
          <w:sz w:val="18"/>
        </w:rPr>
        <w:t>uv run pytest</w:t>
      </w:r>
      <w:r>
        <w:rPr/>
        <w:t xml:space="preserve">, </w:t>
      </w:r>
      <w:r>
        <w:rPr>
          <w:rFonts w:ascii="Courier New" w:hAnsi="Courier New"/>
          <w:sz w:val="18"/>
        </w:rPr>
        <w:t>dev</w:t>
      </w:r>
      <w:r>
        <w:rPr/>
        <w:t xml:space="preserve"> at 3ac4c39, 1 Oct 2026): </w:t>
      </w:r>
      <w:r>
        <w:rPr>
          <w:b/>
        </w:rPr>
        <w:t>2,175 passed, 4 expected failures, 21 failed</w:t>
      </w:r>
      <w:r>
        <w:rPr/>
        <w:t>, in 194 s.</w:t>
      </w:r>
    </w:p>
    <w:p>
      <w:pPr>
        <w:pStyle w:val="ListBullet2"/>
        <w:tabs>
          <w:tab w:pos="792" w:val="left"/>
        </w:tabs>
        <w:ind w:left="792" w:hanging="288"/>
      </w:pPr>
      <w:r>
        <w:rPr/>
        <w:t>The 4 expected failures are the four documented security findings (F-01, F-02, F-04, F-07). Each runs as a strict xfail, so a silent fix or regression is caught.</w:t>
      </w:r>
    </w:p>
    <w:p>
      <w:pPr>
        <w:pStyle w:val="ListBullet2"/>
        <w:tabs>
          <w:tab w:pos="792" w:val="left"/>
        </w:tabs>
        <w:ind w:left="792" w:hanging="288"/>
      </w:pPr>
      <w:r>
        <w:rPr/>
        <w:t xml:space="preserve">The 21 failures are API tests (alerts, borrower file, capex, </w:t>
      </w:r>
      <w:r>
        <w:rPr>
          <w:rFonts w:ascii="Courier New" w:hAnsi="Courier New"/>
          <w:sz w:val="18"/>
        </w:rPr>
        <w:t>/nl</w:t>
      </w:r>
      <w:r>
        <w:rPr/>
        <w:t xml:space="preserve"> approvals and three security tests) written before commit 3ac4c39 put these routes behind the owner token and agent key. They now receive HTTP 401 where they expected a result.</w:t>
      </w:r>
    </w:p>
    <w:p>
      <w:r>
        <w:rPr/>
        <w:t>[TEAM: update those tests, re-run, and replace this paragraph with the green result before submission.]</w:t>
      </w:r>
    </w:p>
    <w:p>
      <w:r>
        <w:rPr/>
        <w:t xml:space="preserve">The web app adds 19 Playwright test declarations (demo walk in mock and live modes, API contract, alerts, what-if, responsive layout) and a unit test that checks the mock data against </w:t>
      </w:r>
      <w:r>
        <w:rPr>
          <w:rFonts w:ascii="Courier New" w:hAnsi="Courier New"/>
          <w:sz w:val="18"/>
        </w:rPr>
        <w:t>golden_values.json</w:t>
      </w:r>
      <w:r>
        <w:rPr/>
        <w:t>.</w:t>
      </w:r>
    </w:p>
    <w:p>
      <w:r>
        <w:rPr>
          <w:b/>
        </w:rPr>
        <w:t>Known limitations.</w:t>
      </w:r>
    </w:p>
    <w:p>
      <w:pPr>
        <w:pStyle w:val="ListBullet2"/>
        <w:tabs>
          <w:tab w:pos="792" w:val="left"/>
        </w:tabs>
        <w:ind w:left="792" w:hanging="288"/>
      </w:pPr>
      <w:r>
        <w:rPr>
          <w:b/>
        </w:rPr>
        <w:t>Open security findings:</w:t>
      </w:r>
      <w:r>
        <w:rPr/>
        <w:t xml:space="preserve"> F-01, F-02, F-04 and F-07 (see 04). The Security Self-Assessment also lists F-08 to F-12 (HTTP 500 on a replayed approval, compiler flags not yet logged as events, rules-grammar coverage gaps, a textual-SQL gap in the append-only guard, audit view fragility) and R-1 to R-6 (egress coverage for spelled-out numbers, single-operator key custody, Tier-1 blast radius, no channel authentication, trust in the in-process actor, no typed commitment revocation).</w:t>
      </w:r>
    </w:p>
    <w:p>
      <w:pPr>
        <w:pStyle w:val="ListBullet2"/>
        <w:tabs>
          <w:tab w:pos="792" w:val="left"/>
        </w:tabs>
        <w:ind w:left="792" w:hanging="288"/>
      </w:pPr>
      <w:r>
        <w:rPr>
          <w:b/>
        </w:rPr>
        <w:t>Semantic risk remains.</w:t>
      </w:r>
      <w:r>
        <w:rPr/>
        <w:t xml:space="preserve"> A schema-valid obligation can still carry the wrong contingency. Conservative defaults bound the damage but do not remove it.</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w:t>
      </w:r>
    </w:p>
    <w:p>
      <w:pPr>
        <w:pStyle w:val="ListBullet2"/>
        <w:tabs>
          <w:tab w:pos="792" w:val="left"/>
        </w:tabs>
        <w:ind w:left="792" w:hanging="288"/>
      </w:pPr>
      <w:r>
        <w:rPr>
          <w:b/>
        </w:rPr>
        <w:t>Not yet available:</w:t>
      </w:r>
      <w:r>
        <w:rPr/>
        <w:t xml:space="preserve"> capex is not an </w:t>
      </w:r>
      <w:r>
        <w:rPr>
          <w:rFonts w:ascii="Courier New" w:hAnsi="Courier New"/>
          <w:sz w:val="18"/>
        </w:rPr>
        <w:t>/nl</w:t>
      </w:r>
      <w:r>
        <w:rPr/>
        <w:t xml:space="preserve"> intent, and the after-signing extension (statutory due dates, late interest, receivable confirmation) is feature-flagged off.</w:t>
      </w:r>
    </w:p>
    <w:p>
      <w:pPr>
        <w:pStyle w:val="ListBullet2"/>
        <w:tabs>
          <w:tab w:pos="792" w:val="left"/>
        </w:tabs>
        <w:ind w:left="792" w:hanging="288"/>
      </w:pPr>
      <w:r>
        <w:rPr>
          <w:b/>
        </w:rPr>
        <w:t>Held-out validation (E2, E9) is not yet run</w:t>
      </w:r>
      <w:r>
        <w:rPr/>
        <w:t xml:space="preserve"> (see 03).</w:t>
      </w:r>
    </w:p>
    <w:p>
      <w:pPr>
        <w:pStyle w:val="ListBullet2"/>
        <w:tabs>
          <w:tab w:pos="792" w:val="left"/>
        </w:tabs>
        <w:ind w:left="792" w:hanging="288"/>
      </w:pPr>
      <w:r>
        <w:rPr>
          <w:b/>
        </w:rPr>
        <w:t>Live-mode calibration:</w:t>
      </w:r>
      <w:r>
        <w:rPr/>
        <w:t xml:space="preserve"> DeepSeek tends to mark a whole package CONTINGENT. The demo and the evidence use cache mode.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