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an agent owned by a small supplier.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¥207,123.29</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¥22,455.62 a year</w:t>
      </w:r>
      <w:r>
        <w:rPr/>
        <w:t>;</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and effective annual rate, and runs it only when the owner replies with a direct "go ahead". When a drawn credit line can be repaid and cash stays above the floor, it proposes the repayment too. On the golden books the path is: the deal on Counter A, the agreed early payment of ¥210,098.85 on day 2, the clock to day 34 with ¥208,100.00 still unpaid, the opener (a ¥200,000.00 advance on invoice RI:BUYER-1:2, cost ¥1,782.19, 25.0% a year for 13 days, flagged as above the 15% cap), "go ahead", the late residual on day 36, the financed invoice paid on day 47 and its advance repaid, the proposal to repay the ¥149,901.15 line draw, reconciliation, and a ledger of 12 hash-chained entries (</w:t>
      </w:r>
      <w:r>
        <w:rPr>
          <w:rFonts w:ascii="Courier New" w:hAnsi="Courier New"/>
          <w:sz w:val="18"/>
        </w:rPr>
        <w:t>scripts/demo_run.py</w:t>
      </w:r>
      <w:r>
        <w:rPr/>
        <w:t>, 1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or "cannot be fooled".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w:t>
            </w:r>
            <w:r>
              <w:rPr>
                <w:rFonts w:ascii="Courier New" w:hAnsi="Courier New"/>
                <w:sz w:val="18"/>
              </w:rPr>
              <w:t>Runtime.advance_to</w:t>
            </w:r>
            <w:r>
              <w:rPr>
                <w:sz w:val="18"/>
              </w:rPr>
              <w:t xml:space="preserve"> is the only way time moves: it posts the day's scheduled flows, expires lapsed commitments and logs one </w:t>
            </w:r>
            <w:r>
              <w:rPr>
                <w:rFonts w:ascii="Courier New" w:hAnsi="Courier New"/>
                <w:sz w:val="18"/>
              </w:rPr>
              <w:t>ADVANCE_CLOCK</w:t>
            </w:r>
            <w:r>
              <w:rPr>
                <w:sz w:val="18"/>
              </w:rPr>
              <w:t xml:space="preserve"> entry on the chain. It never records a receipt.</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 session is bound to the credential that opened it.</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Mandate, Inbox,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GENERATE_BORROWER_FILE and REQUEST_OWNER_APPROVAL;</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 and mock lenders.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xml:space="preserve">: 122 attacks through the API; the 60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46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19 intents: EVALUATE_OFFER, NEGOTIATE, ACCELERATE_RECEIPT, FUND_GAP, REPAY_FACILITY, SHOW_STATUS, SHOW_ALERTS, COMPARE_FINANCING, RECONCILE, SHOW_RATIOS, CAPEX, BORROWER_FILE, EXPLAIN, WHAT_IF, APPROVE, REJECT, COUNTERPARTY_MESSAGE, OUT_OF_SCOPE and AMBIGUOUS.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t>Approvals and go-aheads count only as short, direct instructions (at most 80 characters, no counterparty name, no forwarding marks). Quoted or pasted text never becomes an instruction or an approval id, and a chat session is bound to the credential that opened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 receipt equal to the agreed early-payment net settles the covered face and fulfils the commitment; any other receipt settles what it pays and leaves the residual open on its original day. A financed invoice repays its whole advance, interest and fee on its first receipt. An overdue financed invoice repays its advance in the projection (recourse).</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Funding router (</w:t>
      </w:r>
      <w:r>
        <w:rPr>
          <w:rFonts w:ascii="Courier New" w:hAnsi="Courier New"/>
          <w:b/>
          <w:sz w:val="18"/>
        </w:rPr>
        <w:t>funding/search.py</w:t>
      </w:r>
      <w:r>
        <w:rPr>
          <w:b/>
        </w:rPr>
        <w:t>).</w:t>
      </w:r>
      <w:r>
        <w:rPr/>
        <w:t xml:space="preserve">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every source's all-in rate is within the mandate's maximum APR, and new borrowing is allowed.</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0.65% to 0.88% is now </w:t>
      </w:r>
      <w:r>
        <w:rPr>
          <w:b/>
        </w:rPr>
        <w:t>countered</w:t>
      </w:r>
      <w:r>
        <w:rPr/>
        <w:t>, not accepted: at 0.65% it costs ¥2,730.00 against the plan's ¥2,712.94, while 0.64% costs ¥2,688.00 and is accepted. The 0.8832% break-even is still the first screen and the figure shown to the owner. A known conservative convention: an invoice under an early-payment commitment cannot also be financed, which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Debt service is existing service plus interest and fees on facilities that count, plus scheduled amortisation. A bullet term loan is serviced on a level basis (ADR-0008): its principal, interest and fees are spread evenly over the months of its term, so it cannot look safe until the month it is repaid.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(¥207,123.29 of extra receivables) and a contingent rebate of up to ¥4,000. The forward-concession ledger is </w:t>
      </w:r>
      <w:r>
        <w:rPr>
          <w:b/>
        </w:rPr>
        <w:t>¥26,455.62</w:t>
      </w:r>
      <w:r>
        <w:rPr/>
        <w:t xml:space="preserve"> against the </w:t>
      </w:r>
      <w:r>
        <w:rPr>
          <w:b/>
        </w:rPr>
        <w:t>¥5,000</w:t>
      </w:r>
      <w:r>
        <w:rPr/>
        <w:t xml:space="preserve"> cap, so the verdict is </w:t>
      </w:r>
      <w:r>
        <w:rPr>
          <w:b/>
        </w:rPr>
        <w:t>REJECT: AGG_CONCESSION_EXCEEDED; RESERVE_BREACH@47 (curable at ¥802.70); DISCOUNT_ABOVE_BREAK_EVEN</w:t>
      </w:r>
      <w:r>
        <w:rPr/>
        <w:t xml:space="preserve"> (1.2% against the 0.88% break-even); </w:t>
      </w:r>
      <w:r>
        <w:rPr>
          <w:b/>
        </w:rPr>
        <w:t>EARLY_PAY_DEARER_THAN_PLAN</w:t>
      </w:r>
      <w:r>
        <w:rPr/>
        <w:t xml:space="preserve"> (the package costs ¥5,529.64 against a plan without the early payment at ¥2,870.95; read from the API on 1 Oct 2026). Covenants hold: DSCR 1.92×, leverage 1.72×.</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¥211,900</w:t>
      </w:r>
      <w:r>
        <w:rPr/>
        <w:t xml:space="preserve"> of face (the exact gross-up ¥211,800.30 rounded up to a whole ¥100, so it nets at least the gap) at the largest whole-5 bp rate below break-even, </w:t>
      </w:r>
      <w:r>
        <w:rPr>
          <w:b/>
        </w:rPr>
        <w:t>0.85%</w:t>
      </w:r>
      <w:r>
        <w:rPr/>
        <w:t xml:space="preserve">. The supplier's cost is the discount of </w:t>
      </w:r>
      <w:r>
        <w:rPr>
          <w:b/>
        </w:rPr>
        <w:t>¥1,801.15</w:t>
      </w:r>
      <w:r>
        <w:rPr/>
        <w:t xml:space="preserve"> plus the cost of funding the rest of the gap on the committed line (¥149,901.15, </w:t>
      </w:r>
      <w:r>
        <w:rPr>
          <w:b/>
        </w:rPr>
        <w:t>¥841.09</w:t>
      </w:r>
      <w:r>
        <w:rPr/>
        <w:t xml:space="preserve">): </w:t>
      </w:r>
      <w:r>
        <w:rPr>
          <w:b/>
        </w:rPr>
        <w:t>¥2,642.24</w:t>
      </w:r>
      <w:r>
        <w:rPr/>
        <w:t>. The router must keep the cash floor on books that include the counter, otherwise no early-pay counter is offered. It is also offered only when its total cost is below the standing plan's (¥2,642.24 against ¥2,712.94, ADR-0007). It books no forward concession.</w:t>
      </w:r>
    </w:p>
    <w:p>
      <w:pPr>
        <w:pStyle w:val="ListBullet2"/>
        <w:tabs>
          <w:tab w:pos="792" w:val="left"/>
        </w:tabs>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For the synthetic ¥600,000 machine: NPV </w:t>
      </w:r>
      <w:r>
        <w:rPr>
          <w:b/>
        </w:rPr>
        <w:t>¥380,885.77</w:t>
      </w:r>
      <w:r>
        <w:rPr/>
        <w:t xml:space="preserve">, payback in month </w:t>
      </w:r>
      <w:r>
        <w:rPr>
          <w:b/>
        </w:rPr>
        <w:t>31</w:t>
      </w:r>
      <w:r>
        <w:rPr/>
        <w:t>. The 18-month loan (</w:t>
      </w:r>
      <w:r>
        <w:rPr>
          <w:b/>
        </w:rPr>
        <w:t>¥34,830.60</w:t>
      </w:r>
      <w:r>
        <w:rPr/>
        <w:t xml:space="preserve"> a month) fails DSCR. The </w:t>
      </w:r>
      <w:r>
        <w:rPr>
          <w:b/>
        </w:rPr>
        <w:t>36-month loan (¥18,144.62 a month, interest ¥53,206.14) is selected</w:t>
      </w:r>
      <w:r>
        <w:rPr/>
        <w:t xml:space="preserve">. The 48-month lease costs </w:t>
      </w:r>
      <w:r>
        <w:rPr>
          <w:b/>
        </w:rPr>
        <w:t>¥39,121.18</w:t>
      </w:r>
      <w:r>
        <w:rPr/>
        <w:t xml:space="preserve"> more in interest. Leverage is </w:t>
      </w:r>
      <w:r>
        <w:rPr>
          <w:b/>
        </w:rPr>
        <w:t>2.08×</w:t>
      </w:r>
      <w:r>
        <w:rPr/>
        <w:t xml:space="preserve">, or </w:t>
      </w:r>
      <w:r>
        <w:rPr>
          <w:b/>
        </w:rPr>
        <w:t>2.28×</w:t>
      </w:r>
      <w:r>
        <w:rPr/>
        <w:t xml:space="preserve"> with the extension also funded. The loan is Tier 2, so the application and borrower file are queued for the owner.</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248 s on our machine).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49/50 verdict agreement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[TEAM: rerun </w:t>
      </w:r>
      <w:r>
        <w:rPr>
          <w:rFonts w:ascii="Courier New" w:hAnsi="Courier New"/>
          <w:sz w:val="18"/>
        </w:rPr>
        <w:t>scripts/evaluate.py</w:t>
      </w:r>
      <w:r>
        <w:rPr/>
        <w:t xml:space="preserve"> at the submitted commit and update this table. Rows E2, E3, E5, E9, E10 and the latency paragraph below are from the run of 1 Oct 2026 at </w:t>
      </w:r>
      <w:r>
        <w:rPr>
          <w:rFonts w:ascii="Courier New" w:hAnsi="Courier New"/>
          <w:sz w:val="18"/>
        </w:rPr>
        <w:t>3dea6ca</w:t>
      </w:r>
      <w:r>
        <w:rPr/>
        <w:t>, before that day's changes to the early-payment rule and the DSCR rule; row E7 is updated to the 1 Oct figures.]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55/55</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46/46</w:t>
            </w:r>
            <w:r>
              <w:rPr>
                <w:sz w:val="18"/>
              </w:rPr>
              <w:t xml:space="preserve"> (100%); attacks with any harm: </w:t>
            </w:r>
            <w:r>
              <w:rPr>
                <w:b/>
                <w:sz w:val="18"/>
              </w:rPr>
              <w:t>0/182</w:t>
            </w:r>
            <w:r>
              <w:rPr>
                <w:sz w:val="18"/>
              </w:rPr>
              <w:t xml:space="preserve"> (122 through the API, 60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13/26</w:t>
            </w:r>
            <w:r>
              <w:rPr>
                <w:sz w:val="18"/>
              </w:rPr>
              <w:t xml:space="preserve"> scenarios; total saving ¥4,136.44 over the 22 where both are admissible (median ¥40.29); committed plans relying on an uncommitted facility: </w:t>
            </w:r>
            <w:r>
              <w:rPr>
                <w:b/>
                <w:sz w:val="18"/>
              </w:rPr>
              <w:t>0</w:t>
            </w:r>
            <w:r>
              <w:rPr>
                <w:sz w:val="18"/>
              </w:rPr>
              <w:t xml:space="preserve">; optimality </w:t>
            </w:r>
            <w:r>
              <w:rPr>
                <w:b/>
                <w:sz w:val="18"/>
              </w:rPr>
              <w:t>26/26</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25/25</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18/33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39 ms</w:t>
      </w:r>
      <w:r>
        <w:rPr/>
        <w:t xml:space="preserve">, p95 </w:t>
      </w:r>
      <w:r>
        <w:rPr>
          <w:b/>
        </w:rPr>
        <w:t>128 ms</w:t>
      </w:r>
      <w:r>
        <w:rPr/>
        <w:t xml:space="preserve">; the slowest </w:t>
      </w:r>
      <w:r>
        <w:rPr>
          <w:rFonts w:ascii="Courier New" w:hAnsi="Courier New"/>
          <w:sz w:val="18"/>
        </w:rPr>
        <w:t>verifier.evaluate</w:t>
      </w:r>
      <w:r>
        <w:rPr/>
        <w:t xml:space="preserve"> on the router test states </w:t>
      </w:r>
      <w:r>
        <w:rPr>
          <w:b/>
        </w:rPr>
        <w:t>0.2 s</w:t>
      </w:r>
      <w:r>
        <w:rPr/>
        <w:t xml:space="preserve"> (it was 14 s before EV-07 capped the display-only search); </w:t>
      </w:r>
      <w:r>
        <w:rPr>
          <w:rFonts w:ascii="Courier New" w:hAnsi="Courier New"/>
          <w:sz w:val="18"/>
        </w:rPr>
        <w:t>/nl</w:t>
      </w:r>
      <w:r>
        <w:rPr/>
        <w:t xml:space="preserve"> turn p50 </w:t>
      </w:r>
      <w:r>
        <w:rPr>
          <w:b/>
        </w:rPr>
        <w:t>5 ms</w:t>
      </w:r>
      <w:r>
        <w:rPr/>
        <w:t xml:space="preserve">, p95 </w:t>
      </w:r>
      <w:r>
        <w:rPr>
          <w:b/>
        </w:rPr>
        <w:t>114 ms</w:t>
      </w:r>
      <w:r>
        <w:rPr/>
        <w:t xml:space="preserve"> over 69 turns; the golden Scene 1 end to end (compile → evaluate → negotiate → execute) p50 </w:t>
      </w:r>
      <w:r>
        <w:rPr>
          <w:b/>
        </w:rPr>
        <w:t>202 ms</w:t>
      </w:r>
      <w:r>
        <w:rPr/>
        <w:t xml:space="preserve">, p95 </w:t>
      </w:r>
      <w:r>
        <w:rPr>
          <w:b/>
        </w:rPr>
        <w:t>215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Not measured.</w:t>
      </w:r>
      <w:r>
        <w:rPr/>
        <w:t xml:space="preserve"> Handling time against a form (it needs timed human operators); a live Claude accuracy run;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submit an eligible invoice to the onboarded financing facility;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generate the borrower file; any single commitment above ¥100,000; draw on any facility that is not COMMITTED and owner-approved; a receipt reported by the agent or a counterparty; an owner-originated AddFacility</w:t>
            </w:r>
          </w:p>
        </w:tc>
        <w:tc>
          <w:tcPr>
            <w:tcW w:type="dxa" w:w="3293"/>
          </w:tcPr>
          <w:p>
            <w:r>
              <w:rPr>
                <w:sz w:val="18"/>
              </w:rPr>
              <w:t>PENDING_APPROVAL, queued with a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refusals in seven days; only the owner can reset it);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w:t>
      </w:r>
    </w:p>
    <w:p>
      <w:r>
        <w:rPr/>
        <w:t>Each executor entry point runs as one store unit of work, so state, commitment, nonce, approval, security event and log entry commit together or not at all.</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An approval, decline or "go ahead" counts only as a short direct instruction (at most 80 characters, no counterparty name, no forwarding marks).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does not yet label the agent's replies as AI-generated, for reference. That is a gap we list in the Security Self-Assessment.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182 attacks: 122 through the API and 60 through chat</w:t>
      </w:r>
      <w:r>
        <w:rPr/>
        <w:t xml:space="preserve"> (20 as the owner, 32 as a buyer, 8 as a holder of the agent key without the owner token). </w:t>
      </w:r>
      <w:r>
        <w:rPr>
          <w:b/>
        </w:rPr>
        <w:t>0 of the 182 caused harm</w:t>
      </w:r>
      <w:r>
        <w:rPr/>
        <w:t xml:space="preserve"> (</w:t>
      </w:r>
      <w:r>
        <w:rPr>
          <w:rFonts w:ascii="Courier New" w:hAnsi="Courier New"/>
          <w:sz w:val="18"/>
        </w:rPr>
        <w:t>python -m app.security.attacks --report</w:t>
      </w:r>
      <w:r>
        <w:rPr/>
        <w:t xml:space="preserve">, 1 Oct 2026). Each attack runs on a fresh runtime through the real FastAPI routes, </w:t>
      </w:r>
      <w:r>
        <w:rPr>
          <w:rFonts w:ascii="Courier New" w:hAnsi="Courier New"/>
          <w:sz w:val="18"/>
        </w:rPr>
        <w:t>LLM_MODE=cache</w:t>
      </w:r>
      <w:r>
        <w:rPr/>
        <w:t xml:space="preserve">. The table below is the 122 API attacks as in </w:t>
      </w:r>
      <w:r>
        <w:rPr>
          <w:rFonts w:ascii="Courier New" w:hAnsi="Courier New"/>
          <w:sz w:val="18"/>
        </w:rPr>
        <w:t>services/api/evals/security/latest_report.md</w:t>
      </w:r>
      <w:r>
        <w:rPr/>
        <w:t xml:space="preserve">, with the deployment's credentials and </w:t>
      </w:r>
      <w:r>
        <w:rPr>
          <w:rFonts w:ascii="Courier New" w:hAnsi="Courier New"/>
          <w:sz w:val="18"/>
        </w:rPr>
        <w:t>DEMO_MODE=0</w:t>
      </w:r>
      <w:r>
        <w:rPr/>
        <w:t xml:space="preserve">. Of the 60 chat attacks, 54 were detected (an event or a refusal code) and 6 changed nothing but raised neither: the agent key asking to reset the circuit breaker or to revoke a commitment, the agent key saying "go ahead" inside the owner's session, the owner token reusing a counterparty's session id, and a bare "yes" in a fresh owner or agent session with an approval pending. [TEAM: </w:t>
      </w:r>
      <w:r>
        <w:rPr>
          <w:rFonts w:ascii="Courier New" w:hAnsi="Courier New"/>
          <w:sz w:val="18"/>
        </w:rPr>
        <w:t>latest_report.md</w:t>
      </w:r>
      <w:r>
        <w:rPr/>
        <w:t xml:space="preserve"> is regenerated for the 122 API attacks only; refresh the evidence at the submitted commit.]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70.5%</w:t>
            </w:r>
            <w:r>
              <w:rPr>
                <w:sz w:val="18"/>
              </w:rPr>
              <w:t xml:space="preserve"> (86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three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who probes the chat can find the accept/counter threshold to 1 bp in 12 messages, with no throttle, and each accepted probe queues its own owner approval; it is now at 0.64% / 0.65% on the golden books. (S9) The agent key can read cash, floor and headroom through the chat status reply, although the read routes are owner-only; the newer read intents already need the owner token. (S10) "Go ahead" re-plans at confirm time and is not bound to the plan that was shown. None caused harm in the suite; all are listed as known limitations.</w:t>
      </w:r>
    </w:p>
    <w:p>
      <w:pPr>
        <w:pStyle w:val="ListBullet2"/>
        <w:tabs>
          <w:tab w:pos="792" w:val="left"/>
        </w:tabs>
        <w:ind w:left="792" w:hanging="288"/>
      </w:pPr>
      <w:r>
        <w:rPr/>
        <w:t>The full risk register, including the open risks (single-operator key custody, the Tier-1 blast radius, no channel authentication,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46 scripted /nl tasks and their evidence</w:t>
        <w:br/>
      </w:r>
      <w:r>
        <w:rPr>
          <w:rFonts w:ascii="Courier New" w:hAnsi="Courier New" w:eastAsia="Courier New"/>
          <w:sz w:val="14"/>
        </w:rPr>
        <w:t>uv run --project services/api python scripts/evaluate.py                # the full offline evaluation (about 4–5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4,070</w:t>
      </w:r>
      <w:r>
        <w:rPr/>
        <w:t xml:space="preserve"> API tests (1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961</w:t>
            </w:r>
          </w:p>
        </w:tc>
        <w:tc>
          <w:tcPr>
            <w:tcW w:type="dxa" w:w="2469"/>
          </w:tcPr>
          <w:p>
            <w:r>
              <w:rPr>
                <w:sz w:val="18"/>
              </w:rPr>
              <w:t>persistence</w:t>
            </w:r>
          </w:p>
        </w:tc>
        <w:tc>
          <w:tcPr>
            <w:tcW w:type="dxa" w:w="2469"/>
          </w:tcPr>
          <w:p>
            <w:r>
              <w:rPr>
                <w:sz w:val="18"/>
              </w:rPr>
              <w:t>80</w:t>
            </w:r>
          </w:p>
        </w:tc>
      </w:tr>
      <w:tr>
        <w:tc>
          <w:tcPr>
            <w:tcW w:type="dxa" w:w="2469"/>
          </w:tcPr>
          <w:p>
            <w:r>
              <w:rPr>
                <w:sz w:val="18"/>
              </w:rPr>
              <w:t>funding router</w:t>
            </w:r>
          </w:p>
        </w:tc>
        <w:tc>
          <w:tcPr>
            <w:tcW w:type="dxa" w:w="2469"/>
          </w:tcPr>
          <w:p>
            <w:r>
              <w:rPr>
                <w:sz w:val="18"/>
              </w:rPr>
              <w:t>822</w:t>
            </w:r>
          </w:p>
        </w:tc>
        <w:tc>
          <w:tcPr>
            <w:tcW w:type="dxa" w:w="2469"/>
          </w:tcPr>
          <w:p>
            <w:r>
              <w:rPr>
                <w:sz w:val="18"/>
              </w:rPr>
              <w:t>financial engine</w:t>
            </w:r>
          </w:p>
        </w:tc>
        <w:tc>
          <w:tcPr>
            <w:tcW w:type="dxa" w:w="2469"/>
          </w:tcPr>
          <w:p>
            <w:r>
              <w:rPr>
                <w:sz w:val="18"/>
              </w:rPr>
              <w:t>78</w:t>
            </w:r>
          </w:p>
        </w:tc>
      </w:tr>
      <w:tr>
        <w:tc>
          <w:tcPr>
            <w:tcW w:type="dxa" w:w="2469"/>
          </w:tcPr>
          <w:p>
            <w:r>
              <w:rPr>
                <w:sz w:val="18"/>
              </w:rPr>
              <w:t>compiler</w:t>
            </w:r>
          </w:p>
        </w:tc>
        <w:tc>
          <w:tcPr>
            <w:tcW w:type="dxa" w:w="2469"/>
          </w:tcPr>
          <w:p>
            <w:r>
              <w:rPr>
                <w:sz w:val="18"/>
              </w:rPr>
              <w:t>559</w:t>
            </w:r>
          </w:p>
        </w:tc>
        <w:tc>
          <w:tcPr>
            <w:tcW w:type="dxa" w:w="2469"/>
          </w:tcPr>
          <w:p>
            <w:r>
              <w:rPr>
                <w:sz w:val="18"/>
              </w:rPr>
              <w:t>mandate</w:t>
            </w:r>
          </w:p>
        </w:tc>
        <w:tc>
          <w:tcPr>
            <w:tcW w:type="dxa" w:w="2469"/>
          </w:tcPr>
          <w:p>
            <w:r>
              <w:rPr>
                <w:sz w:val="18"/>
              </w:rPr>
              <w:t>73</w:t>
            </w:r>
          </w:p>
        </w:tc>
      </w:tr>
      <w:tr>
        <w:tc>
          <w:tcPr>
            <w:tcW w:type="dxa" w:w="2469"/>
          </w:tcPr>
          <w:p>
            <w:r>
              <w:rPr>
                <w:sz w:val="18"/>
              </w:rPr>
              <w:t>nl harness</w:t>
            </w:r>
          </w:p>
        </w:tc>
        <w:tc>
          <w:tcPr>
            <w:tcW w:type="dxa" w:w="2469"/>
          </w:tcPr>
          <w:p>
            <w:r>
              <w:rPr>
                <w:sz w:val="18"/>
              </w:rPr>
              <w:t>367</w:t>
            </w:r>
          </w:p>
        </w:tc>
        <w:tc>
          <w:tcPr>
            <w:tcW w:type="dxa" w:w="2469"/>
          </w:tcPr>
          <w:p>
            <w:r>
              <w:rPr>
                <w:sz w:val="18"/>
              </w:rPr>
              <w:t>alerts</w:t>
            </w:r>
          </w:p>
        </w:tc>
        <w:tc>
          <w:tcPr>
            <w:tcW w:type="dxa" w:w="2469"/>
          </w:tcPr>
          <w:p>
            <w:r>
              <w:rPr>
                <w:sz w:val="18"/>
              </w:rPr>
              <w:t>55</w:t>
            </w:r>
          </w:p>
        </w:tc>
      </w:tr>
      <w:tr>
        <w:tc>
          <w:tcPr>
            <w:tcW w:type="dxa" w:w="2469"/>
          </w:tcPr>
          <w:p>
            <w:r>
              <w:rPr>
                <w:sz w:val="18"/>
              </w:rPr>
              <w:t>operations (executor)</w:t>
            </w:r>
          </w:p>
        </w:tc>
        <w:tc>
          <w:tcPr>
            <w:tcW w:type="dxa" w:w="2469"/>
          </w:tcPr>
          <w:p>
            <w:r>
              <w:rPr>
                <w:sz w:val="18"/>
              </w:rPr>
              <w:t>281</w:t>
            </w:r>
          </w:p>
        </w:tc>
        <w:tc>
          <w:tcPr>
            <w:tcW w:type="dxa" w:w="2469"/>
          </w:tcPr>
          <w:p>
            <w:r>
              <w:rPr>
                <w:sz w:val="18"/>
              </w:rPr>
              <w:t>what-if</w:t>
            </w:r>
          </w:p>
        </w:tc>
        <w:tc>
          <w:tcPr>
            <w:tcW w:type="dxa" w:w="2469"/>
          </w:tcPr>
          <w:p>
            <w:r>
              <w:rPr>
                <w:sz w:val="18"/>
              </w:rPr>
              <w:t>44</w:t>
            </w:r>
          </w:p>
        </w:tc>
      </w:tr>
      <w:tr>
        <w:tc>
          <w:tcPr>
            <w:tcW w:type="dxa" w:w="2469"/>
          </w:tcPr>
          <w:p>
            <w:r>
              <w:rPr>
                <w:sz w:val="18"/>
              </w:rPr>
              <w:t>security (attacks, fuzzers, metrics)</w:t>
            </w:r>
          </w:p>
        </w:tc>
        <w:tc>
          <w:tcPr>
            <w:tcW w:type="dxa" w:w="2469"/>
          </w:tcPr>
          <w:p>
            <w:r>
              <w:rPr>
                <w:sz w:val="18"/>
              </w:rPr>
              <w:t>204</w:t>
            </w:r>
          </w:p>
        </w:tc>
        <w:tc>
          <w:tcPr>
            <w:tcW w:type="dxa" w:w="2469"/>
          </w:tcPr>
          <w:p>
            <w:r>
              <w:rPr>
                <w:sz w:val="18"/>
              </w:rPr>
              <w:t>books</w:t>
            </w:r>
          </w:p>
        </w:tc>
        <w:tc>
          <w:tcPr>
            <w:tcW w:type="dxa" w:w="2469"/>
          </w:tcPr>
          <w:p>
            <w:r>
              <w:rPr>
                <w:sz w:val="18"/>
              </w:rPr>
              <w:t>35</w:t>
            </w:r>
          </w:p>
        </w:tc>
      </w:tr>
      <w:tr>
        <w:tc>
          <w:tcPr>
            <w:tcW w:type="dxa" w:w="2469"/>
          </w:tcPr>
          <w:p>
            <w:r>
              <w:rPr>
                <w:sz w:val="18"/>
              </w:rPr>
              <w:t>verifier</w:t>
            </w:r>
          </w:p>
        </w:tc>
        <w:tc>
          <w:tcPr>
            <w:tcW w:type="dxa" w:w="2469"/>
          </w:tcPr>
          <w:p>
            <w:r>
              <w:rPr>
                <w:sz w:val="18"/>
              </w:rPr>
              <w:t>190</w:t>
            </w:r>
          </w:p>
        </w:tc>
        <w:tc>
          <w:tcPr>
            <w:tcW w:type="dxa" w:w="2469"/>
          </w:tcPr>
          <w:p>
            <w:r>
              <w:rPr>
                <w:sz w:val="18"/>
              </w:rPr>
              <w:t>api</w:t>
            </w:r>
          </w:p>
        </w:tc>
        <w:tc>
          <w:tcPr>
            <w:tcW w:type="dxa" w:w="2469"/>
          </w:tcPr>
          <w:p>
            <w:r>
              <w:rPr>
                <w:sz w:val="18"/>
              </w:rPr>
              <w:t>35</w:t>
            </w:r>
          </w:p>
        </w:tc>
      </w:tr>
      <w:tr>
        <w:tc>
          <w:tcPr>
            <w:tcW w:type="dxa" w:w="2469"/>
          </w:tcPr>
          <w:p>
            <w:r>
              <w:rPr>
                <w:sz w:val="18"/>
              </w:rPr>
              <w:t>commitments</w:t>
            </w:r>
          </w:p>
        </w:tc>
        <w:tc>
          <w:tcPr>
            <w:tcW w:type="dxa" w:w="2469"/>
          </w:tcPr>
          <w:p>
            <w:r>
              <w:rPr>
                <w:sz w:val="18"/>
              </w:rPr>
              <w:t>90</w:t>
            </w:r>
          </w:p>
        </w:tc>
        <w:tc>
          <w:tcPr>
            <w:tcW w:type="dxa" w:w="2469"/>
          </w:tcPr>
          <w:p>
            <w:r>
              <w:rPr>
                <w:sz w:val="18"/>
              </w:rPr>
              <w:t>covenants</w:t>
            </w:r>
          </w:p>
        </w:tc>
        <w:tc>
          <w:tcPr>
            <w:tcW w:type="dxa" w:w="2469"/>
          </w:tcPr>
          <w:p>
            <w:r>
              <w:rPr>
                <w:sz w:val="18"/>
              </w:rPr>
              <w:t>32</w:t>
            </w:r>
          </w:p>
        </w:tc>
      </w:tr>
      <w:tr>
        <w:tc>
          <w:tcPr>
            <w:tcW w:type="dxa" w:w="2469"/>
          </w:tcPr>
          <w:p>
            <w:r>
              <w:rPr>
                <w:sz w:val="18"/>
              </w:rPr>
              <w:t>counterparties</w:t>
            </w:r>
          </w:p>
        </w:tc>
        <w:tc>
          <w:tcPr>
            <w:tcW w:type="dxa" w:w="2469"/>
          </w:tcPr>
          <w:p>
            <w:r>
              <w:rPr>
                <w:sz w:val="18"/>
              </w:rPr>
              <w:t>89</w:t>
            </w:r>
          </w:p>
        </w:tc>
        <w:tc>
          <w:tcPr>
            <w:tcW w:type="dxa" w:w="2469"/>
          </w:tcPr>
          <w:p>
            <w:r>
              <w:rPr>
                <w:sz w:val="18"/>
              </w:rPr>
              <w:t>capex</w:t>
            </w:r>
          </w:p>
        </w:tc>
        <w:tc>
          <w:tcPr>
            <w:tcW w:type="dxa" w:w="2469"/>
          </w:tcPr>
          <w:p>
            <w:r>
              <w:rPr>
                <w:sz w:val="18"/>
              </w:rPr>
              <w:t>22</w:t>
            </w:r>
          </w:p>
        </w:tc>
      </w:tr>
      <w:tr>
        <w:tc>
          <w:tcPr>
            <w:tcW w:type="dxa" w:w="2469"/>
          </w:tcPr>
          <w:p>
            <w:r>
              <w:rPr>
                <w:sz w:val="18"/>
              </w:rPr>
              <w:t>borrower file</w:t>
            </w:r>
          </w:p>
        </w:tc>
        <w:tc>
          <w:tcPr>
            <w:tcW w:type="dxa" w:w="2469"/>
          </w:tcPr>
          <w:p>
            <w:r>
              <w:rPr>
                <w:sz w:val="18"/>
              </w:rPr>
              <w:t>19</w:t>
            </w:r>
          </w:p>
        </w:tc>
        <w:tc>
          <w:tcPr>
            <w:tcW w:type="dxa" w:w="2469"/>
          </w:tcPr>
          <w:p>
            <w:r>
              <w:rPr>
                <w:sz w:val="18"/>
              </w:rPr>
              <w:t>evaluation harness</w:t>
            </w:r>
          </w:p>
        </w:tc>
        <w:tc>
          <w:tcPr>
            <w:tcW w:type="dxa" w:w="2469"/>
          </w:tcPr>
          <w:p>
            <w:r>
              <w:rPr>
                <w:sz w:val="18"/>
              </w:rPr>
              <w:t>18</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5</w:t>
            </w:r>
          </w:p>
        </w:tc>
      </w:tr>
    </w:tbl>
    <w:p>
      <w:pPr>
        <w:spacing w:after="40"/>
      </w:pPr>
    </w:p>
    <w:p>
      <w:r>
        <w:rPr>
          <w:b/>
        </w:rPr>
        <w:t>Latest full run</w:t>
      </w:r>
      <w:r>
        <w:rPr/>
        <w:t xml:space="preserve"> (</w:t>
      </w:r>
      <w:r>
        <w:rPr>
          <w:rFonts w:ascii="Courier New" w:hAnsi="Courier New"/>
          <w:sz w:val="18"/>
        </w:rPr>
        <w:t>SKIP_PERF_BENCH=1 uv run pytest</w:t>
      </w:r>
      <w:r>
        <w:rPr/>
        <w:t xml:space="preserve">, Windows, 1 Oct 2026): </w:t>
      </w:r>
      <w:r>
        <w:rPr>
          <w:b/>
        </w:rPr>
        <w:t>4,044 passed, 26 skipped, 0 failed</w:t>
      </w:r>
      <w:r>
        <w:rPr/>
        <w:t>, in 339 s. The 26 skips are 7 router latency benchmarks (</w:t>
      </w:r>
      <w:r>
        <w:rPr>
          <w:rFonts w:ascii="Courier New" w:hAnsi="Courier New"/>
          <w:sz w:val="18"/>
        </w:rPr>
        <w:t>SKIP_PERF_BENCH=1</w:t>
      </w:r>
      <w:r>
        <w:rPr/>
        <w:t xml:space="preserve">; their targets were set on another machine), 18 exhaustive router differential cases that run only with </w:t>
      </w:r>
      <w:r>
        <w:rPr>
          <w:rFonts w:ascii="Courier New" w:hAnsi="Courier New"/>
          <w:sz w:val="18"/>
        </w:rPr>
        <w:t>ROUTER_DIFF_FULL=1</w:t>
      </w:r>
      <w:r>
        <w:rPr/>
        <w:t>, and the SQL variant of a corrupted-row test, which the attack catalogue covers (FR-12c). The run uses the recorded-output cache and an in-memory store; live-model mode was not tested.</w:t>
      </w:r>
    </w:p>
    <w:p>
      <w:r>
        <w:rPr>
          <w:b/>
        </w:rPr>
        <w:t>Web app</w:t>
      </w:r>
      <w:r>
        <w:rPr/>
        <w:t xml:space="preserve"> (</w:t>
      </w:r>
      <w:r>
        <w:rPr>
          <w:rFonts w:ascii="Courier New" w:hAnsi="Courier New"/>
          <w:sz w:val="18"/>
        </w:rPr>
        <w:t>apps/web</w:t>
      </w:r>
      <w:r>
        <w:rPr/>
        <w:t xml:space="preserve">, 1 Oct 2026): the mock-mode Playwright run passes </w:t>
      </w:r>
      <w:r>
        <w:rPr>
          <w:b/>
        </w:rPr>
        <w:t>29 tests</w:t>
      </w:r>
      <w:r>
        <w:rPr/>
        <w:t xml:space="preserve">. It covers the demo walk with the golden numbers, the owner home, the chat panel, owner sign-in, the Tier-2 approval queue, and the adapter contract. [TEAM: rerun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w:t>
      </w:r>
      <w:r>
        <w:rPr>
          <w:rFonts w:ascii="Courier New" w:hAnsi="Courier New"/>
          <w:sz w:val="18"/>
        </w:rPr>
        <w:t>pnpm test:unit</w:t>
      </w:r>
      <w:r>
        <w:rPr/>
        <w:t xml:space="preserve"> and the live e2e project at the submitted commit; the earlier counts (unit 4/4, 46 Playwright tests with 1 skipped) predate this run and the live project's known stale expectations are being fixed.]</w:t>
      </w:r>
    </w:p>
    <w:p>
      <w:r>
        <w:rPr>
          <w:b/>
        </w:rPr>
        <w:t>Scripted tasks and evidence.</w:t>
      </w:r>
      <w:r>
        <w:rPr/>
        <w:t xml:space="preserve"> </w:t>
      </w:r>
      <w:r>
        <w:rPr>
          <w:rFonts w:ascii="Courier New" w:hAnsi="Courier New"/>
          <w:sz w:val="18"/>
        </w:rPr>
        <w:t>scripts/run_scenarios.py --inproc</w:t>
      </w:r>
      <w:r>
        <w:rPr/>
        <w:t xml:space="preserve"> passes </w:t>
      </w:r>
      <w:r>
        <w:rPr>
          <w:b/>
        </w:rPr>
        <w:t>46/46</w:t>
      </w:r>
      <w:r>
        <w:rPr/>
        <w:t xml:space="preserve"> tasks (79 </w:t>
      </w:r>
      <w:r>
        <w:rPr>
          <w:rFonts w:ascii="Courier New" w:hAnsi="Courier New"/>
          <w:sz w:val="18"/>
        </w:rPr>
        <w:t>/nl</w:t>
      </w:r>
      <w:r>
        <w:rPr/>
        <w:t xml:space="preserve"> turns, 1 Oct 2026); all 46 evidence chains verify with </w:t>
      </w:r>
      <w:r>
        <w:rPr>
          <w:rFonts w:ascii="Courier New" w:hAnsi="Courier New"/>
          <w:sz w:val="18"/>
        </w:rPr>
        <w:t>scripts/verify_evidence.py</w:t>
      </w:r>
      <w:r>
        <w:rPr/>
        <w:t>. The nine added tasks cover the financing comparison (en and zh), reconciliation, covenant ratios (en and zh), a capex case, the borrower file, the nearest-capability fallback, and the agent key being told to ask the owner.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no channel authentication (R-4), the trusted in-process actor (R-5), and the medium items found through chat (threshold probing S5, the agent key reading status and alerts through chat S9, "go ahead" not bound to the plan shown S10). The hash-chain head is not anchored outside the system (audit S8).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w:t>
      </w:r>
    </w:p>
    <w:p>
      <w:pPr>
        <w:pStyle w:val="ListBullet2"/>
        <w:tabs>
          <w:tab w:pos="792" w:val="left"/>
        </w:tabs>
        <w:ind w:left="792" w:hanging="288"/>
      </w:pPr>
      <w:r>
        <w:rPr>
          <w:b/>
        </w:rPr>
        <w:t>Not yet available:</w:t>
      </w:r>
      <w:r>
        <w:rPr/>
        <w:t xml:space="preserve"> the after-signing extension (statutory due dates, late interest, receivable confirmation) is feature-flagged off.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The ¥500,000 12-month guaranteed loan therefore shows 1.014× and fails the 1.25× covenant.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commitment cannot also be financed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Cost of a cure is shown, not gated.</w:t>
      </w:r>
      <w:r>
        <w:rPr/>
        <w:t xml:space="preserve"> The day-34 advance of ¥200,000 costs ¥1,782.19, about 25.0% a year for 13 days, above the mandate's 15% yearly cap because invoice financing is billed in whole 30-day periods. The opener says so and leaves the decision to the owner; nothing is blocked. [TEAM: the owner decides whether the cap should gate invoice financing on its effective annual rate (tracker row D5).]</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2026 changes (the clock, the opener, the new chat intents).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