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xml:space="preserve"> and its chat counterpart, which you can run with one command (section 02). This is a simulation: lenders, the buyer and the bank feed are simulated, the checks screen the obligations that were entered, and we make no claim of bank-covenant compliance or that the system is "safe by construction". Between 1 and 3 Oct 2026 an independent audit (13 findings) and three red-team rounds (13 findings) were run against it and every finding was fixed; the end of section 02 records that process.</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may also advance the simulated clock; it decides nothing else.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the server maps the key to a counterparty id and never trusts the id in the body.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A message with no key, or a wrong one, is a proposal only: evaluated, never agreed, and nothing live is stored.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The schema has no field for an operation, an approval, a tier, a reply or a facility to add.</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and the chat read intents (financing comparison, reconciliation, ratios, capex, borrower file)</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 advancing the simulated clock</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generate the borrower file;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0.65% to 0.88% is therefore countered; 0.64% and below is accepted.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w:t>
      </w:r>
    </w:p>
    <w:p>
      <w:pPr>
        <w:ind w:left="720" w:hanging="288"/>
      </w:pPr>
      <w:r>
        <w:t xml:space="preserve">7. </w:t>
      </w:r>
      <w:r>
        <w:rPr>
          <w:b/>
        </w:rPr>
        <w:t>A verdict is not standing authority.</w:t>
      </w:r>
      <w:r>
        <w:rPr/>
        <w:t xml:space="preserve"> It is re-verified at the moment of commitment: the named receivables are still open, one live commitment per invoice,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It needs the owner token since F-05, but it still exists outside demo mode.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122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255 attacks</w:t>
      </w:r>
      <w:r>
        <w:rPr/>
        <w:t xml:space="preserve"> on 3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122 API and 133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255 attacks caused harm</w:t>
      </w:r>
      <w:r>
        <w:rPr/>
        <w:t xml:space="preserve"> (122 through the API, 133 through chat; run on 3 Oct 2026, </w:t>
      </w:r>
      <w:r>
        <w:rPr>
          <w:rFonts w:ascii="Courier New" w:hAnsi="Courier New"/>
          <w:sz w:val="18"/>
        </w:rPr>
        <w:t>latest_report.md</w:t>
      </w:r>
      <w:r>
        <w:rPr/>
        <w:t xml:space="preserve">, which lists every chat attack id including </w:t>
      </w:r>
      <w:r>
        <w:rPr>
          <w:rFonts w:ascii="Courier New" w:hAnsi="Courier New"/>
          <w:sz w:val="18"/>
        </w:rPr>
        <w:t>NL-CS01</w:t>
      </w:r>
      <w:r>
        <w:rPr/>
        <w:t xml:space="preserve"> to </w:t>
      </w:r>
      <w:r>
        <w:rPr>
          <w:rFonts w:ascii="Courier New" w:hAnsi="Courier New"/>
          <w:sz w:val="18"/>
        </w:rPr>
        <w:t>NL-CS41</w:t>
      </w:r>
      <w:r>
        <w:rPr/>
        <w:t xml:space="preserve">). The table and the category rows below are the 122 API attacks. Across those </w:t>
      </w:r>
      <w:r>
        <w:rPr>
          <w:b/>
        </w:rPr>
        <w:t>122</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40 / 21 / 20 / 21 attempts)</w:t>
            </w:r>
          </w:p>
        </w:tc>
      </w:tr>
      <w:tr>
        <w:tc>
          <w:tcPr>
            <w:tcW w:type="dxa" w:w="4939"/>
          </w:tcPr>
          <w:p>
            <w:r>
              <w:rPr>
                <w:sz w:val="18"/>
              </w:rPr>
              <w:t>Detection rate (SecurityEvent or refusal code)</w:t>
            </w:r>
          </w:p>
        </w:tc>
        <w:tc>
          <w:tcPr>
            <w:tcW w:type="dxa" w:w="4939"/>
          </w:tcPr>
          <w:p>
            <w:r>
              <w:rPr>
                <w:b/>
                <w:sz w:val="18"/>
              </w:rPr>
              <w:t>97.5%</w:t>
            </w:r>
            <w:r>
              <w:rPr>
                <w:sz w:val="18"/>
              </w:rPr>
              <w:t xml:space="preserve"> (119 of 122)</w:t>
            </w:r>
          </w:p>
        </w:tc>
      </w:tr>
      <w:tr>
        <w:tc>
          <w:tcPr>
            <w:tcW w:type="dxa" w:w="4939"/>
          </w:tcPr>
          <w:p>
            <w:r>
              <w:rPr>
                <w:sz w:val="18"/>
              </w:rPr>
              <w:t>SecurityEvent rate</w:t>
            </w:r>
          </w:p>
        </w:tc>
        <w:tc>
          <w:tcPr>
            <w:tcW w:type="dxa" w:w="4939"/>
          </w:tcPr>
          <w:p>
            <w:r>
              <w:rPr>
                <w:b/>
                <w:sz w:val="18"/>
              </w:rPr>
              <w:t>72.1%</w:t>
            </w:r>
            <w:r>
              <w:rPr>
                <w:sz w:val="18"/>
              </w:rPr>
              <w:t xml:space="preserve"> (88 of 122)</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16</w:t>
            </w:r>
          </w:p>
        </w:tc>
        <w:tc>
          <w:tcPr>
            <w:tcW w:type="dxa" w:w="1098"/>
          </w:tcPr>
          <w:p>
            <w:r>
              <w:rPr>
                <w:sz w:val="16"/>
              </w:rPr>
              <w:t>0</w:t>
            </w:r>
          </w:p>
        </w:tc>
        <w:tc>
          <w:tcPr>
            <w:tcW w:type="dxa" w:w="1098"/>
          </w:tcPr>
          <w:p>
            <w:r>
              <w:rPr>
                <w:sz w:val="16"/>
              </w:rPr>
              <w:t>16</w:t>
            </w:r>
          </w:p>
        </w:tc>
        <w:tc>
          <w:tcPr>
            <w:tcW w:type="dxa" w:w="1098"/>
          </w:tcPr>
          <w:p>
            <w:r>
              <w:rPr>
                <w:sz w:val="16"/>
              </w:rPr>
              <w:t>16</w:t>
            </w:r>
          </w:p>
        </w:tc>
        <w:tc>
          <w:tcPr>
            <w:tcW w:type="dxa" w:w="1098"/>
          </w:tcPr>
          <w:p>
            <w:r>
              <w:rPr>
                <w:sz w:val="16"/>
              </w:rPr>
              <w:t>14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9</w:t>
            </w:r>
          </w:p>
        </w:tc>
        <w:tc>
          <w:tcPr>
            <w:tcW w:type="dxa" w:w="1098"/>
          </w:tcPr>
          <w:p>
            <w:r>
              <w:rPr>
                <w:sz w:val="16"/>
              </w:rPr>
              <w:t>0</w:t>
            </w:r>
          </w:p>
        </w:tc>
        <w:tc>
          <w:tcPr>
            <w:tcW w:type="dxa" w:w="1098"/>
          </w:tcPr>
          <w:p>
            <w:r>
              <w:rPr>
                <w:sz w:val="16"/>
              </w:rPr>
              <w:t>9</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20</w:t>
            </w:r>
          </w:p>
        </w:tc>
        <w:tc>
          <w:tcPr>
            <w:tcW w:type="dxa" w:w="1098"/>
          </w:tcPr>
          <w:p>
            <w:r>
              <w:rPr>
                <w:sz w:val="16"/>
              </w:rPr>
              <w:t>0</w:t>
            </w:r>
          </w:p>
        </w:tc>
        <w:tc>
          <w:tcPr>
            <w:tcW w:type="dxa" w:w="1098"/>
          </w:tcPr>
          <w:p>
            <w:r>
              <w:rPr>
                <w:sz w:val="16"/>
              </w:rPr>
              <w:t>17</w:t>
            </w:r>
          </w:p>
        </w:tc>
        <w:tc>
          <w:tcPr>
            <w:tcW w:type="dxa" w:w="1098"/>
          </w:tcPr>
          <w:p>
            <w:r>
              <w:rPr>
                <w:sz w:val="16"/>
              </w:rPr>
              <w:t>13</w:t>
            </w:r>
          </w:p>
        </w:tc>
        <w:tc>
          <w:tcPr>
            <w:tcW w:type="dxa" w:w="1098"/>
          </w:tcPr>
          <w:p>
            <w:r>
              <w:rPr>
                <w:sz w:val="16"/>
              </w:rPr>
              <w:t>0</w:t>
            </w:r>
          </w:p>
        </w:tc>
        <w:tc>
          <w:tcPr>
            <w:tcW w:type="dxa" w:w="1098"/>
          </w:tcPr>
          <w:p>
            <w:r>
              <w:rPr>
                <w:sz w:val="16"/>
              </w:rPr>
              <w:t>3</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both stay open in section 04 (R-10,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97.5%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three "contained only" attacks (PE-07, PE-14, PE-20)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three red-team rounds were run against the system, and each finding was turned into a regression test before it was closed.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bl>
    <w:p>
      <w:pPr>
        <w:spacing w:after="40"/>
      </w:pPr>
    </w:p>
    <w:p>
      <w:r>
        <w:rPr/>
        <w:t xml:space="preserve">The probes are kept beside each report, and the test files named in the last column reproduce each finding as a regression test; the probes were not all re-run for this document. The audit's own list of open items after its fixes, and the findings still open, are in </w:t>
      </w:r>
      <w:r>
        <w:rPr>
          <w:rFonts w:ascii="Courier New" w:hAnsi="Courier New"/>
          <w:sz w:val="18"/>
        </w:rPr>
        <w:t>docs/CONTINUOUS_OPTIMIZATION.md</w:t>
      </w:r>
      <w:r>
        <w:rPr/>
        <w:t>.</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Gap:</w:t>
      </w:r>
      <w:r>
        <w:rPr/>
        <w:t xml:space="preserve"> the web UI does not label the agent's replies as AI-generated, for reference. </w:t>
      </w:r>
      <w:r>
        <w:rPr>
          <w:rFonts w:ascii="Courier New" w:hAnsi="Courier New"/>
          <w:sz w:val="18"/>
        </w:rPr>
        <w:t>apps/web</w:t>
      </w:r>
      <w:r>
        <w:rPr/>
        <w:t xml:space="preserve"> has no such label today. We list it as a gap and do not claim it.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b/>
                <w:sz w:val="16"/>
              </w:rPr>
              <w:t>Remaining:</w:t>
            </w:r>
            <w:r>
              <w:rPr>
                <w:sz w:val="16"/>
              </w:rPr>
              <w:t xml:space="preserve"> </w:t>
            </w:r>
            <w:r>
              <w:rPr>
                <w:rFonts w:ascii="Courier New" w:hAnsi="Courier New"/>
                <w:sz w:val="16"/>
              </w:rPr>
              <w:t>POST /offers</w:t>
            </w:r>
            <w:r>
              <w:rPr>
                <w:sz w:val="16"/>
              </w:rPr>
              <w:t xml:space="preserve"> still stores a compiled offer for a sender id taken from the body (nothing executes; backlog R04), and a demo deployment's keys are published.</w:t>
            </w:r>
          </w:p>
        </w:tc>
        <w:tc>
          <w:tcPr>
            <w:tcW w:type="dxa" w:w="1646"/>
          </w:tcPr>
          <w:p>
            <w:r>
              <w:rPr>
                <w:sz w:val="16"/>
              </w:rPr>
              <w:t xml:space="preserve">Bind </w:t>
            </w:r>
            <w:r>
              <w:rPr>
                <w:rFonts w:ascii="Courier New" w:hAnsi="Courier New"/>
                <w:sz w:val="16"/>
              </w:rPr>
              <w:t>/offers</w:t>
            </w:r>
            <w:r>
              <w:rPr>
                <w:sz w:val="16"/>
              </w:rPr>
              <w:t xml:space="preserve"> intake to the same keys or cap and mark it untrusted;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Open</w:t>
            </w:r>
          </w:p>
        </w:tc>
        <w:tc>
          <w:tcPr>
            <w:tcW w:type="dxa" w:w="1646"/>
          </w:tcPr>
          <w:p>
            <w:r>
              <w:rPr>
                <w:b/>
                <w:sz w:val="16"/>
              </w:rPr>
              <w:t>The accept/counter threshold can be probed (audit S5).</w:t>
            </w:r>
            <w:r>
              <w:rPr>
                <w:sz w:val="16"/>
              </w:rPr>
              <w:t xml:space="preserve"> A buyer talking to the chat with its own key finds the threshold to 1 bp in 12 messages, with no throttle (NL-OP01K, NL-OP02K: no harm, the attempt is reported; without a key the same messages are proposals and reveal no flip). Each accepted probe queues its own owner approval. The threshold is 0.64% / 0.65% on the golden books for a whole-invoice early payment.</w:t>
            </w:r>
          </w:p>
        </w:tc>
        <w:tc>
          <w:tcPr>
            <w:tcW w:type="dxa" w:w="1646"/>
          </w:tcPr>
          <w:p>
            <w:r>
              <w:rPr>
                <w:sz w:val="16"/>
              </w:rPr>
              <w:t>Medium: a buyer learns the firm's break-even and its cost of funds to the basis point.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Open</w:t>
            </w:r>
          </w:p>
        </w:tc>
        <w:tc>
          <w:tcPr>
            <w:tcW w:type="dxa" w:w="1646"/>
          </w:tcPr>
          <w:p>
            <w:r>
              <w:rPr>
                <w:b/>
                <w:sz w:val="16"/>
              </w:rPr>
              <w:t>The agent key reads status and alerts through chat (audit S9).</w:t>
            </w:r>
            <w:r>
              <w:rPr>
                <w:sz w:val="16"/>
              </w:rPr>
              <w:t xml:space="preserve"> A caller with only the agent key gets cash, floor and headroom in the chat status reply, although the read routes need the owner token (NL-AC05, NL-CS10, NL-CS16 and NL-CS31 record 7 to 21 protected labels in agent-key replies).</w:t>
            </w:r>
          </w:p>
        </w:tc>
        <w:tc>
          <w:tcPr>
            <w:tcW w:type="dxa" w:w="1646"/>
          </w:tcPr>
          <w:p>
            <w:r>
              <w:rPr>
                <w:sz w:val="16"/>
              </w:rPr>
              <w:t>Medium to low: the agent key already acts inside the mandate; it can learn the state it works in.</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explain and what-if replies.</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Medium: an attacker with write access to the store could rewrite history undetected by the chain alone.</w:t>
            </w:r>
          </w:p>
        </w:tc>
        <w:tc>
          <w:tcPr>
            <w:tcW w:type="dxa" w:w="1646"/>
          </w:tcPr>
          <w:p>
            <w:r>
              <w:rPr>
                <w:sz w:val="16"/>
              </w:rPr>
              <w:t>Database triggers refuse UPDATE and DELETE; the exported evidence can be re-verified and compared with a copy kept elsewhere.</w:t>
            </w:r>
          </w:p>
        </w:tc>
        <w:tc>
          <w:tcPr>
            <w:tcW w:type="dxa" w:w="1646"/>
          </w:tcPr>
          <w:p>
            <w:r>
              <w:rPr>
                <w:sz w:val="16"/>
              </w:rPr>
              <w:t>Sign the head and the entry count with the owner key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a multi-leg plan is not one transaction (R02: a later leg can be refused after an earlier one ran; the reply says so); a bank receipt is identified by its idempotency key only, so the same event under a new key would settle twice (R03); unauthenticated buyer messages and offer intake grow tables without a cap (R04, R05); commitments made active before ADR-0009 in a persistent store carry no adjustments (R07); several API workers have a process-local lock and no state-version compare-and-swap (MW1, U-002).</w:t>
            </w:r>
          </w:p>
        </w:tc>
        <w:tc>
          <w:tcPr>
            <w:tcW w:type="dxa" w:w="1646"/>
          </w:tcPr>
          <w:p>
            <w:r>
              <w:rPr>
                <w:sz w:val="16"/>
              </w:rPr>
              <w:t>Low to medium; none moves money outside the mandate and admission.</w:t>
            </w:r>
          </w:p>
        </w:tc>
        <w:tc>
          <w:tcPr>
            <w:tcW w:type="dxa" w:w="1646"/>
          </w:tcPr>
          <w:p>
            <w:r>
              <w:rPr>
                <w:sz w:val="16"/>
              </w:rPr>
              <w:t>Deploy one worker; admission, the circuit breaker and the idempotency rules hold per process.</w:t>
            </w:r>
          </w:p>
        </w:tc>
        <w:tc>
          <w:tcPr>
            <w:tcW w:type="dxa" w:w="1646"/>
          </w:tcPr>
          <w:p>
            <w:r>
              <w:rPr>
                <w:sz w:val="16"/>
              </w:rPr>
              <w:t>The rows named, in the order of the backlog.</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