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FINANCING AGREEMENT</w:t>
      </w:r>
    </w:p>
    <w:p>
      <w:r>
        <w:t>Agreement No. GBR-IF-2026-118</w:t>
      </w:r>
    </w:p>
    <w:p>
      <w:r>
        <w:t>Synthetic demonstration document, written to match the TermsLedger demo scenario. It is not a real agreement and binds no one.</w:t>
      </w:r>
    </w:p>
    <w:p>
      <w:r>
        <w:t>This Agreement is made on 28 August 2026 between Greater Bay Receivables Finance Co., Ltd. (the "Financier") and Lingnan Homeware Manufacturing Co., Ltd. (the "Client").</w:t>
      </w:r>
    </w:p>
    <w:p>
      <w:pPr>
        <w:pStyle w:val="Heading2"/>
      </w:pPr>
      <w:r>
        <w:t>1. THE FACILITY</w:t>
      </w:r>
    </w:p>
    <w:p>
      <w:r>
        <w:t>1.1 The Financier provides the Client with an invoice financing facility with a facility limit of RMB 350,000.</w:t>
      </w:r>
    </w:p>
    <w:p>
      <w:r>
        <w:t>1.2 Advance rate: the Financier advances 80% of the face amount of each eligible invoice.</w:t>
      </w:r>
    </w:p>
    <w:p>
      <w:r>
        <w:t>1.3 An invoice is eligible if it is issued to a buyer approved by the Financier, confirmed by that buyer and not overdue.</w:t>
      </w:r>
    </w:p>
    <w:p>
      <w:pPr>
        <w:pStyle w:val="Heading2"/>
      </w:pPr>
      <w:r>
        <w:t>2. DISBURSEMENT</w:t>
      </w:r>
    </w:p>
    <w:p>
      <w:r>
        <w:t>2.1 Each advance is disbursed within three (3) days of an accepted financing request.</w:t>
      </w:r>
    </w:p>
    <w:p>
      <w:pPr>
        <w:pStyle w:val="Heading2"/>
      </w:pPr>
      <w:r>
        <w:t>3. CHARGES</w:t>
      </w:r>
    </w:p>
    <w:p>
      <w:r>
        <w:t>3.1 Interest: the interest rate is 7.8% per annum on the amount advanced.</w:t>
      </w:r>
    </w:p>
    <w:p>
      <w:r>
        <w:t>3.2 Service fee: a service fee of 0.25% of each advance is charged for each period of thirty (30) days, or part of such a period, for which the advance is outstanding.</w:t>
      </w:r>
    </w:p>
    <w:p>
      <w:pPr>
        <w:pStyle w:val="Heading2"/>
      </w:pPr>
      <w:r>
        <w:t>4. REPAYMENT</w:t>
      </w:r>
    </w:p>
    <w:p>
      <w:r>
        <w:t>4.1 Each advance is repaid from the buyer's payment of the financed invoice, which the Client shall direct to the collection account of the Financier.</w:t>
      </w:r>
    </w:p>
    <w:p>
      <w:pPr>
        <w:pStyle w:val="Heading2"/>
      </w:pPr>
      <w:r>
        <w:t>5. SECURITY</w:t>
      </w:r>
    </w:p>
    <w:p>
      <w:r>
        <w:t>5.1 No personal guarantee, collateral or pledge is required under this Agreement.</w:t>
      </w:r>
    </w:p>
    <w:p>
      <w:pPr>
        <w:pStyle w:val="Heading2"/>
      </w:pPr>
      <w:r>
        <w:t>6. GOVERNING LAW</w:t>
      </w:r>
    </w:p>
    <w:p>
      <w:r>
        <w:t>6.1 This Agreement is governed by the laws of the People's Republic of China.</w:t>
      </w:r>
    </w:p>
    <w:p>
      <w:r>
        <w:t>Signed for the Financier: Huang Jie, Head of Client Finance. Date: 28 August 2026.</w:t>
      </w:r>
    </w:p>
    <w:p>
      <w:r>
        <w:t>Signed for the Client: Chen Wei, Director. Date: 28 August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gbr-if-2026-118-invoice-financing-agreement</dc:title>
  <dc:subject/>
  <dc:creator>TermsLedger demo</dc:creator>
  <cp:keywords/>
  <dc:description>Synthetic demonstration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