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e134a9922ae52b89a4e3c6bf8c255538938ef17"/>
    <w:p>
      <w:pPr>
        <w:pStyle w:val="Heading1"/>
      </w:pPr>
      <w:r>
        <w:t xml:space="preserve">Chapter 6: Discussion and Bounded Contribution</w:t>
      </w:r>
    </w:p>
    <w:p>
      <w:pPr>
        <w:pStyle w:val="FirstParagraph"/>
      </w:pPr>
      <w:r>
        <w:t xml:space="preserve">Chapter objective: interpret the Chapter 5 evaluation evidence against the active research question and contribution claim, while keeping every conclusion bounded to explicit objective-linked evidence.</w:t>
      </w:r>
    </w:p>
    <w:bookmarkStart w:id="9" w:name="interpretation-frame"/>
    <w:p>
      <w:pPr>
        <w:pStyle w:val="Heading2"/>
      </w:pPr>
      <w:r>
        <w:t xml:space="preserve">6.1 Interpretation Frame</w:t>
      </w:r>
    </w:p>
    <w:p>
      <w:pPr>
        <w:pStyle w:val="FirstParagraph"/>
      </w:pPr>
      <w:r>
        <w:t xml:space="preserve">The rebuilt research question asks how a deterministic playlist-generation pipeline can be engineered and evaluated so that preference inference, candidate generation, and playlist assembly remain transparent, controllable, and reproducible under cross-source uncertainty and multi-objective playlist trade-offs.</w:t>
      </w:r>
    </w:p>
    <w:p>
      <w:pPr>
        <w:pStyle w:val="BodyText"/>
      </w:pPr>
      <w:r>
        <w:t xml:space="preserve">This discussion is anchored to the explicit design-option comparison in Chapter 3.3.1. The question here is therefore whether the selected deterministic staged option delivered the promised evidence quality under scope, not whether all other architecture families are inferior in general.</w:t>
      </w:r>
    </w:p>
    <w:p>
      <w:pPr>
        <w:pStyle w:val="BodyText"/>
      </w:pPr>
      <w:r>
        <w:t xml:space="preserve">Chapter 6 therefore interprets results through three lenses that follow directly from the rebuild posture:</w:t>
      </w:r>
    </w:p>
    <w:p>
      <w:pPr>
        <w:pStyle w:val="Compact"/>
        <w:numPr>
          <w:ilvl w:val="0"/>
          <w:numId w:val="1001"/>
        </w:numPr>
      </w:pPr>
      <w:r>
        <w:t xml:space="preserve">uncertainty handling,</w:t>
      </w:r>
    </w:p>
    <w:p>
      <w:pPr>
        <w:pStyle w:val="Compact"/>
        <w:numPr>
          <w:ilvl w:val="0"/>
          <w:numId w:val="1001"/>
        </w:numPr>
      </w:pPr>
      <w:r>
        <w:t xml:space="preserve">controllable trade-off engineering,</w:t>
      </w:r>
    </w:p>
    <w:p>
      <w:pPr>
        <w:pStyle w:val="Compact"/>
        <w:numPr>
          <w:ilvl w:val="0"/>
          <w:numId w:val="1001"/>
        </w:numPr>
      </w:pPr>
      <w:r>
        <w:t xml:space="preserve">mechanism-linked evidence quality.</w:t>
      </w:r>
    </w:p>
    <w:p>
      <w:pPr>
        <w:pStyle w:val="FirstParagraph"/>
      </w:pPr>
      <w:r>
        <w:t xml:space="preserve">This chapter is not a benchmark-positioning chapter. It does not argue that deterministic methods are universally preferable to hybrid, collaborative, or deep recommender families. Instead, it asks whether the implemented artefact now produces evidence strong enough to support the bounded engineering claim established in Chapters 1 to 3</w:t>
      </w:r>
      <w:r>
        <w:t xml:space="preserve"> </w:t>
      </w:r>
      <w:r>
        <w:t xml:space="preserve">[@jannach_measuring_2019; @bauer_exploring_2024; @ferrari_dacrema_troubling_2021]</w:t>
      </w:r>
      <w:r>
        <w:t xml:space="preserve">.</w:t>
      </w:r>
    </w:p>
    <w:bookmarkEnd w:id="9"/>
    <w:bookmarkStart w:id="15" w:name="X78c814cef4b580e1b6abf0dbf8766922e8e0e6a"/>
    <w:p>
      <w:pPr>
        <w:pStyle w:val="Heading2"/>
      </w:pPr>
      <w:r>
        <w:t xml:space="preserve">6.2 Findings in Relation to the Research Question</w:t>
      </w:r>
    </w:p>
    <w:p>
      <w:pPr>
        <w:pStyle w:val="FirstParagraph"/>
      </w:pPr>
      <w:r>
        <w:t xml:space="preserve">The current evidence supports five main findings.</w:t>
      </w:r>
    </w:p>
    <w:bookmarkStart w:id="10" w:name="Xd3f8b22fc0335f9a4d1424ec197bae21423211a"/>
    <w:p>
      <w:pPr>
        <w:pStyle w:val="Heading3"/>
      </w:pPr>
      <w:r>
        <w:t xml:space="preserve">6.2.1 Explicit uncertainty handling is a design requirement, not a reporting afterthought</w:t>
      </w:r>
    </w:p>
    <w:p>
      <w:pPr>
        <w:pStyle w:val="FirstParagraph"/>
      </w:pPr>
      <w:r>
        <w:t xml:space="preserve">The rebuild confirms that cross-source preference inference should not be treated as if imported interaction traces were direct preference truth. BL-003 and BL-004 now surface match confidence, source coverage, attribution, and uncertainty-related diagnostics directly in the active output contract. This supports the claim that uncertainty visibility must be engineered into the profiling path itself rather than inferred later from failures</w:t>
      </w:r>
      <w:r>
        <w:t xml:space="preserve"> </w:t>
      </w:r>
      <w:r>
        <w:t xml:space="preserve">[@allam_improved_2018; @papadakis_blocking_2021]</w:t>
      </w:r>
      <w:r>
        <w:t xml:space="preserve">.</w:t>
      </w:r>
    </w:p>
    <w:bookmarkEnd w:id="10"/>
    <w:bookmarkStart w:id="11" w:name="Xc8346fb7d8c67989ad7c491e3bac2c4efda958f"/>
    <w:p>
      <w:pPr>
        <w:pStyle w:val="Heading3"/>
      </w:pPr>
      <w:r>
        <w:t xml:space="preserve">6.2.2 Candidate generation is first-order recommendation logic</w:t>
      </w:r>
    </w:p>
    <w:p>
      <w:pPr>
        <w:pStyle w:val="FirstParagraph"/>
      </w:pPr>
      <w:r>
        <w:t xml:space="preserve">The rebuild also confirms a Chapter 2 tension that was muted in the legacy framing: candidate shaping is not neutral preprocessing. BL-005 exclusion-path diagnostics and tranche-1 gate checks show that the eventual ranking and playlist outputs are strongly conditioned by which candidates survive filtering. This means explanation and evaluation claims that focus only on final ranking would understate an important part of causal behavior.</w:t>
      </w:r>
    </w:p>
    <w:bookmarkEnd w:id="11"/>
    <w:bookmarkStart w:id="12" w:name="Xd55e79c306aa46e4992bc0d4e60fdfa1a10a52d"/>
    <w:p>
      <w:pPr>
        <w:pStyle w:val="Heading3"/>
      </w:pPr>
      <w:r>
        <w:t xml:space="preserve">6.2.3 Deterministic scoring and assembly remain valuable because they keep trade-offs inspectable</w:t>
      </w:r>
    </w:p>
    <w:p>
      <w:pPr>
        <w:pStyle w:val="FirstParagraph"/>
      </w:pPr>
      <w:r>
        <w:t xml:space="preserve">BL-006 and BL-007 continue to support a strong engineering argument for deterministic methods in this thesis scope: score components, rule pressure, and assembly constraints remain directly inspectable. That does not prove that deterministic methods maximize recommendation quality in every setting, but it does show that they provide a practical substrate for auditable trade-off control under bounded scope, where engineering transparency and auditability are primary design goals rather than performance optimality</w:t>
      </w:r>
      <w:r>
        <w:t xml:space="preserve"> </w:t>
      </w:r>
      <w:r>
        <w:t xml:space="preserve">[@roy_systematic_2022; @jannach_measuring_2019; @bonnin_automated_2015]</w:t>
      </w:r>
      <w:r>
        <w:t xml:space="preserve">.</w:t>
      </w:r>
    </w:p>
    <w:bookmarkEnd w:id="12"/>
    <w:bookmarkStart w:id="13" w:name="X7f37957eb53cd32b4d2fa363ac4e913ffaf68cd"/>
    <w:p>
      <w:pPr>
        <w:pStyle w:val="Heading3"/>
      </w:pPr>
      <w:r>
        <w:t xml:space="preserve">6.2.4 Explanation quality depends on mechanism linkage, not on narrative plausibility alone</w:t>
      </w:r>
    </w:p>
    <w:p>
      <w:pPr>
        <w:pStyle w:val="FirstParagraph"/>
      </w:pPr>
      <w:r>
        <w:t xml:space="preserve">The tranche-2 and tranche-3 evidence strengthens the discussion around transparency. BL-008 explanations are now more useful because they preserve both direct mechanism contributors and control-provenance snapshots. This matters because explanation fidelity in the thesis is treated as alignment with actual scoring and assembly behavior, not merely as the production of convincing natural-language rationale</w:t>
      </w:r>
      <w:r>
        <w:t xml:space="preserve"> </w:t>
      </w:r>
      <w:r>
        <w:t xml:space="preserve">[@zhang_explainable_2020; @tintarev_evaluating_2012; @sotirou_musiclime_2025]</w:t>
      </w:r>
      <w:r>
        <w:t xml:space="preserve">.</w:t>
      </w:r>
    </w:p>
    <w:bookmarkEnd w:id="13"/>
    <w:bookmarkStart w:id="14" w:name="X71e0baf281c9bf08e200396b9a6a0faf44a3260"/>
    <w:p>
      <w:pPr>
        <w:pStyle w:val="Heading3"/>
      </w:pPr>
      <w:r>
        <w:t xml:space="preserve">6.2.5 Bounded guidance becomes more credible when limits are part of the contract</w:t>
      </w:r>
    </w:p>
    <w:p>
      <w:pPr>
        <w:pStyle w:val="FirstParagraph"/>
      </w:pPr>
      <w:r>
        <w:t xml:space="preserve">The most important late-stage design improvement is that validity boundaries are now explicit, top-level, and test-enforced in BL-009. This changes the discussion posture: instead of adding caveats only in prose after evaluation, the artefact itself now emits scope, known limits, and run-specific caveats. That makes Chapter 6 conclusions more defensible because boundedness is operationalized rather than retrofitted</w:t>
      </w:r>
      <w:r>
        <w:t xml:space="preserve"> </w:t>
      </w:r>
      <w:r>
        <w:t xml:space="preserve">[@beel_towards_2016; @bellogin_improving_2021; @cavenaghi_systematic_2023]</w:t>
      </w:r>
      <w:r>
        <w:t xml:space="preserve">.</w:t>
      </w:r>
    </w:p>
    <w:bookmarkEnd w:id="14"/>
    <w:bookmarkEnd w:id="15"/>
    <w:bookmarkStart w:id="16" w:name="contribution-interpretation"/>
    <w:p>
      <w:pPr>
        <w:pStyle w:val="Heading2"/>
      </w:pPr>
      <w:r>
        <w:t xml:space="preserve">6.3 Contribution Interpretation</w:t>
      </w:r>
    </w:p>
    <w:p>
      <w:pPr>
        <w:pStyle w:val="FirstParagraph"/>
      </w:pPr>
      <w:r>
        <w:t xml:space="preserve">The contribution is best understood as an engineering-evidence contribution rather than a model-performance contribution.</w:t>
      </w:r>
    </w:p>
    <w:p>
      <w:pPr>
        <w:pStyle w:val="BodyText"/>
      </w:pPr>
      <w:r>
        <w:t xml:space="preserve">What the thesis now demonstrates is not that one deterministic playlist pipeline is universally best, but that it is possible to co-engineer:</w:t>
      </w:r>
    </w:p>
    <w:p>
      <w:pPr>
        <w:pStyle w:val="Compact"/>
        <w:numPr>
          <w:ilvl w:val="0"/>
          <w:numId w:val="1002"/>
        </w:numPr>
      </w:pPr>
      <w:r>
        <w:t xml:space="preserve">explicit uncertainty signaling during preference inference,</w:t>
      </w:r>
    </w:p>
    <w:p>
      <w:pPr>
        <w:pStyle w:val="Compact"/>
        <w:numPr>
          <w:ilvl w:val="0"/>
          <w:numId w:val="1002"/>
        </w:numPr>
      </w:pPr>
      <w:r>
        <w:t xml:space="preserve">controllable candidate and assembly trade-offs,</w:t>
      </w:r>
    </w:p>
    <w:p>
      <w:pPr>
        <w:pStyle w:val="Compact"/>
        <w:numPr>
          <w:ilvl w:val="0"/>
          <w:numId w:val="1002"/>
        </w:numPr>
      </w:pPr>
      <w:r>
        <w:t xml:space="preserve">mechanism-linked explanations,</w:t>
      </w:r>
    </w:p>
    <w:p>
      <w:pPr>
        <w:pStyle w:val="Compact"/>
        <w:numPr>
          <w:ilvl w:val="0"/>
          <w:numId w:val="1002"/>
        </w:numPr>
      </w:pPr>
      <w:r>
        <w:t xml:space="preserve">executable reproducibility and controllability evidence,</w:t>
      </w:r>
    </w:p>
    <w:p>
      <w:pPr>
        <w:pStyle w:val="Compact"/>
        <w:numPr>
          <w:ilvl w:val="0"/>
          <w:numId w:val="1002"/>
        </w:numPr>
      </w:pPr>
      <w:r>
        <w:t xml:space="preserve">explicit validity-boundary reporting.</w:t>
      </w:r>
    </w:p>
    <w:p>
      <w:pPr>
        <w:pStyle w:val="FirstParagraph"/>
      </w:pPr>
      <w:r>
        <w:t xml:space="preserve">Taken together, these give the thesis a clearer and more defensible contribution than the earlier pre-rebuild framing, which concentrated more on generic transparency/observability language than on explicit objective-to-evidence traceability</w:t>
      </w:r>
      <w:r>
        <w:t xml:space="preserve"> </w:t>
      </w:r>
      <w:r>
        <w:t xml:space="preserve">[@balog_transparent_2019; @knijnenburg_explaining_2012; @afroogh_trust_2024]</w:t>
      </w:r>
      <w:r>
        <w:t xml:space="preserve">.</w:t>
      </w:r>
    </w:p>
    <w:p>
      <w:pPr>
        <w:pStyle w:val="BodyText"/>
      </w:pPr>
      <w:r>
        <w:t xml:space="preserve">Relative to the option space defined in Section 3.3.1, the current evidence supports the selected deterministic path because it yields the strongest mechanism-level traceability within this thesis boundary. This should be interpreted as a bounded design-fit result under current objectives and constraints, not as a cross-regime performance verdict against hybrid or neural alternatives.</w:t>
      </w:r>
    </w:p>
    <w:bookmarkEnd w:id="16"/>
    <w:bookmarkStart w:id="17" w:name="limits-of-the-current-evidence"/>
    <w:p>
      <w:pPr>
        <w:pStyle w:val="Heading2"/>
      </w:pPr>
      <w:r>
        <w:t xml:space="preserve">6.4 Limits of the Current Evidence</w:t>
      </w:r>
    </w:p>
    <w:p>
      <w:pPr>
        <w:pStyle w:val="FirstParagraph"/>
      </w:pPr>
      <w:r>
        <w:t xml:space="preserve">The current evidence still has important limits.</w:t>
      </w:r>
    </w:p>
    <w:p>
      <w:pPr>
        <w:pStyle w:val="Compact"/>
        <w:numPr>
          <w:ilvl w:val="0"/>
          <w:numId w:val="1003"/>
        </w:numPr>
      </w:pPr>
      <w:r>
        <w:t xml:space="preserve">Cross-source preference traces remain indirect evidence of user preference rather than causal ground truth.</w:t>
      </w:r>
    </w:p>
    <w:p>
      <w:pPr>
        <w:pStyle w:val="Compact"/>
        <w:numPr>
          <w:ilvl w:val="0"/>
          <w:numId w:val="1003"/>
        </w:numPr>
      </w:pPr>
      <w:r>
        <w:t xml:space="preserve">Alignment uncertainty remains material; in the canonical active baseline, only 15.95% of imported Spotify history aligns to the offline corpus, so profile-level claims remain bounded to the matched subset rather than the full listening history.</w:t>
      </w:r>
    </w:p>
    <w:p>
      <w:pPr>
        <w:pStyle w:val="Compact"/>
        <w:numPr>
          <w:ilvl w:val="0"/>
          <w:numId w:val="1003"/>
        </w:numPr>
      </w:pPr>
      <w:r>
        <w:t xml:space="preserve">Some control surfaces remain weak or data-regime-dependent, as shown by BL-011 no-op diagnostics.</w:t>
      </w:r>
    </w:p>
    <w:p>
      <w:pPr>
        <w:pStyle w:val="Compact"/>
        <w:numPr>
          <w:ilvl w:val="0"/>
          <w:numId w:val="1003"/>
        </w:numPr>
      </w:pPr>
      <w:r>
        <w:t xml:space="preserve">Reproducibility claims are contract-bounded to artifact-level stable-hash consistency under declared fixed inputs, replay procedures, and a pinned configuration snapshot. They do not extend to cross-environment behavioral invariance, output identity under different run configurations, or environmental runtime invariance beyond the fixed-input and configuration window used in replay.</w:t>
      </w:r>
    </w:p>
    <w:p>
      <w:pPr>
        <w:pStyle w:val="Compact"/>
        <w:numPr>
          <w:ilvl w:val="0"/>
          <w:numId w:val="1003"/>
        </w:numPr>
      </w:pPr>
      <w:r>
        <w:t xml:space="preserve">External validity remains narrow because the artefact is single-user, deterministic, and not evaluated through longitudinal user studies.</w:t>
      </w:r>
    </w:p>
    <w:p>
      <w:pPr>
        <w:pStyle w:val="Compact"/>
        <w:numPr>
          <w:ilvl w:val="0"/>
          <w:numId w:val="1003"/>
        </w:numPr>
      </w:pPr>
      <w:r>
        <w:t xml:space="preserve">Comparator depth remains bounded. No algorithmic baseline (e.g. popularity rank, BPM-sorted random, or collaborative-filter rerank) was implemented alongside the main artefact. This exclusion is justified on three grounds. First, the thesis is positioned as Design Science Research, where the primary evaluation obligation is demonstrating that the artefact satisfies its own design objectives — not that it outperforms an arbitrary comparator on an offline metric</w:t>
      </w:r>
      <w:r>
        <w:t xml:space="preserve"> </w:t>
      </w:r>
      <w:r>
        <w:t xml:space="preserve">[@hevner_design_2004]</w:t>
      </w:r>
      <w:r>
        <w:t xml:space="preserve">. Second, a fair algorithmic comparator would require shared offline evaluation data (playback logs with known preference outcomes) that are unavailable in the single-user Music4All + Spotify-export corpus used here; any comparator run on this corpus would produce noise, not signal. Third, the controllability and transparency objectives (RQ-B, RQ-C) have no natural mapping to a comparable baseline — popularity rank carries no influence model, and a BPM-sorted baseline has no explanation surface. The design scope and the data constraints jointly make a comparator study out of scope for the current contribution. Future work should introduce comparators only if a suitable multi-user evaluation corpus becomes available and if the comparator implements an equivalent transparency and controllability interface</w:t>
      </w:r>
      <w:r>
        <w:t xml:space="preserve"> </w:t>
      </w:r>
      <w:r>
        <w:t xml:space="preserve">[@flexer_problem_2016]</w:t>
      </w:r>
      <w:r>
        <w:t xml:space="preserve">.</w:t>
      </w:r>
    </w:p>
    <w:p>
      <w:pPr>
        <w:pStyle w:val="FirstParagraph"/>
      </w:pPr>
      <w:r>
        <w:t xml:space="preserve">These limits do not collapse the contribution. They bound it to auditable engineering evidence under explicit scope rather than broad recommender-performance claims</w:t>
      </w:r>
      <w:r>
        <w:t xml:space="preserve"> </w:t>
      </w:r>
      <w:r>
        <w:t xml:space="preserve">[@flexer_problem_2016; @papadakis_blocking_2021; @jin_effects_2020]</w:t>
      </w:r>
      <w:r>
        <w:t xml:space="preserve">.</w:t>
      </w:r>
    </w:p>
    <w:bookmarkEnd w:id="17"/>
    <w:bookmarkStart w:id="18" w:name="X1307eac3dc3f5f4f58ffbf72f36fda6bd07acc9"/>
    <w:p>
      <w:pPr>
        <w:pStyle w:val="Heading2"/>
      </w:pPr>
      <w:r>
        <w:t xml:space="preserve">6.5 Implications for Design Science Positioning</w:t>
      </w:r>
    </w:p>
    <w:p>
      <w:pPr>
        <w:pStyle w:val="FirstParagraph"/>
      </w:pPr>
      <w:r>
        <w:t xml:space="preserve">The rebuild also sharpens the methodological interpretation of the artefact. In Design Science terms, the value of the artefact lies not only in producing playlists, but in making design claims testable through explicit control and evidence contracts. The REB-M3 tranche gates are especially important here because they turn objective satisfaction into executable acceptance checks instead of relying only on narrative consistency across chapters.</w:t>
      </w:r>
    </w:p>
    <w:p>
      <w:pPr>
        <w:pStyle w:val="BodyText"/>
      </w:pPr>
      <w:r>
        <w:t xml:space="preserve">This is a stronger DSR posture than the legacy chapter framing because it narrows the gap between design intent, implemented control surface, and reported evidence</w:t>
      </w:r>
      <w:r>
        <w:t xml:space="preserve"> </w:t>
      </w:r>
      <w:r>
        <w:t xml:space="preserve">[@anelli_elliot_2021; @zhu_bars_2022]</w:t>
      </w:r>
      <w:r>
        <w:t xml:space="preserve">.</w:t>
      </w:r>
    </w:p>
    <w:bookmarkEnd w:id="18"/>
    <w:bookmarkStart w:id="19" w:name="future-work"/>
    <w:p>
      <w:pPr>
        <w:pStyle w:val="Heading2"/>
      </w:pPr>
      <w:r>
        <w:t xml:space="preserve">6.6 Future Work</w:t>
      </w:r>
    </w:p>
    <w:p>
      <w:pPr>
        <w:pStyle w:val="FirstParagraph"/>
      </w:pPr>
      <w:r>
        <w:t xml:space="preserve">Future work should extend the artefact without breaking the evidence discipline established in the rebuild.</w:t>
      </w:r>
    </w:p>
    <w:p>
      <w:pPr>
        <w:pStyle w:val="Compact"/>
        <w:numPr>
          <w:ilvl w:val="0"/>
          <w:numId w:val="1004"/>
        </w:numPr>
      </w:pPr>
      <w:r>
        <w:t xml:space="preserve">Deepen control-effect analysis by moving from one-factor-at-a-time tests to interaction-aware control studies.</w:t>
      </w:r>
    </w:p>
    <w:p>
      <w:pPr>
        <w:pStyle w:val="Compact"/>
        <w:numPr>
          <w:ilvl w:val="0"/>
          <w:numId w:val="1004"/>
        </w:numPr>
      </w:pPr>
      <w:r>
        <w:t xml:space="preserve">Resolve open influence-track design questions, especially whether explicit user intent should override assembly constraints and how weak influence effects should be reported.</w:t>
      </w:r>
    </w:p>
    <w:p>
      <w:pPr>
        <w:pStyle w:val="Compact"/>
        <w:numPr>
          <w:ilvl w:val="0"/>
          <w:numId w:val="1004"/>
        </w:numPr>
      </w:pPr>
      <w:r>
        <w:t xml:space="preserve">Add comparator pipelines only when they can be evaluated under the same objective-to-evidence discipline rather than as loosely matched benchmark context.</w:t>
      </w:r>
    </w:p>
    <w:p>
      <w:pPr>
        <w:pStyle w:val="Compact"/>
        <w:numPr>
          <w:ilvl w:val="0"/>
          <w:numId w:val="1004"/>
        </w:numPr>
      </w:pPr>
      <w:r>
        <w:t xml:space="preserve">Strengthen alignment evaluation with dedicated ambiguity and error-analysis studies instead of relying only on aggregate unmatched-rate reporting.</w:t>
      </w:r>
    </w:p>
    <w:p>
      <w:pPr>
        <w:pStyle w:val="Compact"/>
        <w:numPr>
          <w:ilvl w:val="0"/>
          <w:numId w:val="1004"/>
        </w:numPr>
      </w:pPr>
      <w:r>
        <w:t xml:space="preserve">Extend bounded-guidance outputs so Chapter 6 conclusions can reference richer failure-mode taxonomies generated directly from the artefact</w:t>
      </w:r>
      <w:r>
        <w:t xml:space="preserve"> </w:t>
      </w:r>
      <w:r>
        <w:t xml:space="preserve">[@andjelkovic_moodplay_2019; @liu_aggregating_2025]</w:t>
      </w:r>
      <w:r>
        <w:t xml:space="preserve">.</w:t>
      </w:r>
    </w:p>
    <w:bookmarkEnd w:id="19"/>
    <w:bookmarkStart w:id="20" w:name="chapter-summary"/>
    <w:p>
      <w:pPr>
        <w:pStyle w:val="Heading2"/>
      </w:pPr>
      <w:r>
        <w:t xml:space="preserve">6.7 Chapter Summary</w:t>
      </w:r>
    </w:p>
    <w:p>
      <w:pPr>
        <w:pStyle w:val="FirstParagraph"/>
      </w:pPr>
      <w:r>
        <w:t xml:space="preserve">The rebuilt evidence suggests that the central engineering challenge is not simply to generate playlists deterministically, but to do so in a way that keeps uncertainty, trade-offs, mechanism linkage, and limits visible. The artefact now provides stronger support for that bounded claim than the pre-rebuild pipeline did, because its evaluation surfaces are more explicit, more executable, and more disciplined about what the evidence does and does not justify.</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2026-04-21T17:29:15Z</dcterms:created>
  <dcterms:modified xsi:type="dcterms:W3CDTF">2026-04-21T17:29:15Z</dcterms:modified>
</cp:coreProperties>
</file>

<file path=docProps/custom.xml><?xml version="1.0" encoding="utf-8"?>
<Properties xmlns="http://schemas.openxmlformats.org/officeDocument/2006/custom-properties" xmlns:vt="http://schemas.openxmlformats.org/officeDocument/2006/docPropsVTypes"/>
</file>