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hapter-5-evaluation-and-results"/>
    <w:p>
      <w:pPr>
        <w:pStyle w:val="Heading1"/>
      </w:pPr>
      <w:r>
        <w:t xml:space="preserve">Chapter 5: Evaluation and Results</w:t>
      </w:r>
    </w:p>
    <w:bookmarkStart w:id="9" w:name="chapter-aim-and-scope"/>
    <w:p>
      <w:pPr>
        <w:pStyle w:val="Heading2"/>
      </w:pPr>
      <w:r>
        <w:t xml:space="preserve">5.1 Chapter Aim and Scope</w:t>
      </w:r>
    </w:p>
    <w:p>
      <w:pPr>
        <w:pStyle w:val="FirstParagraph"/>
      </w:pPr>
      <w:r>
        <w:t xml:space="preserve">This chapter evaluates the implementation evidence surfaces defined in Chapter 4 against the objective-to-control-to-evidence contract formalized in Chapter 3. It is not a benchmark-comparison chapter. Instead, it assesses whether the deterministic pipeline satisfies pre-specified objective-linked criteria under bounded scope</w:t>
      </w:r>
      <w:r>
        <w:t xml:space="preserve"> </w:t>
      </w:r>
      <w:r>
        <w:t xml:space="preserve">[@jannach_measuring_2019; @bauer_exploring_2024; @anelli_elliot_2021]</w:t>
      </w:r>
      <w:r>
        <w:t xml:space="preserve">.</w:t>
      </w:r>
    </w:p>
    <w:p>
      <w:pPr>
        <w:pStyle w:val="BodyText"/>
      </w:pPr>
      <w:r>
        <w:t xml:space="preserve">The chapter remains bounded to the single-user, offline-corpus, deterministic execution posture. Claims are therefore restricted to auditable engineering behavior under this scope, not broad recommender-family superiority.</w:t>
      </w:r>
    </w:p>
    <w:p>
      <w:pPr>
        <w:pStyle w:val="BodyText"/>
      </w:pPr>
      <w:r>
        <w:t xml:space="preserve">The evaluation questions remain:</w:t>
      </w:r>
    </w:p>
    <w:p>
      <w:pPr>
        <w:pStyle w:val="Compact"/>
        <w:numPr>
          <w:ilvl w:val="0"/>
          <w:numId w:val="1001"/>
        </w:numPr>
      </w:pPr>
      <w:r>
        <w:t xml:space="preserve">Does the pipeline make cross-source uncertainty explicit and inspectable?</w:t>
      </w:r>
    </w:p>
    <w:p>
      <w:pPr>
        <w:pStyle w:val="Compact"/>
        <w:numPr>
          <w:ilvl w:val="0"/>
          <w:numId w:val="1001"/>
        </w:numPr>
      </w:pPr>
      <w:r>
        <w:t xml:space="preserve">Do alignment and candidate shaping expose confidence and exclusion pathways?</w:t>
      </w:r>
    </w:p>
    <w:p>
      <w:pPr>
        <w:pStyle w:val="Compact"/>
        <w:numPr>
          <w:ilvl w:val="0"/>
          <w:numId w:val="1001"/>
        </w:numPr>
      </w:pPr>
      <w:r>
        <w:t xml:space="preserve">Are scoring and assembly trade-offs explicitly controllable?</w:t>
      </w:r>
    </w:p>
    <w:p>
      <w:pPr>
        <w:pStyle w:val="Compact"/>
        <w:numPr>
          <w:ilvl w:val="0"/>
          <w:numId w:val="1001"/>
        </w:numPr>
      </w:pPr>
      <w:r>
        <w:t xml:space="preserve">Do explanation payloads remain structurally mechanism-linked?</w:t>
      </w:r>
    </w:p>
    <w:p>
      <w:pPr>
        <w:pStyle w:val="Compact"/>
        <w:numPr>
          <w:ilvl w:val="0"/>
          <w:numId w:val="1001"/>
        </w:numPr>
      </w:pPr>
      <w:r>
        <w:t xml:space="preserve">Is reproducibility and controllability evidence executable and auditable?</w:t>
      </w:r>
    </w:p>
    <w:p>
      <w:pPr>
        <w:pStyle w:val="Compact"/>
        <w:numPr>
          <w:ilvl w:val="0"/>
          <w:numId w:val="1001"/>
        </w:numPr>
      </w:pPr>
      <w:r>
        <w:t xml:space="preserve">Are validity boundaries and non-claims explicit enough for bounded guidance?</w:t>
      </w:r>
    </w:p>
    <w:bookmarkEnd w:id="9"/>
    <w:bookmarkStart w:id="10" w:name="evaluation-method-and-locked-criteria"/>
    <w:p>
      <w:pPr>
        <w:pStyle w:val="Heading2"/>
      </w:pPr>
      <w:r>
        <w:t xml:space="preserve">5.2 Evaluation Method and Locked Criteria</w:t>
      </w:r>
    </w:p>
    <w:p>
      <w:pPr>
        <w:pStyle w:val="FirstParagraph"/>
      </w:pPr>
      <w:r>
        <w:t xml:space="preserve">Evaluation follows an objective-linked method rather than metric-first ranking. Criteria are pre-specified before extraction to reduce post-hoc interpretation drift.</w:t>
      </w:r>
    </w:p>
    <w:p>
      <w:pPr>
        <w:pStyle w:val="BodyText"/>
      </w:pPr>
      <w:r>
        <w:t xml:space="preserve">Locked constants:</w:t>
      </w:r>
    </w:p>
    <w:p>
      <w:pPr>
        <w:pStyle w:val="Compact"/>
        <w:numPr>
          <w:ilvl w:val="0"/>
          <w:numId w:val="1002"/>
        </w:numPr>
      </w:pPr>
      <w:r>
        <w:t xml:space="preserve">O1 missingness threshold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O5 reproducibility replay count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fixed-config replays.</w:t>
      </w:r>
    </w:p>
    <w:p>
      <w:pPr>
        <w:pStyle w:val="Compact"/>
        <w:numPr>
          <w:ilvl w:val="0"/>
          <w:numId w:val="1002"/>
        </w:numPr>
      </w:pPr>
      <w:r>
        <w:t xml:space="preserve">O4 structural-fidelity sample: 30 tracks (10 selected, 10 rejected, 10 boundary-ranked).</w:t>
      </w:r>
    </w:p>
    <w:p>
      <w:pPr>
        <w:pStyle w:val="Compact"/>
        <w:numPr>
          <w:ilvl w:val="0"/>
          <w:numId w:val="1002"/>
        </w:numPr>
      </w:pPr>
      <w:r>
        <w:t xml:space="preserve">O4 percentile tolerance: absolute difference &lt;= 1.0 percentile point versus BL-006 source value.</w:t>
      </w:r>
    </w:p>
    <w:p>
      <w:pPr>
        <w:pStyle w:val="Compact"/>
        <w:numPr>
          <w:ilvl w:val="0"/>
          <w:numId w:val="1002"/>
        </w:numPr>
      </w:pPr>
      <w:r>
        <w:t xml:space="preserve">O5 measurable-delta rule: at least one downstream shift threshold met per tested variation (candidate-set &gt;= 1.0% of baseline or &gt;= 3 tracks, score-summary shift &gt;= 0.01, or playlist composition change &gt;= 1 track).</w:t>
      </w:r>
    </w:p>
    <w:p>
      <w:pPr>
        <w:pStyle w:val="FirstParagraph"/>
      </w:pPr>
      <w:r>
        <w:t xml:space="preserve">Table 5.1 defines active acceptance conditions.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Acceptance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BL-004 includes uncertainty markers for features above missingness threshold, with attribution tracking and confidence-stratified visibility.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BL-003 exceeds minimum match-rate threshold and exposes unmatched reasons; BL-005 exposes separated exclusion pathways.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BL-006 exposes decomposed component scoring and active weights; BL-007 exposes rule activations/relaxations with reasoned diagnostics.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BL-008 required fields (</w:t>
            </w:r>
            <w:r>
              <w:rPr>
                <w:rStyle w:val="VerbatimChar"/>
              </w:rPr>
              <w:t xml:space="preserve">score_percentile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score_band</w:t>
            </w:r>
            <w:r>
              <w:t xml:space="preserve">, attribution, rule effects, confidence marker) are structurally present and consistent against BL-006/BL-007 in the fixed sample.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BL-010 reports deterministic replay consistency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replays; BL-011 reports measurable controllability deltas under the locked threshold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BL-009 includes explicit non-claims and validity boundaries; BL-007 auditable case holds: relaxation evidence when triggered, or explicit no-relaxation confirmation when not triggered.</w:t>
            </w:r>
          </w:p>
        </w:tc>
      </w:tr>
    </w:tbl>
    <w:bookmarkEnd w:id="10"/>
    <w:bookmarkStart w:id="12" w:name="X93a43702e5c29286c16c10e50d869ddd0723220"/>
    <w:p>
      <w:pPr>
        <w:pStyle w:val="Heading2"/>
      </w:pPr>
      <w:r>
        <w:t xml:space="preserve">5.3 O5 Evidence First: Reproducibility and Controllability</w:t>
      </w:r>
    </w:p>
    <w:p>
      <w:pPr>
        <w:pStyle w:val="FirstParagraph"/>
      </w:pPr>
      <w:r>
        <w:t xml:space="preserve">Following the credibility-first ordering, O5 is assessed before interpretation-sensitive objectives.</w:t>
      </w:r>
    </w:p>
    <w:p>
      <w:pPr>
        <w:pStyle w:val="BodyText"/>
      </w:pPr>
      <w:r>
        <w:t xml:space="preserve">BL-010 reproducibility evidence confirms deterministic replay consistency under fixed inputs/configuration. The current authority report (</w:t>
      </w:r>
      <w:r>
        <w:rPr>
          <w:rStyle w:val="VerbatimChar"/>
        </w:rPr>
        <w:t xml:space="preserve">run_id=BL010-REPRO-20260419-214941</w:t>
      </w:r>
      <w:r>
        <w:t xml:space="preserve">) records</w:t>
      </w:r>
      <w:r>
        <w:t xml:space="preserve"> </w:t>
      </w:r>
      <w:r>
        <w:rPr>
          <w:rStyle w:val="VerbatimChar"/>
        </w:rPr>
        <w:t xml:space="preserve">replay_count=3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results.deterministic_match=true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results.status=pass</w:t>
      </w:r>
      <w:r>
        <w:t xml:space="preserve">, with stable-hash reference values present across all tracked stage artifacts.</w:t>
      </w:r>
    </w:p>
    <w:p>
      <w:pPr>
        <w:pStyle w:val="BodyText"/>
      </w:pPr>
      <w:r>
        <w:t xml:space="preserve">BL-011 controllability evidence is evaluated through an explicit decision gate:</w:t>
      </w:r>
    </w:p>
    <w:p>
      <w:pPr>
        <w:pStyle w:val="Compact"/>
        <w:numPr>
          <w:ilvl w:val="0"/>
          <w:numId w:val="1003"/>
        </w:numPr>
      </w:pPr>
      <w:r>
        <w:t xml:space="preserve">PASS: all tested scenarios meet at least one locked measurable-delta threshold.</w:t>
      </w:r>
    </w:p>
    <w:p>
      <w:pPr>
        <w:pStyle w:val="Compact"/>
        <w:numPr>
          <w:ilvl w:val="0"/>
          <w:numId w:val="1003"/>
        </w:numPr>
      </w:pPr>
      <w:r>
        <w:t xml:space="preserve">PARTIAL: after one mandatory rerun attempt, only a subset of scenarios meets thresholds.</w:t>
      </w:r>
    </w:p>
    <w:p>
      <w:pPr>
        <w:pStyle w:val="Compact"/>
        <w:numPr>
          <w:ilvl w:val="0"/>
          <w:numId w:val="1003"/>
        </w:numPr>
      </w:pPr>
      <w:r>
        <w:t xml:space="preserve">FAIL: no tested scenarios meet thresholds.</w:t>
      </w:r>
    </w:p>
    <w:p>
      <w:pPr>
        <w:pStyle w:val="FirstParagraph"/>
      </w:pPr>
      <w:r>
        <w:t xml:space="preserve">Using the refreshed BL-011 authority (</w:t>
      </w:r>
      <w:r>
        <w:rPr>
          <w:rStyle w:val="VerbatimChar"/>
        </w:rPr>
        <w:t xml:space="preserve">run_id=BL011-CTRL-20260427-174210</w:t>
      </w:r>
      <w:r>
        <w:t xml:space="preserve">), the controllability gate resolves to FAIL:</w:t>
      </w:r>
      <w:r>
        <w:t xml:space="preserve"> </w:t>
      </w:r>
      <w:r>
        <w:rPr>
          <w:rStyle w:val="VerbatimChar"/>
        </w:rPr>
        <w:t xml:space="preserve">0/7</w:t>
      </w:r>
      <w:r>
        <w:t xml:space="preserve"> </w:t>
      </w:r>
      <w:r>
        <w:t xml:space="preserve">non-baseline scenarios met the locked minimum-delta condition (candidate-pool shift, score-summary shift, or playlist composition change). This is consistent with the report-level summary (</w:t>
      </w:r>
      <w:r>
        <w:rPr>
          <w:rStyle w:val="VerbatimChar"/>
        </w:rPr>
        <w:t xml:space="preserve">results.status="bounded-risk"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all_variant_shifts_observable=false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no_op_controls_count=4</w:t>
      </w:r>
      <w:r>
        <w:t xml:space="preserve">).</w:t>
      </w:r>
    </w:p>
    <w:p>
      <w:pPr>
        <w:pStyle w:val="BodyText"/>
      </w:pPr>
      <w:r>
        <w:t xml:space="preserve">Table 5.2 summarizes O5 execution authorities.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Active evidence</w:t>
            </w:r>
          </w:p>
        </w:tc>
        <w:tc>
          <w:tcPr/>
          <w:p>
            <w:pPr>
              <w:pStyle w:val="Compact"/>
            </w:pPr>
            <w:r>
              <w:t xml:space="preserve">Current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Validate-only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BL013-ENTRYPOINT-20260418-035540-208118</w:t>
            </w:r>
          </w:p>
        </w:tc>
        <w:tc>
          <w:tcPr/>
          <w:p>
            <w:pPr>
              <w:pStyle w:val="Compact"/>
            </w:pPr>
            <w:r>
              <w:t xml:space="preserve">Pass, pipeline contract completes end-to-end.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BL014-SANITY-20260418-035641-651065</w:t>
            </w:r>
          </w:p>
        </w:tc>
        <w:tc>
          <w:tcPr/>
          <w:p>
            <w:pPr>
              <w:pStyle w:val="Compact"/>
            </w:pPr>
            <w:r>
              <w:t xml:space="preserve">Pass (36/36), stage contracts internally coherent.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07_implementation/src/reproducibility/outputs/reproducibility_report.json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BL010-REPRO-20260419-214941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(</w:t>
            </w:r>
            <w:r>
              <w:rPr>
                <w:rStyle w:val="VerbatimChar"/>
              </w:rPr>
              <w:t xml:space="preserve">deterministic_match=true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replay_count=3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Controllability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07_implementation/src/controllability/outputs/controllability_report.json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BL011-CTRL-20260427-174210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satisfied under locked gate (</w:t>
            </w:r>
            <w:r>
              <w:rPr>
                <w:rStyle w:val="VerbatimChar"/>
              </w:rPr>
              <w:t xml:space="preserve">0/7</w:t>
            </w:r>
            <w:r>
              <w:t xml:space="preserve"> </w:t>
            </w:r>
            <w:r>
              <w:t xml:space="preserve">scenarios reached minimum-delta criteria; report status</w:t>
            </w:r>
            <w:r>
              <w:t xml:space="preserve"> </w:t>
            </w:r>
            <w:r>
              <w:rPr>
                <w:rStyle w:val="VerbatimChar"/>
              </w:rPr>
              <w:t xml:space="preserve">bounded-risk</w:t>
            </w:r>
            <w:r>
              <w:t xml:space="preserve">).</w:t>
            </w:r>
          </w:p>
        </w:tc>
      </w:tr>
    </w:tbl>
    <w:bookmarkStart w:id="11" w:name="X1d29cbcea77e1863577b4ff940b725bea9caa4d"/>
    <w:p>
      <w:pPr>
        <w:pStyle w:val="Heading3"/>
      </w:pPr>
      <w:r>
        <w:t xml:space="preserve">5.3.1 Control-Surface Ablation and Sensitivity Write-Through</w:t>
      </w:r>
    </w:p>
    <w:p>
      <w:pPr>
        <w:pStyle w:val="FirstParagraph"/>
      </w:pPr>
      <w:r>
        <w:t xml:space="preserve">Table 5.3 restores the explicit ablation/sensitivity view so controllability evidence remains concrete and traceable to named variant scenarios.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or axis</w:t>
            </w:r>
          </w:p>
        </w:tc>
        <w:tc>
          <w:tcPr/>
          <w:p>
            <w:pPr>
              <w:pStyle w:val="Compact"/>
            </w:pPr>
            <w:r>
              <w:t xml:space="preserve">Expected direction</w:t>
            </w:r>
          </w:p>
        </w:tc>
        <w:tc>
          <w:tcPr/>
          <w:p>
            <w:pPr>
              <w:pStyle w:val="Compact"/>
            </w:pPr>
            <w:r>
              <w:t xml:space="preserve">Observed in refreshed BL-011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no_influence_tracks</w:t>
            </w:r>
          </w:p>
        </w:tc>
        <w:tc>
          <w:tcPr/>
          <w:p>
            <w:pPr>
              <w:pStyle w:val="Compact"/>
            </w:pPr>
            <w:r>
              <w:t xml:space="preserve">Shift away from influence-steered profile effects</w:t>
            </w:r>
          </w:p>
        </w:tc>
        <w:tc>
          <w:tcPr/>
          <w:p>
            <w:pPr>
              <w:pStyle w:val="Compact"/>
            </w:pPr>
            <w:r>
              <w:t xml:space="preserve">Observable-shift flag present, but measurable-delta thresholds not met under locked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valence_weight_up</w:t>
            </w:r>
          </w:p>
        </w:tc>
        <w:tc>
          <w:tcPr/>
          <w:p>
            <w:pPr>
              <w:pStyle w:val="Compact"/>
            </w:pPr>
            <w:r>
              <w:t xml:space="preserve">Rank and contribution shift toward boosted component</w:t>
            </w:r>
          </w:p>
        </w:tc>
        <w:tc>
          <w:tcPr/>
          <w:p>
            <w:pPr>
              <w:pStyle w:val="Compact"/>
            </w:pPr>
            <w:r>
              <w:t xml:space="preserve">No locked measurable delta observed; flagged as no-op in diagnostics.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stricter_thresholds</w:t>
            </w:r>
          </w:p>
        </w:tc>
        <w:tc>
          <w:tcPr/>
          <w:p>
            <w:pPr>
              <w:pStyle w:val="Compact"/>
            </w:pPr>
            <w:r>
              <w:t xml:space="preserve">Candidate pool contraction and downstream reordering</w:t>
            </w:r>
          </w:p>
        </w:tc>
        <w:tc>
          <w:tcPr/>
          <w:p>
            <w:pPr>
              <w:pStyle w:val="Compact"/>
            </w:pPr>
            <w:r>
              <w:t xml:space="preserve">No locked measurable delta observed; flagged as no-op in diagnostics.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looser_thresholds</w:t>
            </w:r>
          </w:p>
        </w:tc>
        <w:tc>
          <w:tcPr/>
          <w:p>
            <w:pPr>
              <w:pStyle w:val="Compact"/>
            </w:pPr>
            <w:r>
              <w:t xml:space="preserve">Candidate pool expansion and downstream reordering</w:t>
            </w:r>
          </w:p>
        </w:tc>
        <w:tc>
          <w:tcPr/>
          <w:p>
            <w:pPr>
              <w:pStyle w:val="Compact"/>
            </w:pPr>
            <w:r>
              <w:t xml:space="preserve">No locked measurable delta observed; flagged as no-op in diagnostics.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fuzzy_enabled_strict</w:t>
            </w:r>
          </w:p>
        </w:tc>
        <w:tc>
          <w:tcPr/>
          <w:p>
            <w:pPr>
              <w:pStyle w:val="Compact"/>
            </w:pPr>
            <w:r>
              <w:t xml:space="preserve">Retrieval-side behavior shift under fuzzy controls</w:t>
            </w:r>
          </w:p>
        </w:tc>
        <w:tc>
          <w:tcPr/>
          <w:p>
            <w:pPr>
              <w:pStyle w:val="Compact"/>
            </w:pPr>
            <w:r>
              <w:t xml:space="preserve">No locked measurable delta observed.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no_influence_plus_stricter_thresholds</w:t>
            </w:r>
          </w:p>
        </w:tc>
        <w:tc>
          <w:tcPr/>
          <w:p>
            <w:pPr>
              <w:pStyle w:val="Compact"/>
            </w:pPr>
            <w:r>
              <w:t xml:space="preserve">Interaction effect beyond single-factor changes</w:t>
            </w:r>
          </w:p>
        </w:tc>
        <w:tc>
          <w:tcPr/>
          <w:p>
            <w:pPr>
              <w:pStyle w:val="Compact"/>
            </w:pPr>
            <w:r>
              <w:t xml:space="preserve">Interaction row present; locked measurable-delta criteria not met.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valence_up_plus_stricter_thresholds</w:t>
            </w:r>
          </w:p>
        </w:tc>
        <w:tc>
          <w:tcPr/>
          <w:p>
            <w:pPr>
              <w:pStyle w:val="Compact"/>
            </w:pPr>
            <w:r>
              <w:t xml:space="preserve">Interaction effect from combined score and threshold pressure</w:t>
            </w:r>
          </w:p>
        </w:tc>
        <w:tc>
          <w:tcPr/>
          <w:p>
            <w:pPr>
              <w:pStyle w:val="Compact"/>
            </w:pPr>
            <w:r>
              <w:t xml:space="preserve">Interaction row present; locked measurable-delta criteria not met.</w:t>
            </w:r>
          </w:p>
        </w:tc>
      </w:tr>
    </w:tbl>
    <w:p>
      <w:pPr>
        <w:pStyle w:val="BodyText"/>
      </w:pPr>
      <w:r>
        <w:t xml:space="preserve">This write-through keeps the controllability section auditable: scenario coverage exists, but current measurable-delta evidence is insufficient for O5 satisfaction under the locked threshold rule.</w:t>
      </w:r>
    </w:p>
    <w:bookmarkEnd w:id="11"/>
    <w:bookmarkEnd w:id="12"/>
    <w:bookmarkStart w:id="13" w:name="o1-evidence-uncertainty-aware-profiling"/>
    <w:p>
      <w:pPr>
        <w:pStyle w:val="Heading2"/>
      </w:pPr>
      <w:r>
        <w:t xml:space="preserve">5.4 O1 Evidence: Uncertainty-Aware Profiling</w:t>
      </w:r>
    </w:p>
    <w:p>
      <w:pPr>
        <w:pStyle w:val="FirstParagraph"/>
      </w:pPr>
      <w:r>
        <w:t xml:space="preserve">O1 is evaluated using BL-003 alignment diagnostics and BL-004 profile structure. BL-003 exposes input uncertainty at intake (matched, ambiguous, unmatched, invalid pathways where available), and BL-004 carries uncertainty-aware profile representations with attribution surfaces.</w:t>
      </w:r>
    </w:p>
    <w:p>
      <w:pPr>
        <w:pStyle w:val="BodyText"/>
      </w:pPr>
      <w:r>
        <w:t xml:space="preserve">Concrete observations from active artifacts: BL-003 reports</w:t>
      </w:r>
      <w:r>
        <w:t xml:space="preserve"> </w:t>
      </w:r>
      <w:r>
        <w:rPr>
          <w:rStyle w:val="VerbatimChar"/>
        </w:rPr>
        <w:t xml:space="preserve">input_event_rows=9902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ambiguous_matches=19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invalid_records=0</w:t>
      </w:r>
      <w:r>
        <w:t xml:space="preserve">, and explicit unmatched counts (</w:t>
      </w:r>
      <w:r>
        <w:rPr>
          <w:rStyle w:val="VerbatimChar"/>
        </w:rPr>
        <w:t xml:space="preserve">unmatched=7457</w:t>
      </w:r>
      <w:r>
        <w:t xml:space="preserve">). BL-004 reports</w:t>
      </w:r>
      <w:r>
        <w:t xml:space="preserve"> </w:t>
      </w:r>
      <w:r>
        <w:rPr>
          <w:rStyle w:val="VerbatimChar"/>
        </w:rPr>
        <w:t xml:space="preserve">events_total=1369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missing_numeric_track_count=0</w:t>
      </w:r>
      <w:r>
        <w:t xml:space="preserve">, and confidence-bin diagnostics (</w:t>
      </w:r>
      <w:r>
        <w:rPr>
          <w:rStyle w:val="VerbatimChar"/>
        </w:rPr>
        <w:t xml:space="preserve">high_0_9_plus=1369</w:t>
      </w:r>
      <w:r>
        <w:t xml:space="preserve">, medium/low bins</w:t>
      </w:r>
      <w:r>
        <w:t xml:space="preserve"> </w:t>
      </w:r>
      <w:r>
        <w:rPr>
          <w:rStyle w:val="VerbatimChar"/>
        </w:rPr>
        <w:t xml:space="preserve">0</w:t>
      </w:r>
      <w:r>
        <w:t xml:space="preserve">), with attribution continuity via</w:t>
      </w:r>
      <w:r>
        <w:t xml:space="preserve"> </w:t>
      </w:r>
      <w:r>
        <w:rPr>
          <w:rStyle w:val="VerbatimChar"/>
        </w:rPr>
        <w:t xml:space="preserve">history_weight_share=0.99849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influence_weight_share=0.00151</w:t>
      </w:r>
      <w:r>
        <w:t xml:space="preserve">.</w:t>
      </w:r>
    </w:p>
    <w:p>
      <w:pPr>
        <w:pStyle w:val="BodyText"/>
      </w:pPr>
      <w:r>
        <w:t xml:space="preserve">Under the locked criterion, O1 is therefore satisfied: uncertainty and confidence structure are explicitly surfaced rather than latent.</w:t>
      </w:r>
    </w:p>
    <w:bookmarkEnd w:id="13"/>
    <w:bookmarkStart w:id="14" w:name="Xacff70e80cf7012075975a76c1052b7ad607fc4"/>
    <w:p>
      <w:pPr>
        <w:pStyle w:val="Heading2"/>
      </w:pPr>
      <w:r>
        <w:t xml:space="preserve">5.5 O2 Evidence: Confidence-Aware Alignment and Candidate Shaping</w:t>
      </w:r>
    </w:p>
    <w:p>
      <w:pPr>
        <w:pStyle w:val="FirstParagraph"/>
      </w:pPr>
      <w:r>
        <w:t xml:space="preserve">O2 is evaluated through BL-003 and BL-005. BL-003 provides match-rate and unmatched-reason visibility; BL-005 records candidate shaping decisions and separated exclusion pathways.</w:t>
      </w:r>
    </w:p>
    <w:p>
      <w:pPr>
        <w:pStyle w:val="BodyText"/>
      </w:pPr>
      <w:r>
        <w:t xml:space="preserve">The refreshed BL-003 authority reports</w:t>
      </w:r>
      <w:r>
        <w:t xml:space="preserve"> </w:t>
      </w:r>
      <w:r>
        <w:rPr>
          <w:rStyle w:val="VerbatimChar"/>
        </w:rPr>
        <w:t xml:space="preserve">actual_match_rate=0.245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min_threshold=0.15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status=pass</w:t>
      </w:r>
      <w:r>
        <w:t xml:space="preserve">), with explicit pathway counts (</w:t>
      </w:r>
      <w:r>
        <w:rPr>
          <w:rStyle w:val="VerbatimChar"/>
        </w:rPr>
        <w:t xml:space="preserve">matched_by_spotify_id=1489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matched_by_metadata=937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ambiguous_matches=19</w:t>
      </w:r>
      <w:r>
        <w:t xml:space="preserve">,</w:t>
      </w:r>
      <w:r>
        <w:t xml:space="preserve"> </w:t>
      </w:r>
      <w:r>
        <w:rPr>
          <w:rStyle w:val="VerbatimChar"/>
        </w:rPr>
        <w:t xml:space="preserve">unmatched=7457</w:t>
      </w:r>
      <w:r>
        <w:t xml:space="preserve">). BL-005 reports</w:t>
      </w:r>
      <w:r>
        <w:t xml:space="preserve"> </w:t>
      </w:r>
      <w:r>
        <w:rPr>
          <w:rStyle w:val="VerbatimChar"/>
        </w:rPr>
        <w:t xml:space="preserve">candidate_rows_total=109269</w:t>
      </w:r>
      <w:r>
        <w:t xml:space="preserve">,</w:t>
      </w:r>
      <w:r>
        <w:t xml:space="preserve"> </w:t>
      </w:r>
      <w:r>
        <w:rPr>
          <w:rStyle w:val="VerbatimChar"/>
        </w:rPr>
        <w:t xml:space="preserve">kept_candidates=23257</w:t>
      </w:r>
      <w:r>
        <w:t xml:space="preserve"> </w:t>
      </w:r>
      <w:r>
        <w:t xml:space="preserve">(about 21.3%), and separated pathway diagnostics including</w:t>
      </w:r>
      <w:r>
        <w:t xml:space="preserve"> </w:t>
      </w:r>
      <w:r>
        <w:rPr>
          <w:rStyle w:val="VerbatimChar"/>
        </w:rPr>
        <w:t xml:space="preserve">influence_admitted=0</w:t>
      </w:r>
      <w:r>
        <w:t xml:space="preserve">.</w:t>
      </w:r>
    </w:p>
    <w:p>
      <w:pPr>
        <w:pStyle w:val="BodyText"/>
      </w:pPr>
      <w:r>
        <w:t xml:space="preserve">Match-rate interpretation remains bounded: even when current run authority is above threshold, the threshold itself is a minimum viability gate, not evidence of broad cross-source coverage.</w:t>
      </w:r>
    </w:p>
    <w:p>
      <w:pPr>
        <w:pStyle w:val="BodyText"/>
      </w:pPr>
      <w:r>
        <w:t xml:space="preserve">For continuity with earlier validated chapter evidence, the previously cited canonical baseline aligned share (15.95%) remains an important boundary reference: passing a 15% gate should be interpreted as viability under constraints, not as broad corpus coverage.</w:t>
      </w:r>
    </w:p>
    <w:p>
      <w:pPr>
        <w:pStyle w:val="BodyText"/>
      </w:pPr>
      <w:r>
        <w:t xml:space="preserve">Within this framing, O2 is satisfied because confidence and exclusion pathways are explicit and auditable.</w:t>
      </w:r>
    </w:p>
    <w:bookmarkEnd w:id="14"/>
    <w:bookmarkStart w:id="15" w:name="o3-evidence-controllable-trade-offs"/>
    <w:p>
      <w:pPr>
        <w:pStyle w:val="Heading2"/>
      </w:pPr>
      <w:r>
        <w:t xml:space="preserve">5.6 O3 Evidence: Controllable Trade-Offs</w:t>
      </w:r>
    </w:p>
    <w:p>
      <w:pPr>
        <w:pStyle w:val="FirstParagraph"/>
      </w:pPr>
      <w:r>
        <w:t xml:space="preserve">O3 uses BL-006 and BL-007. BL-006 exposes component-wise scoring structure and active weight vectors. BL-007 records assembly-level rule effects, trade-off pressure, and relaxation behavior where applicable.</w:t>
      </w:r>
    </w:p>
    <w:p>
      <w:pPr>
        <w:pStyle w:val="BodyText"/>
      </w:pPr>
      <w:r>
        <w:t xml:space="preserve">BL-006 reports</w:t>
      </w:r>
      <w:r>
        <w:t xml:space="preserve"> </w:t>
      </w:r>
      <w:r>
        <w:rPr>
          <w:rStyle w:val="VerbatimChar"/>
        </w:rPr>
        <w:t xml:space="preserve">candidates_scored=23257</w:t>
      </w:r>
      <w:r>
        <w:t xml:space="preserve"> </w:t>
      </w:r>
      <w:r>
        <w:t xml:space="preserve">with explicit score-distribution metrics (</w:t>
      </w:r>
      <w:r>
        <w:rPr>
          <w:rStyle w:val="VerbatimChar"/>
        </w:rPr>
        <w:t xml:space="preserve">max_final_score=0.499521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mean_final_score=0.221453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median_final_score=0.226483</w:t>
      </w:r>
      <w:r>
        <w:t xml:space="preserve">) and active component weights emitted in the report payload. BL-007 reports</w:t>
      </w:r>
      <w:r>
        <w:t xml:space="preserve"> </w:t>
      </w:r>
      <w:r>
        <w:rPr>
          <w:rStyle w:val="VerbatimChar"/>
        </w:rPr>
        <w:t xml:space="preserve">tracks_included=10</w:t>
      </w:r>
      <w:r>
        <w:t xml:space="preserve">,</w:t>
      </w:r>
      <w:r>
        <w:t xml:space="preserve"> </w:t>
      </w:r>
      <w:r>
        <w:rPr>
          <w:rStyle w:val="VerbatimChar"/>
        </w:rPr>
        <w:t xml:space="preserve">R1_score_threshold</w:t>
      </w:r>
      <w:r>
        <w:t xml:space="preserve"> </w:t>
      </w:r>
      <w:r>
        <w:t xml:space="preserve">hits</w:t>
      </w:r>
      <w:r>
        <w:t xml:space="preserve"> </w:t>
      </w:r>
      <w:r>
        <w:rPr>
          <w:rStyle w:val="VerbatimChar"/>
        </w:rPr>
        <w:t xml:space="preserve">22714</w:t>
      </w:r>
      <w:r>
        <w:t xml:space="preserve">,</w:t>
      </w:r>
      <w:r>
        <w:t xml:space="preserve"> </w:t>
      </w:r>
      <w:r>
        <w:rPr>
          <w:rStyle w:val="VerbatimChar"/>
        </w:rPr>
        <w:t xml:space="preserve">novelty_allowance_used=0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relaxation_records=[]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undersized_playlist_warning.is_undersized=false</w:t>
      </w:r>
      <w:r>
        <w:t xml:space="preserve">.</w:t>
      </w:r>
    </w:p>
    <w:p>
      <w:pPr>
        <w:pStyle w:val="BodyText"/>
      </w:pPr>
      <w:r>
        <w:t xml:space="preserve">O3 is satisfied at the chapter criterion level because control surfaces and trade-off diagnostics are explicit and inspectable, even though BL-011 measurable-effect evidence for O5 remains insufficient.</w:t>
      </w:r>
    </w:p>
    <w:bookmarkEnd w:id="15"/>
    <w:bookmarkStart w:id="16" w:name="Xe42dab0e2fe725d64d76d3a4d055aefc9e2e438"/>
    <w:p>
      <w:pPr>
        <w:pStyle w:val="Heading2"/>
      </w:pPr>
      <w:r>
        <w:t xml:space="preserve">5.7 O4 Evidence: Mechanism-Linked Explanation Fidelity</w:t>
      </w:r>
    </w:p>
    <w:p>
      <w:pPr>
        <w:pStyle w:val="FirstParagraph"/>
      </w:pPr>
      <w:r>
        <w:t xml:space="preserve">O4 evaluates structural fidelity, not perceived usefulness. BL-008 must remain traceable to scoring/assembly mechanisms through required payload fields and contributor mapping consistency.</w:t>
      </w:r>
    </w:p>
    <w:p>
      <w:pPr>
        <w:pStyle w:val="BodyText"/>
      </w:pPr>
      <w:r>
        <w:t xml:space="preserve">Under the fixed 30-track structural check, mismatches are interpreted with the locked taxonomy:</w:t>
      </w:r>
    </w:p>
    <w:p>
      <w:pPr>
        <w:pStyle w:val="Compact"/>
        <w:numPr>
          <w:ilvl w:val="0"/>
          <w:numId w:val="1004"/>
        </w:numPr>
      </w:pPr>
      <w:r>
        <w:t xml:space="preserve">Critical mismatch: missing required field, contradictory rule-effect linkage, or wrong primary attribution.</w:t>
      </w:r>
    </w:p>
    <w:p>
      <w:pPr>
        <w:pStyle w:val="Compact"/>
        <w:numPr>
          <w:ilvl w:val="0"/>
          <w:numId w:val="1004"/>
        </w:numPr>
      </w:pPr>
      <w:r>
        <w:t xml:space="preserve">Minor mismatch: percentile tolerance breach with intact attribution/rule linkage.</w:t>
      </w:r>
    </w:p>
    <w:p>
      <w:pPr>
        <w:pStyle w:val="FirstParagraph"/>
      </w:pPr>
      <w:r>
        <w:t xml:space="preserve">Current evidence shows required-field presence for the available selected-track sample: BL-008 (</w:t>
      </w:r>
      <w:r>
        <w:rPr>
          <w:rStyle w:val="VerbatimChar"/>
        </w:rPr>
        <w:t xml:space="preserve">run_id=BL008-EXPLAIN-20260427-145551-660092</w:t>
      </w:r>
      <w:r>
        <w:t xml:space="preserve">) emits</w:t>
      </w:r>
      <w:r>
        <w:t xml:space="preserve"> </w:t>
      </w:r>
      <w:r>
        <w:rPr>
          <w:rStyle w:val="VerbatimChar"/>
        </w:rPr>
        <w:t xml:space="preserve">playlist_track_count=10</w:t>
      </w:r>
      <w:r>
        <w:t xml:space="preserve">, and a structural check over the available selected payloads found</w:t>
      </w:r>
      <w:r>
        <w:t xml:space="preserve"> </w:t>
      </w:r>
      <w:r>
        <w:rPr>
          <w:rStyle w:val="VerbatimChar"/>
        </w:rPr>
        <w:t xml:space="preserve">required_field_missing_count=0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score_percentile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score_band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primary_explanation_driver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top_score_contributors</w:t>
      </w:r>
      <w:r>
        <w:t xml:space="preserve">.</w:t>
      </w:r>
    </w:p>
    <w:p>
      <w:pPr>
        <w:pStyle w:val="BodyText"/>
      </w:pPr>
      <w:r>
        <w:t xml:space="preserve">Because the locked sample contract is 30 tracks and current selected-track payload coverage is 10, O4 is assessed as Partially Satisfied pending completion of the full fixed-sample extraction cross-check. Perceived-usefulness claims remain routed to Chapter 6.</w:t>
      </w:r>
    </w:p>
    <w:bookmarkEnd w:id="16"/>
    <w:bookmarkStart w:id="17" w:name="o6-evidence-bounded-guidance-surfaces"/>
    <w:p>
      <w:pPr>
        <w:pStyle w:val="Heading2"/>
      </w:pPr>
      <w:r>
        <w:t xml:space="preserve">5.8 O6 Evidence: Bounded-Guidance Surfaces</w:t>
      </w:r>
    </w:p>
    <w:p>
      <w:pPr>
        <w:pStyle w:val="FirstParagraph"/>
      </w:pPr>
      <w:r>
        <w:t xml:space="preserve">O6 is evaluated through BL-007 and BL-009 boundary reporting. BL-009 must include explicit non-claims and validity boundaries. BL-007 must satisfy one auditable case:</w:t>
      </w:r>
    </w:p>
    <w:p>
      <w:pPr>
        <w:pStyle w:val="Compact"/>
        <w:numPr>
          <w:ilvl w:val="0"/>
          <w:numId w:val="1005"/>
        </w:numPr>
      </w:pPr>
      <w:r>
        <w:t xml:space="preserve">Relaxation occurred: recorded with reason codes and diagnostics context.</w:t>
      </w:r>
    </w:p>
    <w:p>
      <w:pPr>
        <w:pStyle w:val="Compact"/>
        <w:numPr>
          <w:ilvl w:val="0"/>
          <w:numId w:val="1005"/>
        </w:numPr>
      </w:pPr>
      <w:r>
        <w:t xml:space="preserve">No relaxation occurred: explicit no-relaxation confirmation and corroborating run-level boundary state.</w:t>
      </w:r>
    </w:p>
    <w:p>
      <w:pPr>
        <w:pStyle w:val="FirstParagraph"/>
      </w:pPr>
      <w:r>
        <w:t xml:space="preserve">Current artifacts satisfy the no-relaxation case: BL-007 explicitly emits</w:t>
      </w:r>
      <w:r>
        <w:t xml:space="preserve"> </w:t>
      </w:r>
      <w:r>
        <w:rPr>
          <w:rStyle w:val="VerbatimChar"/>
        </w:rPr>
        <w:t xml:space="preserve">relaxation_records=[]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undersized_playlist_warning.is_undersized=false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shortfall=0</w:t>
      </w:r>
      <w:r>
        <w:t xml:space="preserve">. BL-009 emits top-level</w:t>
      </w:r>
      <w:r>
        <w:t xml:space="preserve"> </w:t>
      </w:r>
      <w:r>
        <w:rPr>
          <w:rStyle w:val="VerbatimChar"/>
        </w:rPr>
        <w:t xml:space="preserve">validity_boundaries</w:t>
      </w:r>
      <w:r>
        <w:t xml:space="preserve"> </w:t>
      </w:r>
      <w:r>
        <w:t xml:space="preserve">and nested reproducibility non-claims (</w:t>
      </w:r>
      <w:r>
        <w:rPr>
          <w:rStyle w:val="VerbatimChar"/>
        </w:rPr>
        <w:t xml:space="preserve">non_claims</w:t>
      </w:r>
      <w:r>
        <w:t xml:space="preserve"> </w:t>
      </w:r>
      <w:r>
        <w:t xml:space="preserve">count</w:t>
      </w:r>
      <w:r>
        <w:t xml:space="preserve"> </w:t>
      </w:r>
      <w:r>
        <w:rPr>
          <w:rStyle w:val="VerbatimChar"/>
        </w:rPr>
        <w:t xml:space="preserve">4</w:t>
      </w:r>
      <w:r>
        <w:t xml:space="preserve">) under</w:t>
      </w:r>
      <w:r>
        <w:t xml:space="preserve"> </w:t>
      </w:r>
      <w:r>
        <w:rPr>
          <w:rStyle w:val="VerbatimChar"/>
        </w:rPr>
        <w:t xml:space="preserve">reproducibility_interpretation</w:t>
      </w:r>
      <w:r>
        <w:t xml:space="preserve">.</w:t>
      </w:r>
    </w:p>
    <w:p>
      <w:pPr>
        <w:pStyle w:val="BodyText"/>
      </w:pPr>
      <w:r>
        <w:t xml:space="preserve">This criterion is satisfied because bounded guidance is evidence-backed and auditable rather than implied.</w:t>
      </w:r>
    </w:p>
    <w:bookmarkEnd w:id="17"/>
    <w:bookmarkStart w:id="18" w:name="X6d1aeccbcca56a9f970a84a259a90226fa945d5"/>
    <w:p>
      <w:pPr>
        <w:pStyle w:val="Heading2"/>
      </w:pPr>
      <w:r>
        <w:t xml:space="preserve">5.9 Control-Causality and Boundary Hardening Context</w:t>
      </w:r>
    </w:p>
    <w:p>
      <w:pPr>
        <w:pStyle w:val="FirstParagraph"/>
      </w:pPr>
      <w:r>
        <w:t xml:space="preserve">The current evaluation posture reflects hardening steps that were implemented before final chapter synthesis: BL-008 now carries explicit control-provenance structures, BL-009 boundary framing is emitted at top level, and BL-011 records no-op control diagnostics directly rather than masking weak-effect controls. These changes matter because they show that evidence contracts were engineered into the implementation and not added as post-hoc narrative wrappers.</w:t>
      </w:r>
    </w:p>
    <w:bookmarkEnd w:id="18"/>
    <w:bookmarkStart w:id="19" w:name="X689804e71bdcf26d9aecc719a8cc1c581234b20"/>
    <w:p>
      <w:pPr>
        <w:pStyle w:val="Heading2"/>
      </w:pPr>
      <w:r>
        <w:t xml:space="preserve">5.10 Objective Synthesis and Acceptance Status</w:t>
      </w:r>
    </w:p>
    <w:p>
      <w:pPr>
        <w:pStyle w:val="FirstParagraph"/>
      </w:pPr>
      <w:r>
        <w:t xml:space="preserve">Interpretation discipline: the synthesis below reports criterion alignment under bounded artifact authority. It does not imply global recommender superiority or cross-regime generalization.</w:t>
      </w:r>
    </w:p>
    <w:p>
      <w:pPr>
        <w:pStyle w:val="BodyText"/>
      </w:pPr>
      <w:r>
        <w:t xml:space="preserve">Table 5.4 consolidates objective outcomes under normalized verdict labels.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Primary evidence surface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BL-003 + BL-004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BL-003 + BL-005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BL-006 + BL-007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BL-008 (+ BL-006/BL-007 cross-check)</w:t>
            </w:r>
          </w:p>
        </w:tc>
        <w:tc>
          <w:tcPr/>
          <w:p>
            <w:pPr>
              <w:pStyle w:val="Compact"/>
            </w:pPr>
            <w:r>
              <w:t xml:space="preserve">Partially 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BL-010 + BL-011</w:t>
            </w:r>
          </w:p>
        </w:tc>
        <w:tc>
          <w:tcPr/>
          <w:p>
            <w:pPr>
              <w:pStyle w:val="Compact"/>
            </w:pPr>
            <w:r>
              <w:t xml:space="preserve">Not 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BL-007 + BL-009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</w:tbl>
    <w:bookmarkEnd w:id="19"/>
    <w:bookmarkStart w:id="20" w:name="Xc88f70a6a3bf81a49f540e246afbfc471ce54fb"/>
    <w:p>
      <w:pPr>
        <w:pStyle w:val="Heading2"/>
      </w:pPr>
      <w:r>
        <w:t xml:space="preserve">5.11 Evaluation Boundaries, Non-Claims, and Chapter 6 Handoff</w:t>
      </w:r>
    </w:p>
    <w:p>
      <w:pPr>
        <w:pStyle w:val="FirstParagraph"/>
      </w:pPr>
      <w:r>
        <w:t xml:space="preserve">This chapter does not claim:</w:t>
      </w:r>
    </w:p>
    <w:p>
      <w:pPr>
        <w:pStyle w:val="Compact"/>
        <w:numPr>
          <w:ilvl w:val="0"/>
          <w:numId w:val="1006"/>
        </w:numPr>
      </w:pPr>
      <w:r>
        <w:t xml:space="preserve">broad cross-user personalization validity,</w:t>
      </w:r>
    </w:p>
    <w:p>
      <w:pPr>
        <w:pStyle w:val="Compact"/>
        <w:numPr>
          <w:ilvl w:val="0"/>
          <w:numId w:val="1006"/>
        </w:numPr>
      </w:pPr>
      <w:r>
        <w:t xml:space="preserve">real-time or large-scale deployment performance,</w:t>
      </w:r>
    </w:p>
    <w:p>
      <w:pPr>
        <w:pStyle w:val="Compact"/>
        <w:numPr>
          <w:ilvl w:val="0"/>
          <w:numId w:val="1006"/>
        </w:numPr>
      </w:pPr>
      <w:r>
        <w:t xml:space="preserve">superiority over hybrid/neural recommender families,</w:t>
      </w:r>
    </w:p>
    <w:p>
      <w:pPr>
        <w:pStyle w:val="Compact"/>
        <w:numPr>
          <w:ilvl w:val="0"/>
          <w:numId w:val="1006"/>
        </w:numPr>
      </w:pPr>
      <w:r>
        <w:t xml:space="preserve">user-perceived explanation usefulness or trust effects.</w:t>
      </w:r>
    </w:p>
    <w:p>
      <w:pPr>
        <w:pStyle w:val="FirstParagraph"/>
      </w:pPr>
      <w:r>
        <w:t xml:space="preserve">Chapter 6 handoff logic:</w:t>
      </w:r>
    </w:p>
    <w:p>
      <w:pPr>
        <w:pStyle w:val="Compact"/>
        <w:numPr>
          <w:ilvl w:val="0"/>
          <w:numId w:val="1007"/>
        </w:numPr>
      </w:pPr>
      <w:r>
        <w:t xml:space="preserve">O5 fully satisfied: discuss reproducibility guarantees and controllability confidence within deterministic bounds.</w:t>
      </w:r>
    </w:p>
    <w:p>
      <w:pPr>
        <w:pStyle w:val="Compact"/>
        <w:numPr>
          <w:ilvl w:val="0"/>
          <w:numId w:val="1007"/>
        </w:numPr>
      </w:pPr>
      <w:r>
        <w:t xml:space="preserve">O5 partially satisfied: discuss reproducibility guarantees with explicit controllability coverage limits and unconfirmed interaction regions.</w:t>
      </w:r>
    </w:p>
    <w:p>
      <w:pPr>
        <w:pStyle w:val="Compact"/>
        <w:numPr>
          <w:ilvl w:val="0"/>
          <w:numId w:val="1007"/>
        </w:numPr>
      </w:pPr>
      <w:r>
        <w:t xml:space="preserve">O5 not satisfied (current authority): discuss reproducibility pass evidence alongside controllability shortfall, no-op control diagnostics, and bounded next-step remediation scope.</w:t>
      </w:r>
    </w:p>
    <w:p>
      <w:pPr>
        <w:pStyle w:val="FirstParagraph"/>
      </w:pPr>
      <w:r>
        <w:t xml:space="preserve">All claims are therefore bounded to the evidence surfaces and criteria defined here.</w:t>
      </w:r>
    </w:p>
    <w:bookmarkEnd w:id="20"/>
    <w:bookmarkStart w:id="21" w:name="chapter-summary"/>
    <w:p>
      <w:pPr>
        <w:pStyle w:val="Heading2"/>
      </w:pPr>
      <w:r>
        <w:t xml:space="preserve">5.12 Chapter Summary</w:t>
      </w:r>
    </w:p>
    <w:p>
      <w:pPr>
        <w:pStyle w:val="FirstParagraph"/>
      </w:pPr>
      <w:r>
        <w:t xml:space="preserve">Chapter 5 evaluates the implemented pipeline through pre-specified objective-linked criteria with evidence-first reporting. O5 is resolved first and currently not satisfied under the locked measurable-delta gate, while O1, O2, O3, and O6 are satisfied and O4 is partially satisfied pending completion of the full fixed-sample structural extraction. The chapter therefore provides a bounded, auditable synthesis that distinguishes verified criterion alignment from unresolved controllability evidence.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2026-04-27T20:06:38Z</dcterms:created>
  <dcterms:modified xsi:type="dcterms:W3CDTF">2026-04-27T20:06:38Z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