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proofErr w:type="spellStart"/>
      <w:r w:rsidR="00A22B93">
        <w:t>Azman</w:t>
      </w:r>
      <w:proofErr w:type="spellEnd"/>
      <w:r w:rsidR="00E45923">
        <w:t xml:space="preserve">, Caroline O. </w:t>
      </w:r>
      <w:proofErr w:type="spellStart"/>
      <w:r w:rsidR="00E45923">
        <w:t>Buckee</w:t>
      </w:r>
      <w:proofErr w:type="spellEnd"/>
    </w:p>
    <w:p w14:paraId="53252D57" w14:textId="77777777" w:rsidR="0035631B" w:rsidRDefault="0035631B"/>
    <w:p w14:paraId="7578E801" w14:textId="1CA73CC3" w:rsidR="000E73B9" w:rsidRPr="00E45923" w:rsidRDefault="0035631B">
      <w:r>
        <w:t xml:space="preserve">* </w:t>
      </w:r>
      <w:proofErr w:type="gramStart"/>
      <w:r>
        <w:t>peak@mail.harvard.edu</w:t>
      </w:r>
      <w:proofErr w:type="gramEnd"/>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32E117B7" w:rsidR="00417BC4" w:rsidRDefault="00EC6207" w:rsidP="00A22B93">
      <w:r>
        <w:t>Vaccine-derived h</w:t>
      </w:r>
      <w:r w:rsidR="00A22B93">
        <w:t xml:space="preserve">erd immunity can wane over time due to short-lived vaccine efficacy or migration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AA0B6FE"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B6CCC98"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p>
    <w:p w14:paraId="6C1F2321" w14:textId="77777777" w:rsidR="00142B0A" w:rsidRDefault="00142B0A">
      <w:pPr>
        <w:rPr>
          <w:b/>
        </w:rPr>
      </w:pPr>
      <w:r>
        <w:rPr>
          <w:b/>
        </w:rPr>
        <w:br w:type="page"/>
      </w:r>
    </w:p>
    <w:p w14:paraId="6EDFA4E3" w14:textId="483EDAED" w:rsidR="0071157B" w:rsidRPr="001850C4" w:rsidRDefault="00324900">
      <w:pPr>
        <w:rPr>
          <w:b/>
        </w:rPr>
      </w:pPr>
      <w:r>
        <w:rPr>
          <w:b/>
        </w:rPr>
        <w:lastRenderedPageBreak/>
        <w:t>Introduction</w:t>
      </w:r>
    </w:p>
    <w:p w14:paraId="3C053FB8" w14:textId="1183DF87"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207B44">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380271" w:rsidRPr="00380271">
        <w:rPr>
          <w:noProof/>
          <w:vertAlign w:val="superscript"/>
        </w:rPr>
        <w:t>1,2</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42B4472B"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445BB">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"&lt;sup&gt;3,4&lt;/sup&gt;", "plainTextFormattedCitation" : "3,4", "previouslyFormattedCitation" : "&lt;sup&gt;3,4&lt;/sup&gt;" }, "properties" : { "noteIndex" : 0 }, "schema" : "https://github.com/citation-style-language/schema/raw/master/csl-citation.json" }</w:instrText>
      </w:r>
      <w:r w:rsidR="003542BB">
        <w:fldChar w:fldCharType="separate"/>
      </w:r>
      <w:r w:rsidR="00207B44" w:rsidRPr="00207B44">
        <w:rPr>
          <w:noProof/>
          <w:vertAlign w:val="superscript"/>
        </w:rPr>
        <w:t>3,4</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445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"&lt;sup&gt;5&lt;/sup&gt;", "plainTextFormattedCitation" : "5", "previouslyFormattedCitation" : "&lt;sup&gt;5&lt;/sup&gt;" }, "properties" : { "noteIndex" : 0 }, "schema" : "https://github.com/citation-style-language/schema/raw/master/csl-citation.json" }</w:instrText>
      </w:r>
      <w:r w:rsidR="003542BB">
        <w:fldChar w:fldCharType="separate"/>
      </w:r>
      <w:r w:rsidR="00207B44" w:rsidRPr="00207B44">
        <w:rPr>
          <w:noProof/>
          <w:vertAlign w:val="superscript"/>
        </w:rPr>
        <w:t>5</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445BB">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207B44" w:rsidRPr="00207B44">
        <w:rPr>
          <w:noProof/>
          <w:vertAlign w:val="superscript"/>
        </w:rPr>
        <w:t>6</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67687875"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99479A">
        <w:t xml:space="preserve"> with high VC</w:t>
      </w:r>
      <w:r>
        <w:t xml:space="preserve"> was performed in July 2014 and June 2015, yet the camp sustained an outbreak of </w:t>
      </w:r>
      <w:r w:rsidR="00FF1173">
        <w:t>381</w:t>
      </w:r>
      <w:r>
        <w:t xml:space="preserve"> cases in July-</w:t>
      </w:r>
      <w:r w:rsidR="00FF1173">
        <w:t>December</w:t>
      </w:r>
      <w:r>
        <w:t xml:space="preserve"> 2016</w:t>
      </w:r>
      <w:r w:rsidR="00FF1173">
        <w:t xml:space="preserve"> (</w:t>
      </w:r>
      <w:hyperlink r:id="rId9" w:history="1">
        <w:r w:rsidR="00FF1173" w:rsidRPr="004166B7">
          <w:rPr>
            <w:rStyle w:val="Hyperlink"/>
          </w:rPr>
          <w:t>http://reliefweb.int/sites/reliefweb.int/files/resources/UNICEF%20South%20Sudan%20Humanitarian%20SitRep%20%2399%20-%2015%20Dec%202016.pdf</w:t>
        </w:r>
      </w:hyperlink>
      <w:r w:rsidR="00FF1173">
        <w:t>).</w:t>
      </w:r>
      <w:r>
        <w:fldChar w:fldCharType="begin" w:fldLock="1"/>
      </w:r>
      <w:r w:rsidR="00A445BB">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207B44" w:rsidRPr="00207B44">
        <w:rPr>
          <w:noProof/>
          <w:vertAlign w:val="superscript"/>
        </w:rPr>
        <w:t>7</w:t>
      </w:r>
      <w:r>
        <w:fldChar w:fldCharType="end"/>
      </w:r>
      <w:r>
        <w:t xml:space="preserve"> </w:t>
      </w:r>
      <w:r w:rsidR="0099479A">
        <w:t xml:space="preserve">Possible driving factors for this apparent outbreak susceptibility include waning VE, birth and influx of susceptible individuals, and death and resettlement of vaccinated individuals, but the relative contributions of these factors and whether they are sufficient explanations remains to be seen. </w:t>
      </w:r>
      <w:r>
        <w:t xml:space="preserve">Furthermore, </w:t>
      </w:r>
      <w:r w:rsidR="0099479A">
        <w:t xml:space="preserve">migration rates have been seen to vary widely in OCV clinical trials, including 10% </w:t>
      </w:r>
      <w:r>
        <w:t>loss to follow up</w:t>
      </w:r>
      <w:r w:rsidR="0099479A">
        <w:t xml:space="preserve"> over two years</w:t>
      </w:r>
      <w:r>
        <w:t xml:space="preserve"> due to migration of participants in Calcutta</w:t>
      </w:r>
      <w:r>
        <w:fldChar w:fldCharType="begin" w:fldLock="1"/>
      </w:r>
      <w:r w:rsidR="00A445BB">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207B44" w:rsidRPr="00207B44">
        <w:rPr>
          <w:noProof/>
          <w:vertAlign w:val="superscript"/>
        </w:rPr>
        <w:t>8</w:t>
      </w:r>
      <w:r>
        <w:fldChar w:fldCharType="end"/>
      </w:r>
      <w:r>
        <w:t xml:space="preserve"> and up to 58% over two years in parts of Dhaka.</w:t>
      </w:r>
      <w:r>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207B44" w:rsidRPr="00207B44">
        <w:rPr>
          <w:noProof/>
          <w:vertAlign w:val="superscript"/>
        </w:rPr>
        <w:t>9</w:t>
      </w:r>
      <w:r>
        <w:fldChar w:fldCharType="end"/>
      </w:r>
    </w:p>
    <w:p w14:paraId="1E017F51" w14:textId="77777777" w:rsidR="003D39B4" w:rsidRDefault="003D39B4"/>
    <w:p w14:paraId="4AF9FDC6" w14:textId="25F4D5ED" w:rsidR="00215957" w:rsidRPr="00A445BB" w:rsidRDefault="00A445BB" w:rsidP="00A445BB">
      <w:r>
        <w:t>Following a large scale-up in control measures, such as mass vaccination, a period of low incidence, called the honeymoon period, is expected.</w:t>
      </w:r>
      <w:r>
        <w:fldChar w:fldCharType="begin" w:fldLock="1"/>
      </w:r>
      <w:r>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Pr="00A445BB">
        <w:rPr>
          <w:noProof/>
          <w:vertAlign w:val="superscript"/>
        </w:rPr>
        <w:t>10</w:t>
      </w:r>
      <w:r>
        <w:fldChar w:fldCharType="end"/>
      </w:r>
      <w:r>
        <w:t xml:space="preserve"> Modeling studies of other disease systems (e.g., HIV,</w:t>
      </w:r>
      <w:r>
        <w:fldChar w:fldCharType="begin" w:fldLock="1"/>
      </w:r>
      <w:r>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"&lt;sup&gt;11,12&lt;/sup&gt;", "plainTextFormattedCitation" : "11,12", "previouslyFormattedCitation" : "&lt;sup&gt;11,12&lt;/sup&gt;" }, "properties" : { "noteIndex" : 0 }, "schema" : "https://github.com/citation-style-language/schema/raw/master/csl-citation.json" }</w:instrText>
      </w:r>
      <w:r>
        <w:fldChar w:fldCharType="separate"/>
      </w:r>
      <w:r w:rsidRPr="00A445BB">
        <w:rPr>
          <w:noProof/>
          <w:vertAlign w:val="superscript"/>
        </w:rPr>
        <w:t>11,12</w:t>
      </w:r>
      <w:r>
        <w:fldChar w:fldCharType="end"/>
      </w:r>
      <w:r>
        <w:t xml:space="preserve"> measles,</w:t>
      </w:r>
      <w:r>
        <w:fldChar w:fldCharType="begin" w:fldLock="1"/>
      </w:r>
      <w:r>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Pr="00A445BB">
        <w:rPr>
          <w:noProof/>
          <w:vertAlign w:val="superscript"/>
        </w:rPr>
        <w:t>13</w:t>
      </w:r>
      <w:r>
        <w:fldChar w:fldCharType="end"/>
      </w:r>
      <w:r>
        <w:t xml:space="preserve"> pertussis,</w:t>
      </w:r>
      <w:r>
        <w:fldChar w:fldCharType="begin" w:fldLock="1"/>
      </w:r>
      <w:r>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Pr="00A445BB">
        <w:rPr>
          <w:noProof/>
          <w:vertAlign w:val="superscript"/>
        </w:rPr>
        <w:t>14</w:t>
      </w:r>
      <w:r>
        <w:fldChar w:fldCharType="end"/>
      </w:r>
      <w:r>
        <w:t xml:space="preserve"> and rubella</w:t>
      </w:r>
      <w:r>
        <w:fldChar w:fldCharType="begin" w:fldLock="1"/>
      </w:r>
      <w:r w:rsidR="00BE2545">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A445BB">
        <w:rPr>
          <w:noProof/>
          <w:vertAlign w:val="superscript"/>
        </w:rPr>
        <w:t>15</w:t>
      </w:r>
      <w:r>
        <w:fldChar w:fldCharType="end"/>
      </w:r>
      <w:r>
        <w:t>) have shown a relationship between herd immunity and factors such as the VE profile, VC, demographic turnover, and R</w:t>
      </w:r>
      <w:r>
        <w:rPr>
          <w:vertAlign w:val="subscript"/>
        </w:rPr>
        <w:t>0</w:t>
      </w:r>
      <w:r>
        <w:t>, but no study to our knowledge has demonstrated the relative contributions of these driving factors and, most notably, human migration, on waning herd immunity.</w:t>
      </w:r>
    </w:p>
    <w:p w14:paraId="05E008E1" w14:textId="77777777" w:rsidR="0099479A" w:rsidRDefault="0099479A"/>
    <w:p w14:paraId="3982529A" w14:textId="05FC2930" w:rsidR="00F539C6"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p>
    <w:p w14:paraId="36F12C00" w14:textId="77777777" w:rsidR="005C7B32" w:rsidRDefault="005C7B32" w:rsidP="005C7B32">
      <w:pPr>
        <w:rPr>
          <w:b/>
        </w:rPr>
      </w:pPr>
    </w:p>
    <w:p w14:paraId="79087810" w14:textId="77777777" w:rsidR="0099479A" w:rsidRDefault="0099479A">
      <w:pPr>
        <w:rPr>
          <w:b/>
        </w:rPr>
      </w:pPr>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7EB42306"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proofErr w:type="gramStart"/>
      <w:r w:rsidR="00EB221D">
        <w:t>, ...</w:t>
      </w:r>
      <w:proofErr w:type="gramEnd"/>
      <w:r w:rsidR="00EB221D">
        <w:t xml:space="preserve">,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-distribution for the duration of time in the V-ensemble</w:t>
      </w:r>
      <w:r w:rsidR="003542BB">
        <w:t>.</w:t>
      </w:r>
      <w:r w:rsidR="003542BB">
        <w:fldChar w:fldCharType="begin" w:fldLock="1"/>
      </w:r>
      <w:r w:rsidR="00BE254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"&lt;sup&gt;16,17&lt;/sup&gt;", "plainTextFormattedCitation" : "16,17", "previouslyFormattedCitation" : "&lt;sup&gt;16,17&lt;/sup&gt;" }, "properties" : { "noteIndex" : 0 }, "schema" : "https://github.com/citation-style-language/schema/raw/master/csl-citation.json" }</w:instrText>
      </w:r>
      <w:r w:rsidR="003542BB">
        <w:fldChar w:fldCharType="separate"/>
      </w:r>
      <w:r w:rsidR="00A445BB" w:rsidRPr="00A445BB">
        <w:rPr>
          <w:noProof/>
          <w:vertAlign w:val="superscript"/>
        </w:rPr>
        <w:t>16,17</w:t>
      </w:r>
      <w:r w:rsidR="003542BB">
        <w:fldChar w:fldCharType="end"/>
      </w:r>
      <w:r w:rsidR="00C346FB">
        <w:t xml:space="preserve">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5D2453F1" w14:textId="77777777" w:rsidR="006B582E" w:rsidRDefault="006B582E" w:rsidP="005C7B32"/>
    <w:p w14:paraId="05C9FCC8" w14:textId="4AE29257" w:rsidR="006B582E" w:rsidRDefault="006B582E" w:rsidP="006B582E">
      <w:r>
        <w:t>We assume individuals within the populati</w:t>
      </w:r>
      <w:r w:rsidR="00C30928">
        <w:t xml:space="preserve">on are </w:t>
      </w:r>
      <w:proofErr w:type="gramStart"/>
      <w:r w:rsidR="00C30928">
        <w:t>well-mixed</w:t>
      </w:r>
      <w:proofErr w:type="gramEnd"/>
      <w:r w:rsidR="00C30928">
        <w:t xml:space="preserve"> and i</w:t>
      </w:r>
      <w:r>
        <w:t xml:space="preserve">ndividuals emigrate from the population at a rate that is equal for all compartments. Unless otherwise noted, the total system size is held constant by offsetting this emigration with an equal rate of immigration. Our main results assume that immigration is </w:t>
      </w:r>
      <w:proofErr w:type="gramStart"/>
      <w:r>
        <w:t>entirely into the S compartment, meaning incoming migrants bring neither vaccine-derived nor naturally acquired immunity into the population</w:t>
      </w:r>
      <w:proofErr w:type="gramEnd"/>
      <w:r>
        <w:t xml:space="preserve"> (see the supplement for alternative assumptions regarding immune migrants). </w:t>
      </w:r>
    </w:p>
    <w:p w14:paraId="30F32F5E" w14:textId="77777777" w:rsidR="006B582E" w:rsidRDefault="006B582E" w:rsidP="006B582E"/>
    <w:p w14:paraId="5225B6C9" w14:textId="4F5D127E"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BE254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A445BB" w:rsidRPr="00A445BB">
        <w:rPr>
          <w:noProof/>
          <w:vertAlign w:val="superscript"/>
        </w:rPr>
        <w:t>18</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4CB14FBD" w:rsidR="005C7B32" w:rsidRDefault="00C346FB" w:rsidP="005C7B32">
      <w:r>
        <w:t xml:space="preserve">We adapted monthly </w:t>
      </w:r>
      <w:proofErr w:type="gramStart"/>
      <w:r>
        <w:t>VE(</w:t>
      </w:r>
      <w:proofErr w:type="gramEnd"/>
      <w:r>
        <w:t>t) estimates u</w:t>
      </w:r>
      <w:r w:rsidR="003542BB">
        <w:t>sing data from Clemens et al.</w:t>
      </w:r>
      <w:r w:rsidR="003542BB">
        <w:fldChar w:fldCharType="begin" w:fldLock="1"/>
      </w:r>
      <w:r w:rsidR="00BE254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A445BB" w:rsidRPr="00A445BB">
        <w:rPr>
          <w:noProof/>
          <w:vertAlign w:val="superscript"/>
        </w:rPr>
        <w:t>19</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BE254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A445BB" w:rsidRPr="00A445BB">
        <w:rPr>
          <w:noProof/>
          <w:vertAlign w:val="superscript"/>
        </w:rPr>
        <w:t>20</w:t>
      </w:r>
      <w:r w:rsidR="003542BB">
        <w:fldChar w:fldCharType="end"/>
      </w:r>
      <w:r w:rsidR="00BE4FAD">
        <w:t xml:space="preserve"> We </w:t>
      </w:r>
      <w:r>
        <w:t xml:space="preserve">define </w:t>
      </w:r>
      <w:proofErr w:type="gramStart"/>
      <w:r>
        <w:t>VE(</w:t>
      </w:r>
      <w:proofErr w:type="gramEnd"/>
      <w:r>
        <w:t xml:space="preserve">1) to be the VE for months [0,1) post-vaccination, VE(2) to be the VE for months [1,2) post-vaccination, etc. We parameterized the time-varying distribution </w:t>
      </w:r>
      <w:proofErr w:type="gramStart"/>
      <w:r w:rsidR="00B62E25">
        <w:t>VE(</w:t>
      </w:r>
      <w:proofErr w:type="gramEnd"/>
      <w:r w:rsidR="00B62E25">
        <w:t>t)</w:t>
      </w:r>
      <w:r>
        <w:t xml:space="preserve"> of WC and BS-WC vac</w:t>
      </w:r>
      <w:r w:rsidR="003542BB">
        <w:t>cines using tables provided by Durham et al.</w:t>
      </w:r>
      <w:r w:rsidR="003542BB">
        <w:fldChar w:fldCharType="begin" w:fldLock="1"/>
      </w:r>
      <w:r w:rsidR="00BE254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A445BB" w:rsidRPr="00A445BB">
        <w:rPr>
          <w:noProof/>
          <w:vertAlign w:val="superscript"/>
        </w:rPr>
        <w:t>20</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1104CB33"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A445BB">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207B44" w:rsidRPr="00207B44">
        <w:rPr>
          <w:noProof/>
          <w:vertAlign w:val="superscript"/>
        </w:rPr>
        <w:t>8</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207B44" w:rsidRPr="00207B44">
        <w:rPr>
          <w:noProof/>
          <w:vertAlign w:val="superscript"/>
        </w:rPr>
        <w:t>9</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w:t>
      </w:r>
      <w:r w:rsidR="002C409D">
        <w:lastRenderedPageBreak/>
        <w:t>February to October 2016</w:t>
      </w:r>
      <w:r w:rsidR="00B62E25">
        <w:t>, during</w:t>
      </w:r>
      <w:r w:rsidR="002C409D">
        <w:t xml:space="preserve"> which IOM reports a rather stable population of 104,000 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364B573C" w:rsidR="005C7B32" w:rsidRDefault="007059D1" w:rsidP="005C7B32">
      <w:r>
        <w:t>We define the duration of herd immunity (DHI)</w:t>
      </w:r>
      <w:r w:rsidR="00541512">
        <w:t xml:space="preserve"> </w:t>
      </w:r>
      <w:r>
        <w:t>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966387"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2CC2FAE1"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A445BB" w:rsidRPr="00A445BB">
        <w:rPr>
          <w:noProof/>
          <w:vertAlign w:val="superscript"/>
        </w:rPr>
        <w:t>21</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w:proofErr w:type="gramStart"/>
        <m:r>
          <w:rPr>
            <w:rFonts w:ascii="Cambria Math" w:hAnsi="Cambria Math"/>
          </w:rPr>
          <m:t>,..</m:t>
        </m:r>
      </m:oMath>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"&lt;sup&gt;21,22&lt;/sup&gt;", "plainTextFormattedCitation" : "21,22", "previouslyFormattedCitation" : "&lt;sup&gt;21,22&lt;/sup&gt;" }, "properties" : { "noteIndex" : 0 }, "schema" : "https://github.com/citation-style-language/schema/raw/master/csl-citation.json" }</w:instrText>
      </w:r>
      <w:r w:rsidR="00046565">
        <w:fldChar w:fldCharType="separate"/>
      </w:r>
      <w:r w:rsidR="00A445BB" w:rsidRPr="00A445BB">
        <w:rPr>
          <w:noProof/>
          <w:vertAlign w:val="superscript"/>
        </w:rPr>
        <w:t>21,22</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28590E55"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xml:space="preserve">, i.e., “Mass then </w:t>
      </w:r>
      <w:proofErr w:type="gramStart"/>
      <w:r w:rsidR="00BE2545">
        <w:t>Maintain</w:t>
      </w:r>
      <w:proofErr w:type="gramEnd"/>
      <w:r w:rsidR="00BE2545">
        <w:t>.”</w:t>
      </w:r>
      <w:r>
        <w:t xml:space="preserve"> Routine vaccination can be performed daily for a particular fraction</w:t>
      </w:r>
      <w:r w:rsidR="00AD63AF">
        <w:t xml:space="preserve"> of</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445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"&lt;sup&gt;5&lt;/sup&gt;", "plainTextFormattedCitation" : "5", "previouslyFormattedCitation" : "&lt;sup&gt;5&lt;/sup&gt;" }, "properties" : { "noteIndex" : 0 }, "schema" : "https://github.com/citation-style-language/schema/raw/master/csl-citation.json" }</w:instrText>
      </w:r>
      <w:r w:rsidR="00046565">
        <w:fldChar w:fldCharType="separate"/>
      </w:r>
      <w:r w:rsidR="00207B44" w:rsidRPr="00207B44">
        <w:rPr>
          <w:noProof/>
          <w:vertAlign w:val="superscript"/>
        </w:rPr>
        <w:t>5</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7DE49DD6" w:rsidR="009D0774" w:rsidRDefault="009D0774" w:rsidP="005C7B32">
      <w:proofErr w:type="spellStart"/>
      <w:r>
        <w:rPr>
          <w:i/>
        </w:rPr>
        <w:t>Bentiu</w:t>
      </w:r>
      <w:proofErr w:type="spellEnd"/>
      <w:r>
        <w:rPr>
          <w:i/>
        </w:rPr>
        <w:t xml:space="preserve"> </w:t>
      </w:r>
      <w:proofErr w:type="spellStart"/>
      <w:r>
        <w:rPr>
          <w:i/>
        </w:rPr>
        <w:t>PoC</w:t>
      </w:r>
      <w:proofErr w:type="spellEnd"/>
      <w:r>
        <w:rPr>
          <w:i/>
        </w:rPr>
        <w:t xml:space="preserve"> Case Study</w:t>
      </w:r>
    </w:p>
    <w:p w14:paraId="329295F3" w14:textId="392B5C81" w:rsidR="006168CB" w:rsidRDefault="006168CB" w:rsidP="009D0774">
      <w:pPr>
        <w:pStyle w:val="ListParagraph"/>
        <w:numPr>
          <w:ilvl w:val="0"/>
          <w:numId w:val="3"/>
        </w:numPr>
      </w:pPr>
      <w:r>
        <w:t>Population sizes</w:t>
      </w:r>
    </w:p>
    <w:p w14:paraId="08D04673" w14:textId="4A1E5568" w:rsidR="006168CB" w:rsidRDefault="006168CB" w:rsidP="006168CB">
      <w:pPr>
        <w:pStyle w:val="ListParagraph"/>
        <w:numPr>
          <w:ilvl w:val="1"/>
          <w:numId w:val="3"/>
        </w:numPr>
      </w:pPr>
      <w:r>
        <w:t xml:space="preserve">To approximate the </w:t>
      </w:r>
      <w:proofErr w:type="spellStart"/>
      <w:r>
        <w:t>Bentiu</w:t>
      </w:r>
      <w:proofErr w:type="spellEnd"/>
      <w:r>
        <w:t xml:space="preserve"> </w:t>
      </w:r>
      <w:proofErr w:type="spellStart"/>
      <w:r>
        <w:t>PoC</w:t>
      </w:r>
      <w:proofErr w:type="spellEnd"/>
      <w:r>
        <w:t xml:space="preserve"> Camp population size, we isolated three key periods of population change: nearly linear growth until a peak in December </w:t>
      </w:r>
      <w:r>
        <w:lastRenderedPageBreak/>
        <w:t>2015; nearly linear population decay until stabilization in April 2015; and nearly constant population size until the end of t</w:t>
      </w:r>
      <w:r w:rsidR="00104461">
        <w:t>he case study in December 2016. See Supplemental Information for modeling details</w:t>
      </w:r>
    </w:p>
    <w:p w14:paraId="66093A03" w14:textId="20F29B33" w:rsidR="00104461" w:rsidRDefault="00104461" w:rsidP="00104461">
      <w:pPr>
        <w:pStyle w:val="ListParagraph"/>
        <w:numPr>
          <w:ilvl w:val="0"/>
          <w:numId w:val="3"/>
        </w:numPr>
      </w:pPr>
      <w:r>
        <w:t>Scenarios</w:t>
      </w:r>
    </w:p>
    <w:p w14:paraId="2E6A6375" w14:textId="1B81FA35" w:rsidR="00104461" w:rsidRDefault="00104461" w:rsidP="00104461">
      <w:pPr>
        <w:pStyle w:val="ListParagraph"/>
        <w:numPr>
          <w:ilvl w:val="1"/>
          <w:numId w:val="3"/>
        </w:numPr>
      </w:pPr>
      <w:r>
        <w:t>Observed</w:t>
      </w:r>
    </w:p>
    <w:p w14:paraId="3C301427" w14:textId="64BD317C" w:rsidR="00104461" w:rsidRDefault="00104461" w:rsidP="00104461">
      <w:pPr>
        <w:pStyle w:val="ListParagraph"/>
        <w:numPr>
          <w:ilvl w:val="2"/>
          <w:numId w:val="3"/>
        </w:numPr>
      </w:pPr>
      <w:r>
        <w:t xml:space="preserve">Empirical </w:t>
      </w:r>
      <w:proofErr w:type="gramStart"/>
      <w:r>
        <w:t>VE(</w:t>
      </w:r>
      <w:proofErr w:type="gramEnd"/>
      <w:r>
        <w:t>t), N(t), Routine Migration. Conservatively high estimate of birth/death</w:t>
      </w:r>
    </w:p>
    <w:p w14:paraId="29C92D94" w14:textId="1E48DAAC" w:rsidR="00104461" w:rsidRDefault="00104461" w:rsidP="00104461">
      <w:pPr>
        <w:pStyle w:val="ListParagraph"/>
        <w:numPr>
          <w:ilvl w:val="1"/>
          <w:numId w:val="3"/>
        </w:numPr>
      </w:pPr>
      <w:r>
        <w:t>Composite Counterfactual</w:t>
      </w:r>
    </w:p>
    <w:p w14:paraId="69FEFFBA" w14:textId="70FB17E2" w:rsidR="00104461" w:rsidRDefault="00104461" w:rsidP="00104461">
      <w:pPr>
        <w:pStyle w:val="ListParagraph"/>
        <w:numPr>
          <w:ilvl w:val="2"/>
          <w:numId w:val="3"/>
        </w:numPr>
      </w:pPr>
      <w:r>
        <w:t xml:space="preserve">To estimate the susceptibility profile </w:t>
      </w:r>
      <w:proofErr w:type="gramStart"/>
      <w:r>
        <w:t>X(</w:t>
      </w:r>
      <w:proofErr w:type="gramEnd"/>
      <w:r>
        <w:t xml:space="preserve">t) in the a counterfactual (“best case”) scenario, we held VE constant at its max value, 0.583, for all time since vaccination, we halted population flux by holding N(t) constant at 100,000, we held routine migration rates to zero, and we held birth/death rates to zero. </w:t>
      </w:r>
    </w:p>
    <w:p w14:paraId="708AF8C9" w14:textId="2A30A7F3" w:rsidR="00104461" w:rsidRDefault="00CF2EF3" w:rsidP="00104461">
      <w:pPr>
        <w:pStyle w:val="ListParagraph"/>
        <w:numPr>
          <w:ilvl w:val="1"/>
          <w:numId w:val="3"/>
        </w:numPr>
      </w:pPr>
      <w:proofErr w:type="spellStart"/>
      <w:r>
        <w:t>Univariate</w:t>
      </w:r>
      <w:proofErr w:type="spellEnd"/>
      <w:r w:rsidR="00104461">
        <w:t xml:space="preserve"> Counterfactual</w:t>
      </w:r>
    </w:p>
    <w:p w14:paraId="7DB1C4DC" w14:textId="78C039A3" w:rsidR="00CF2EF3" w:rsidRDefault="00CF2EF3" w:rsidP="00CF2EF3">
      <w:pPr>
        <w:pStyle w:val="ListParagraph"/>
        <w:numPr>
          <w:ilvl w:val="2"/>
          <w:numId w:val="3"/>
        </w:numPr>
      </w:pPr>
      <w:r>
        <w:t xml:space="preserve">To isolate the impact of each of four key drivers of waning herd immunity, we simulated </w:t>
      </w:r>
      <w:proofErr w:type="spellStart"/>
      <w:r>
        <w:t>univariate</w:t>
      </w:r>
      <w:proofErr w:type="spellEnd"/>
      <w:r>
        <w:t xml:space="preserve"> counterfactual scenarios under which one driver is set to the “observed” condition while the other three were held at the counterfactual condition (Table 1).</w:t>
      </w:r>
    </w:p>
    <w:p w14:paraId="6B576900" w14:textId="17EB53F8" w:rsidR="009D0774" w:rsidRDefault="009D0774" w:rsidP="009D0774">
      <w:pPr>
        <w:pStyle w:val="ListParagraph"/>
        <w:numPr>
          <w:ilvl w:val="0"/>
          <w:numId w:val="3"/>
        </w:numPr>
      </w:pPr>
      <w:r>
        <w:t>Attributable %</w:t>
      </w:r>
    </w:p>
    <w:p w14:paraId="6C4BF6DB" w14:textId="1126E7F2" w:rsidR="009D0774" w:rsidRDefault="009D0774" w:rsidP="009D0774">
      <w:pPr>
        <w:pStyle w:val="ListParagraph"/>
        <w:numPr>
          <w:ilvl w:val="1"/>
          <w:numId w:val="3"/>
        </w:numPr>
      </w:pPr>
      <w:r>
        <w:t xml:space="preserve">Calculate </w:t>
      </w:r>
      <w:proofErr w:type="gramStart"/>
      <w:r>
        <w:t>X(</w:t>
      </w:r>
      <w:proofErr w:type="gramEnd"/>
      <w:r>
        <w:t>t) on Oct 16, 2016 in the composite counter</w:t>
      </w:r>
      <w:r w:rsidR="00CF2EF3">
        <w:t xml:space="preserve">factual </w:t>
      </w:r>
      <w:r w:rsidR="0047120A">
        <w:t>scenario</w:t>
      </w:r>
      <w:r w:rsidR="006168CB">
        <w:t xml:space="preserve"> (X(t)</w:t>
      </w:r>
      <w:r w:rsidR="006168CB">
        <w:rPr>
          <w:vertAlign w:val="subscript"/>
        </w:rPr>
        <w:t>composite</w:t>
      </w:r>
      <w:r w:rsidR="006168CB">
        <w:t>)</w:t>
      </w:r>
      <w:r w:rsidR="0047120A">
        <w:t xml:space="preserve"> </w:t>
      </w:r>
      <w:r>
        <w:t xml:space="preserve">as well as each of the </w:t>
      </w:r>
      <w:proofErr w:type="spellStart"/>
      <w:r>
        <w:t>univariate</w:t>
      </w:r>
      <w:proofErr w:type="spellEnd"/>
      <w:r>
        <w:t xml:space="preserve"> counterfactual scenarios</w:t>
      </w:r>
      <w:r w:rsidR="0047120A">
        <w:t xml:space="preserve"> that isolate one driver of waning herd immunity</w:t>
      </w:r>
      <w:r w:rsidR="006168CB">
        <w:t xml:space="preserve"> (X(t)</w:t>
      </w:r>
      <w:proofErr w:type="spellStart"/>
      <w:r w:rsidR="006168CB">
        <w:rPr>
          <w:vertAlign w:val="subscript"/>
        </w:rPr>
        <w:t>univariate</w:t>
      </w:r>
      <w:proofErr w:type="spellEnd"/>
      <w:r w:rsidR="006168CB" w:rsidRPr="006168CB">
        <w:t>)</w:t>
      </w:r>
      <w:r>
        <w:t>.</w:t>
      </w:r>
    </w:p>
    <w:p w14:paraId="30353505" w14:textId="5E718E00" w:rsidR="009D0774" w:rsidRDefault="009D0774" w:rsidP="009D0774">
      <w:pPr>
        <w:pStyle w:val="ListParagraph"/>
        <w:numPr>
          <w:ilvl w:val="1"/>
          <w:numId w:val="3"/>
        </w:numPr>
      </w:pPr>
      <w:r>
        <w:t xml:space="preserve">For each </w:t>
      </w:r>
      <w:proofErr w:type="spellStart"/>
      <w:r>
        <w:t>univariate</w:t>
      </w:r>
      <w:proofErr w:type="spellEnd"/>
      <w:r>
        <w:t xml:space="preserve"> scenario, calculate the difference</w:t>
      </w:r>
      <w:r w:rsidR="006168CB">
        <w:t xml:space="preserve"> </w:t>
      </w:r>
      <w:r w:rsidR="006168CB" w:rsidRPr="006168CB">
        <w:sym w:font="Symbol" w:char="F044"/>
      </w:r>
      <w:proofErr w:type="gramStart"/>
      <w:r w:rsidR="006168CB" w:rsidRPr="006168CB">
        <w:t>X(</w:t>
      </w:r>
      <w:proofErr w:type="gramEnd"/>
      <w:r w:rsidR="006168CB" w:rsidRPr="006168CB">
        <w:t>t)</w:t>
      </w:r>
      <w:r w:rsidR="006168CB">
        <w:t xml:space="preserve"> = </w:t>
      </w:r>
      <w:r>
        <w:t>X(t)</w:t>
      </w:r>
      <w:proofErr w:type="spellStart"/>
      <w:r w:rsidR="006168CB">
        <w:rPr>
          <w:vertAlign w:val="subscript"/>
        </w:rPr>
        <w:t>univariate</w:t>
      </w:r>
      <w:proofErr w:type="spellEnd"/>
      <w:r w:rsidR="006168CB">
        <w:t xml:space="preserve"> – X(t)</w:t>
      </w:r>
      <w:r w:rsidR="006168CB" w:rsidRPr="006168CB">
        <w:rPr>
          <w:vertAlign w:val="subscript"/>
        </w:rPr>
        <w:t>composite</w:t>
      </w:r>
      <w:r w:rsidR="0047120A">
        <w:t xml:space="preserve"> </w:t>
      </w:r>
    </w:p>
    <w:p w14:paraId="62A433B5" w14:textId="71034641" w:rsidR="009D0774" w:rsidRPr="009D0774" w:rsidRDefault="006168CB" w:rsidP="009D0774">
      <w:pPr>
        <w:pStyle w:val="ListParagraph"/>
        <w:numPr>
          <w:ilvl w:val="1"/>
          <w:numId w:val="3"/>
        </w:numPr>
      </w:pPr>
      <w:r>
        <w:t xml:space="preserve">Calculate the percent of waning herd immunity attributable to each driver </w:t>
      </w:r>
      <w:r w:rsidRPr="006168CB">
        <w:sym w:font="Symbol" w:char="F044"/>
      </w:r>
      <w:proofErr w:type="gramStart"/>
      <w:r w:rsidRPr="006168CB">
        <w:t>X(</w:t>
      </w:r>
      <w:proofErr w:type="gramEnd"/>
      <w:r w:rsidRPr="006168CB">
        <w:t>t)</w:t>
      </w:r>
      <w:proofErr w:type="spellStart"/>
      <w:r>
        <w:rPr>
          <w:vertAlign w:val="subscript"/>
        </w:rPr>
        <w:t>univariate</w:t>
      </w:r>
      <w:proofErr w:type="spellEnd"/>
      <w:r>
        <w:t xml:space="preserve"> / sum(</w:t>
      </w:r>
      <w:r w:rsidRPr="006168CB">
        <w:sym w:font="Symbol" w:char="F044"/>
      </w:r>
      <w:r w:rsidRPr="006168CB">
        <w:t>X(t)</w:t>
      </w:r>
      <w:r>
        <w:t>)</w:t>
      </w:r>
    </w:p>
    <w:p w14:paraId="450CC59E" w14:textId="77777777" w:rsidR="00BE6A6A" w:rsidRDefault="00BE6A6A" w:rsidP="005C7B32"/>
    <w:p w14:paraId="11786E70" w14:textId="52DC3CFD" w:rsidR="006B582E" w:rsidRPr="006B582E" w:rsidRDefault="006B582E" w:rsidP="005C7B32">
      <w:commentRangeStart w:id="0"/>
      <w:r>
        <w:rPr>
          <w:i/>
        </w:rPr>
        <w:t>Disease Model Parameterization</w:t>
      </w:r>
      <w:commentRangeEnd w:id="0"/>
      <w:r>
        <w:rPr>
          <w:rStyle w:val="CommentReference"/>
        </w:rPr>
        <w:commentReference w:id="0"/>
      </w:r>
    </w:p>
    <w:p w14:paraId="61167686" w14:textId="364C547E"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w:t>
      </w:r>
      <w:r w:rsidR="00BE2545">
        <w:fldChar w:fldCharType="begin" w:fldLock="1"/>
      </w:r>
      <w:r w:rsidR="00BE2545">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"&lt;sup&gt;23&lt;/sup&gt;", "plainTextFormattedCitation" : "23" }, "properties" : { "noteIndex" : 0 }, "schema" : "https://github.com/citation-style-language/schema/raw/master/csl-citation.json" }</w:instrText>
      </w:r>
      <w:r w:rsidR="00BE2545">
        <w:fldChar w:fldCharType="separate"/>
      </w:r>
      <w:r w:rsidR="00BE2545" w:rsidRPr="00BE2545">
        <w:rPr>
          <w:noProof/>
          <w:vertAlign w:val="superscript"/>
        </w:rPr>
        <w:t>23</w:t>
      </w:r>
      <w:r w:rsidR="00BE2545">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BE254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"&lt;sup&gt;24,25&lt;/sup&gt;", "plainTextFormattedCitation" : "24,25", "previouslyFormattedCitation" : "&lt;sup&gt;23,24&lt;/sup&gt;" }, "properties" : { "noteIndex" : 0 }, "schema" : "https://github.com/citation-style-language/schema/raw/master/csl-citation.json" }</w:instrText>
      </w:r>
      <w:r w:rsidR="00046565">
        <w:fldChar w:fldCharType="separate"/>
      </w:r>
      <w:r w:rsidR="00BE2545" w:rsidRPr="00BE2545">
        <w:rPr>
          <w:noProof/>
          <w:vertAlign w:val="superscript"/>
        </w:rPr>
        <w:t>24,25</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BE254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"&lt;sup&gt;26\u201328&lt;/sup&gt;", "plainTextFormattedCitation" : "26\u201328", "previouslyFormattedCitation" : "&lt;sup&gt;25\u201327&lt;/sup&gt;" }, "properties" : { "noteIndex" : 0 }, "schema" : "https://github.com/citation-style-language/schema/raw/master/csl-citation.json" }</w:instrText>
      </w:r>
      <w:r w:rsidR="00046565">
        <w:fldChar w:fldCharType="separate"/>
      </w:r>
      <w:r w:rsidR="00BE2545" w:rsidRPr="00BE2545">
        <w:rPr>
          <w:noProof/>
          <w:vertAlign w:val="superscript"/>
        </w:rPr>
        <w:t>26–28</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1A867275" w:rsidR="006B582E" w:rsidRPr="006B582E" w:rsidRDefault="00BE2545">
      <w:pPr>
        <w:rPr>
          <w:i/>
        </w:rPr>
      </w:pPr>
      <w:r>
        <w:rPr>
          <w:i/>
        </w:rPr>
        <w:t>Herd p</w:t>
      </w:r>
      <w:r w:rsidR="006B582E">
        <w:rPr>
          <w:i/>
        </w:rPr>
        <w:t>rotection</w:t>
      </w:r>
      <w:r>
        <w:rPr>
          <w:i/>
        </w:rPr>
        <w:t xml:space="preserve"> depends on VE and migration</w:t>
      </w:r>
    </w:p>
    <w:p w14:paraId="27FD66C6" w14:textId="51A7A129"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(Supplemental Figure AA)</w:t>
      </w:r>
      <w:r w:rsidR="008B07D1">
        <w:t>.</w:t>
      </w:r>
      <w:r w:rsidR="00006508">
        <w:t xml:space="preserve"> We therefore present results in the absence of birth and death rates for simplicity unless otherwise noted.</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23154B28"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BE254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"&lt;sup&gt;29&lt;/sup&gt;", "plainTextFormattedCitation" : "29", "previouslyFormattedCitation" : "&lt;sup&gt;28&lt;/sup&gt;" }, "properties" : { "noteIndex" : 0 }, "schema" : "https://github.com/citation-style-language/schema/raw/master/csl-citation.json" }</w:instrText>
      </w:r>
      <w:r w:rsidR="00046565">
        <w:fldChar w:fldCharType="separate"/>
      </w:r>
      <w:r w:rsidR="00BE2545" w:rsidRPr="00BE2545">
        <w:rPr>
          <w:noProof/>
          <w:vertAlign w:val="superscript"/>
        </w:rPr>
        <w:t>29</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238ECFE3" w14:textId="77777777" w:rsidR="003D3632" w:rsidRDefault="003D3632" w:rsidP="00CF37BB"/>
    <w:p w14:paraId="055D8E9E" w14:textId="57F178FA" w:rsidR="006B582E" w:rsidRPr="00AC44CF" w:rsidRDefault="00AC44CF" w:rsidP="00CF37BB">
      <w:pPr>
        <w:rPr>
          <w:i/>
        </w:rPr>
      </w:pPr>
      <w:r>
        <w:rPr>
          <w:i/>
        </w:rPr>
        <w:t>Herd i</w:t>
      </w:r>
      <w:r w:rsidR="006B582E">
        <w:rPr>
          <w:i/>
        </w:rPr>
        <w:t>mmunity</w:t>
      </w:r>
      <w:r>
        <w:rPr>
          <w:i/>
        </w:rPr>
        <w:t xml:space="preserve"> requires sufficient VC that increases with R</w:t>
      </w:r>
      <w:r>
        <w:rPr>
          <w:i/>
          <w:vertAlign w:val="subscript"/>
        </w:rPr>
        <w:t>0</w:t>
      </w:r>
    </w:p>
    <w:p w14:paraId="1115B56C" w14:textId="47E99AE3" w:rsidR="003D3632" w:rsidRDefault="003D3632" w:rsidP="003D3632">
      <w:r>
        <w:t xml:space="preserve">Of interest to policy-makers is not just the duration of any herd protection, but specifically the DHI. Figure VC shows the strong positive dependence of DHI on high initial </w:t>
      </w:r>
      <w:r w:rsidR="00AC44CF">
        <w:t>VC</w:t>
      </w:r>
      <w:r>
        <w:t xml:space="preserve"> and low R</w:t>
      </w:r>
      <w:r>
        <w:softHyphen/>
      </w:r>
      <w:r>
        <w:rPr>
          <w:vertAlign w:val="subscript"/>
        </w:rPr>
        <w:t>0</w:t>
      </w:r>
      <w:r>
        <w:rPr>
          <w:vertAlign w:val="subscript"/>
        </w:rPr>
        <w:softHyphen/>
      </w:r>
      <w:r>
        <w:rPr>
          <w:vertAlign w:val="subscript"/>
        </w:rPr>
        <w:softHyphen/>
      </w:r>
      <w:r>
        <w:t xml:space="preserve">. DHI is also shortened in the presence of increasing migration and birth/death rates (Supplemental Information TBD). </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471E8A4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AC44CF">
        <w:t xml:space="preserve"> (Figure FF)</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w:t>
      </w:r>
      <w:r w:rsidR="006D6B6D">
        <w:lastRenderedPageBreak/>
        <w:t>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77777777"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207B44" w:rsidRPr="00207B44">
        <w:rPr>
          <w:noProof/>
          <w:vertAlign w:val="superscript"/>
        </w:rPr>
        <w:t>9</w:t>
      </w:r>
      <w:r w:rsidR="00046565">
        <w:fldChar w:fldCharType="end"/>
      </w:r>
      <w:r w:rsidR="00503E17">
        <w:t xml:space="preserve"> </w:t>
      </w:r>
    </w:p>
    <w:p w14:paraId="6A781B34" w14:textId="77777777" w:rsidR="00966387" w:rsidRDefault="00966387"/>
    <w:p w14:paraId="0642283E" w14:textId="3F5E3440" w:rsidR="00966387" w:rsidRDefault="00966387">
      <w:pPr>
        <w:rPr>
          <w:i/>
        </w:rPr>
      </w:pPr>
      <w:r>
        <w:rPr>
          <w:i/>
        </w:rPr>
        <w:t xml:space="preserve">Application: </w:t>
      </w:r>
      <w:proofErr w:type="spellStart"/>
      <w:r>
        <w:rPr>
          <w:i/>
        </w:rPr>
        <w:t>Bentiu</w:t>
      </w:r>
      <w:proofErr w:type="spellEnd"/>
      <w:r>
        <w:rPr>
          <w:i/>
        </w:rPr>
        <w:t xml:space="preserve"> </w:t>
      </w:r>
      <w:proofErr w:type="spellStart"/>
      <w:r>
        <w:rPr>
          <w:i/>
        </w:rPr>
        <w:t>PoC</w:t>
      </w:r>
      <w:proofErr w:type="spellEnd"/>
    </w:p>
    <w:p w14:paraId="5CCF5D4C" w14:textId="46F38054" w:rsidR="00520DD4" w:rsidRDefault="009B1E00" w:rsidP="00520DD4">
      <w:r>
        <w:t xml:space="preserve">The </w:t>
      </w:r>
      <w:proofErr w:type="spellStart"/>
      <w:r>
        <w:t>Bentiu</w:t>
      </w:r>
      <w:proofErr w:type="spellEnd"/>
      <w:r>
        <w:t xml:space="preserve"> </w:t>
      </w:r>
      <w:proofErr w:type="spellStart"/>
      <w:r>
        <w:t>PoC</w:t>
      </w:r>
      <w:proofErr w:type="spellEnd"/>
      <w:r>
        <w:t xml:space="preserve"> Camp grew from 4291 occupants in February 2014 to a peak of 140,101 in December 2015 and then converged to approximately 100,000 in April 2016 (Figure GG panel A).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w:proofErr w:type="gramStart"/>
      <w:r w:rsidR="00966387">
        <w:t>X(</w:t>
      </w:r>
      <w:proofErr w:type="gramEnd"/>
      <w:r w:rsidR="00966387">
        <w:t>t) = 0.78 by October 16, 2016, at which time the first cholera case of the outbreak was detected (Figure GG panel B).</w:t>
      </w:r>
      <w:r>
        <w:t xml:space="preserve"> </w:t>
      </w:r>
      <w:r w:rsidR="00966387">
        <w:t xml:space="preserve">For example, </w:t>
      </w:r>
      <w:r w:rsidR="00104461">
        <w:t>if we assume</w:t>
      </w:r>
      <w:r w:rsidR="00966387">
        <w:t xml:space="preserve"> R</w:t>
      </w:r>
      <w:r w:rsidR="00966387" w:rsidRPr="009B1E00">
        <w:rPr>
          <w:vertAlign w:val="subscript"/>
        </w:rPr>
        <w:t>0</w:t>
      </w:r>
      <w:r>
        <w:t xml:space="preserve"> </w:t>
      </w:r>
      <w:r w:rsidR="00104461">
        <w:t>=</w:t>
      </w:r>
      <w:r>
        <w:t xml:space="preserve"> 1.5, then </w:t>
      </w:r>
      <w:r w:rsidR="00966387">
        <w:t>R</w:t>
      </w:r>
      <w:r w:rsidR="00966387" w:rsidRPr="009B1E00">
        <w:rPr>
          <w:vertAlign w:val="subscript"/>
        </w:rPr>
        <w:t>e</w:t>
      </w:r>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(Figure GG panel C).</w:t>
      </w:r>
      <w:r w:rsidR="00BF150A">
        <w:t xml:space="preserve"> To assess what R</w:t>
      </w:r>
      <w:r w:rsidR="00BF150A" w:rsidRPr="009B1E00">
        <w:rPr>
          <w:vertAlign w:val="subscript"/>
        </w:rPr>
        <w:t>0</w:t>
      </w:r>
      <w:r w:rsidR="00BF150A">
        <w:t xml:space="preserve"> may be plausible in this setting, we estimated the time-dependent reproductive number from the observed case data using multiple retrospective methods. We found that </w:t>
      </w:r>
      <w:r w:rsidR="00520DD4">
        <w:t xml:space="preserve">a mean </w:t>
      </w:r>
      <w:r w:rsidR="00BF150A">
        <w:t>R</w:t>
      </w:r>
      <w:r w:rsidR="00BF150A" w:rsidRPr="009B1E00">
        <w:rPr>
          <w:vertAlign w:val="subscript"/>
        </w:rPr>
        <w:t>e</w:t>
      </w:r>
      <w:r w:rsidR="00BF150A">
        <w:t xml:space="preserve"> of up to 2.5 </w:t>
      </w:r>
      <w:r w:rsidR="00520DD4">
        <w:t>was</w:t>
      </w:r>
      <w:r w:rsidR="00BF150A">
        <w:t xml:space="preserve"> consistent with these data (Supplemental Figure GG).</w:t>
      </w:r>
    </w:p>
    <w:p w14:paraId="7ECABF59" w14:textId="77777777" w:rsidR="00520DD4" w:rsidRDefault="00520DD4" w:rsidP="00520DD4"/>
    <w:p w14:paraId="4206D01F" w14:textId="79DE470C" w:rsidR="00624556" w:rsidRPr="00DF6B9D" w:rsidRDefault="00100825" w:rsidP="00520DD4">
      <w:r>
        <w:t xml:space="preserve">The drivers of waning herd immunity in this population, from strongest to weakest, were population growth </w:t>
      </w:r>
      <w:proofErr w:type="gramStart"/>
      <w:r>
        <w:t>N(</w:t>
      </w:r>
      <w:proofErr w:type="gramEnd"/>
      <w:r>
        <w:t>t),</w:t>
      </w:r>
      <w:r w:rsidR="009D0774">
        <w:t xml:space="preserve"> routine migration, waning VE(t)</w:t>
      </w:r>
      <w:r>
        <w:t xml:space="preserve"> , and lastly births/deaths (Table 1).</w:t>
      </w:r>
      <w:r w:rsidR="00520DD4">
        <w:t xml:space="preserve"> </w:t>
      </w:r>
      <w:r>
        <w:t xml:space="preserve">In the counterfactual scenario lacking these drivers, we would expect the proportion susceptible on October 16, 2016 to be as low as </w:t>
      </w:r>
      <w:proofErr w:type="gramStart"/>
      <w:r>
        <w:t>X</w:t>
      </w:r>
      <w:r w:rsidR="00DF6B9D">
        <w:t>(</w:t>
      </w:r>
      <w:proofErr w:type="gramEnd"/>
      <w:r w:rsidR="00DF6B9D">
        <w:t>t)=0.46</w:t>
      </w:r>
      <w:r>
        <w:t>, which w</w:t>
      </w:r>
      <w:bookmarkStart w:id="1" w:name="_GoBack"/>
      <w:bookmarkEnd w:id="1"/>
      <w:r>
        <w:t xml:space="preserve">ould render </w:t>
      </w:r>
      <w:r w:rsidR="00DF6B9D">
        <w:t>herd immunity even when R</w:t>
      </w:r>
      <w:r w:rsidR="00DF6B9D">
        <w:rPr>
          <w:vertAlign w:val="subscript"/>
        </w:rPr>
        <w:t>0</w:t>
      </w:r>
      <w:r w:rsidR="00DF6B9D">
        <w:t xml:space="preserve"> exceeds 2.</w:t>
      </w:r>
    </w:p>
    <w:p w14:paraId="2B7FCEB2" w14:textId="77777777" w:rsidR="00403CC2" w:rsidRDefault="00403CC2">
      <w:pPr>
        <w:rPr>
          <w:b/>
        </w:rPr>
      </w:pPr>
      <w:r>
        <w:rPr>
          <w:b/>
        </w:rPr>
        <w:br w:type="page"/>
      </w:r>
    </w:p>
    <w:p w14:paraId="07742BCA" w14:textId="247EB202" w:rsidR="00403CC2" w:rsidRPr="00403CC2" w:rsidRDefault="00403CC2" w:rsidP="00403CC2">
      <w:pPr>
        <w:rPr>
          <w:b/>
        </w:rPr>
      </w:pPr>
      <w:r w:rsidRPr="00403CC2">
        <w:rPr>
          <w:b/>
        </w:rPr>
        <w:lastRenderedPageBreak/>
        <w:t xml:space="preserve">Table 1. Drivers of waning herd immunity in </w:t>
      </w:r>
      <w:proofErr w:type="spellStart"/>
      <w:r w:rsidRPr="00403CC2">
        <w:rPr>
          <w:b/>
        </w:rPr>
        <w:t>Bentiu</w:t>
      </w:r>
      <w:proofErr w:type="spellEnd"/>
      <w:r w:rsidRPr="00403CC2">
        <w:rPr>
          <w:b/>
        </w:rPr>
        <w:t xml:space="preserve"> </w:t>
      </w:r>
      <w:proofErr w:type="spellStart"/>
      <w:r w:rsidRPr="00403CC2">
        <w:rPr>
          <w:b/>
        </w:rPr>
        <w:t>PoC</w:t>
      </w:r>
      <w:proofErr w:type="spellEnd"/>
    </w:p>
    <w:tbl>
      <w:tblPr>
        <w:tblStyle w:val="TableGrid"/>
        <w:tblW w:w="0" w:type="auto"/>
        <w:tblLook w:val="04A0" w:firstRow="1" w:lastRow="0" w:firstColumn="1" w:lastColumn="0" w:noHBand="0" w:noVBand="1"/>
      </w:tblPr>
      <w:tblGrid>
        <w:gridCol w:w="1662"/>
        <w:gridCol w:w="1095"/>
        <w:gridCol w:w="1225"/>
        <w:gridCol w:w="1408"/>
        <w:gridCol w:w="1175"/>
        <w:gridCol w:w="877"/>
        <w:gridCol w:w="716"/>
        <w:gridCol w:w="1418"/>
      </w:tblGrid>
      <w:tr w:rsidR="007C15E6" w:rsidRPr="009D0774" w14:paraId="3ED90BCB" w14:textId="552522B7" w:rsidTr="00786B9B">
        <w:tc>
          <w:tcPr>
            <w:tcW w:w="1665"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96" w:type="dxa"/>
            <w:vAlign w:val="center"/>
          </w:tcPr>
          <w:p w14:paraId="74A3DC88" w14:textId="766D748C" w:rsidR="007C15E6" w:rsidRPr="009D0774" w:rsidRDefault="007C15E6" w:rsidP="00D65AB7">
            <w:pPr>
              <w:jc w:val="center"/>
              <w:rPr>
                <w:b/>
                <w:sz w:val="20"/>
                <w:szCs w:val="20"/>
              </w:rPr>
            </w:pPr>
            <w:proofErr w:type="gramStart"/>
            <w:r w:rsidRPr="009D0774">
              <w:rPr>
                <w:b/>
                <w:sz w:val="20"/>
                <w:szCs w:val="20"/>
              </w:rPr>
              <w:t>VE(</w:t>
            </w:r>
            <w:proofErr w:type="gramEnd"/>
            <w:r w:rsidRPr="009D0774">
              <w:rPr>
                <w:b/>
                <w:sz w:val="20"/>
                <w:szCs w:val="20"/>
              </w:rPr>
              <w:t>t)</w:t>
            </w:r>
          </w:p>
        </w:tc>
        <w:tc>
          <w:tcPr>
            <w:tcW w:w="1226" w:type="dxa"/>
            <w:vAlign w:val="center"/>
          </w:tcPr>
          <w:p w14:paraId="4D5040B8" w14:textId="35CDC0EA" w:rsidR="007C15E6" w:rsidRPr="009D0774" w:rsidRDefault="007C15E6" w:rsidP="00D65AB7">
            <w:pPr>
              <w:jc w:val="center"/>
              <w:rPr>
                <w:b/>
                <w:sz w:val="20"/>
                <w:szCs w:val="20"/>
              </w:rPr>
            </w:pPr>
            <w:proofErr w:type="gramStart"/>
            <w:r w:rsidRPr="009D0774">
              <w:rPr>
                <w:b/>
                <w:sz w:val="20"/>
                <w:szCs w:val="20"/>
              </w:rPr>
              <w:t>N(</w:t>
            </w:r>
            <w:proofErr w:type="gramEnd"/>
            <w:r w:rsidRPr="009D0774">
              <w:rPr>
                <w:b/>
                <w:sz w:val="20"/>
                <w:szCs w:val="20"/>
              </w:rPr>
              <w:t>t)</w:t>
            </w:r>
          </w:p>
        </w:tc>
        <w:tc>
          <w:tcPr>
            <w:tcW w:w="1409" w:type="dxa"/>
            <w:vAlign w:val="center"/>
          </w:tcPr>
          <w:p w14:paraId="1ACFC1AA" w14:textId="51D89464" w:rsidR="007C15E6" w:rsidRPr="009D0774" w:rsidRDefault="007C15E6" w:rsidP="00D65AB7">
            <w:pPr>
              <w:jc w:val="center"/>
              <w:rPr>
                <w:b/>
                <w:sz w:val="20"/>
                <w:szCs w:val="20"/>
              </w:rPr>
            </w:pPr>
            <w:r w:rsidRPr="009D0774">
              <w:rPr>
                <w:b/>
                <w:sz w:val="20"/>
                <w:szCs w:val="20"/>
              </w:rPr>
              <w:t>Birth/Death</w:t>
            </w:r>
          </w:p>
        </w:tc>
        <w:tc>
          <w:tcPr>
            <w:tcW w:w="1176"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878" w:type="dxa"/>
            <w:vAlign w:val="center"/>
          </w:tcPr>
          <w:p w14:paraId="13F526AA" w14:textId="53A86380" w:rsidR="007C15E6" w:rsidRPr="009D0774" w:rsidRDefault="007C15E6" w:rsidP="00D65AB7">
            <w:pPr>
              <w:jc w:val="center"/>
              <w:rPr>
                <w:b/>
                <w:sz w:val="20"/>
                <w:szCs w:val="20"/>
                <w:vertAlign w:val="subscript"/>
              </w:rPr>
            </w:pPr>
            <w:proofErr w:type="gramStart"/>
            <w:r w:rsidRPr="009D0774">
              <w:rPr>
                <w:b/>
                <w:sz w:val="20"/>
                <w:szCs w:val="20"/>
              </w:rPr>
              <w:t>X(</w:t>
            </w:r>
            <w:proofErr w:type="gramEnd"/>
            <w:r w:rsidRPr="009D0774">
              <w:rPr>
                <w:b/>
                <w:sz w:val="20"/>
                <w:szCs w:val="20"/>
              </w:rPr>
              <w:t>t)|</w:t>
            </w:r>
            <w:r w:rsidRPr="009D0774">
              <w:rPr>
                <w:b/>
                <w:sz w:val="20"/>
                <w:szCs w:val="20"/>
                <w:vertAlign w:val="subscript"/>
              </w:rPr>
              <w:t>Oct 16, 2016</w:t>
            </w:r>
          </w:p>
        </w:tc>
        <w:tc>
          <w:tcPr>
            <w:tcW w:w="707" w:type="dxa"/>
            <w:vAlign w:val="center"/>
          </w:tcPr>
          <w:p w14:paraId="6EE8A727" w14:textId="4ED546D2" w:rsidR="007C15E6" w:rsidRPr="009D0774" w:rsidRDefault="007C15E6" w:rsidP="00786B9B">
            <w:pPr>
              <w:jc w:val="center"/>
              <w:rPr>
                <w:b/>
                <w:sz w:val="20"/>
                <w:szCs w:val="20"/>
              </w:rPr>
            </w:pPr>
            <w:r>
              <w:rPr>
                <w:b/>
                <w:sz w:val="20"/>
                <w:szCs w:val="20"/>
              </w:rPr>
              <w:sym w:font="Symbol" w:char="F044"/>
            </w:r>
            <w:proofErr w:type="gramStart"/>
            <w:r>
              <w:rPr>
                <w:b/>
                <w:sz w:val="20"/>
                <w:szCs w:val="20"/>
              </w:rPr>
              <w:t>X(</w:t>
            </w:r>
            <w:proofErr w:type="gramEnd"/>
            <w:r>
              <w:rPr>
                <w:b/>
                <w:sz w:val="20"/>
                <w:szCs w:val="20"/>
              </w:rPr>
              <w:t>t)</w:t>
            </w:r>
          </w:p>
        </w:tc>
        <w:tc>
          <w:tcPr>
            <w:tcW w:w="1419"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7C15E6" w:rsidRPr="009D0774" w14:paraId="75941E69" w14:textId="77777777" w:rsidTr="007C15E6">
        <w:tc>
          <w:tcPr>
            <w:tcW w:w="1665"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96"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226"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409"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6"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878"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07" w:type="dxa"/>
            <w:vAlign w:val="center"/>
          </w:tcPr>
          <w:p w14:paraId="2CA95477" w14:textId="60C672CF" w:rsidR="007C15E6" w:rsidRPr="009D0774" w:rsidRDefault="007C15E6" w:rsidP="007C15E6">
            <w:pPr>
              <w:jc w:val="center"/>
              <w:rPr>
                <w:sz w:val="20"/>
                <w:szCs w:val="20"/>
              </w:rPr>
            </w:pPr>
            <w:r>
              <w:rPr>
                <w:sz w:val="20"/>
                <w:szCs w:val="20"/>
              </w:rPr>
              <w:t>--</w:t>
            </w:r>
          </w:p>
        </w:tc>
        <w:tc>
          <w:tcPr>
            <w:tcW w:w="1419"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7C15E6" w:rsidRPr="009D0774" w14:paraId="35D323DB" w14:textId="13FB3E72" w:rsidTr="007C15E6">
        <w:tc>
          <w:tcPr>
            <w:tcW w:w="1665" w:type="dxa"/>
            <w:shd w:val="clear" w:color="auto" w:fill="auto"/>
            <w:vAlign w:val="center"/>
          </w:tcPr>
          <w:p w14:paraId="2C89C67B" w14:textId="05B4D6F5" w:rsidR="007C15E6" w:rsidRPr="009D0774" w:rsidRDefault="007C15E6" w:rsidP="00D65AB7">
            <w:pPr>
              <w:jc w:val="center"/>
              <w:rPr>
                <w:b/>
                <w:sz w:val="20"/>
                <w:szCs w:val="20"/>
              </w:rPr>
            </w:pPr>
            <w:r w:rsidRPr="009D0774">
              <w:rPr>
                <w:b/>
                <w:sz w:val="20"/>
                <w:szCs w:val="20"/>
              </w:rPr>
              <w:t xml:space="preserve">Only </w:t>
            </w:r>
            <w:proofErr w:type="gramStart"/>
            <w:r w:rsidRPr="009D0774">
              <w:rPr>
                <w:b/>
                <w:sz w:val="20"/>
                <w:szCs w:val="20"/>
              </w:rPr>
              <w:t>VE(</w:t>
            </w:r>
            <w:proofErr w:type="gramEnd"/>
            <w:r w:rsidRPr="009D0774">
              <w:rPr>
                <w:b/>
                <w:sz w:val="20"/>
                <w:szCs w:val="20"/>
              </w:rPr>
              <w:t>t) waning</w:t>
            </w:r>
          </w:p>
        </w:tc>
        <w:tc>
          <w:tcPr>
            <w:tcW w:w="1096"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26"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409"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6"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878"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07" w:type="dxa"/>
            <w:vAlign w:val="center"/>
          </w:tcPr>
          <w:p w14:paraId="42B31062" w14:textId="244AFA59" w:rsidR="007C15E6" w:rsidRPr="009D0774" w:rsidRDefault="007C15E6" w:rsidP="007C15E6">
            <w:pPr>
              <w:jc w:val="center"/>
              <w:rPr>
                <w:sz w:val="20"/>
                <w:szCs w:val="20"/>
              </w:rPr>
            </w:pPr>
            <w:r>
              <w:rPr>
                <w:sz w:val="20"/>
                <w:szCs w:val="20"/>
              </w:rPr>
              <w:t>0.05</w:t>
            </w:r>
          </w:p>
        </w:tc>
        <w:tc>
          <w:tcPr>
            <w:tcW w:w="1419"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7C15E6" w:rsidRPr="009D0774" w14:paraId="23694327" w14:textId="53C24412" w:rsidTr="007C15E6">
        <w:tc>
          <w:tcPr>
            <w:tcW w:w="1665" w:type="dxa"/>
            <w:shd w:val="clear" w:color="auto" w:fill="auto"/>
            <w:vAlign w:val="center"/>
          </w:tcPr>
          <w:p w14:paraId="001362A0" w14:textId="7BF7B9D7" w:rsidR="007C15E6" w:rsidRPr="009D0774" w:rsidRDefault="007C15E6" w:rsidP="00D65AB7">
            <w:pPr>
              <w:jc w:val="center"/>
              <w:rPr>
                <w:b/>
                <w:sz w:val="20"/>
                <w:szCs w:val="20"/>
              </w:rPr>
            </w:pPr>
            <w:r w:rsidRPr="009D0774">
              <w:rPr>
                <w:b/>
                <w:sz w:val="20"/>
                <w:szCs w:val="20"/>
              </w:rPr>
              <w:t xml:space="preserve">Only </w:t>
            </w:r>
            <w:proofErr w:type="gramStart"/>
            <w:r w:rsidRPr="009D0774">
              <w:rPr>
                <w:b/>
                <w:sz w:val="20"/>
                <w:szCs w:val="20"/>
              </w:rPr>
              <w:t>N(</w:t>
            </w:r>
            <w:proofErr w:type="gramEnd"/>
            <w:r w:rsidRPr="009D0774">
              <w:rPr>
                <w:b/>
                <w:sz w:val="20"/>
                <w:szCs w:val="20"/>
              </w:rPr>
              <w:t>t) changes</w:t>
            </w:r>
          </w:p>
        </w:tc>
        <w:tc>
          <w:tcPr>
            <w:tcW w:w="1096"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226"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409"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6"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878"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07" w:type="dxa"/>
            <w:vAlign w:val="center"/>
          </w:tcPr>
          <w:p w14:paraId="0D858296" w14:textId="0DC54906" w:rsidR="007C15E6" w:rsidRPr="009D0774" w:rsidRDefault="007C15E6" w:rsidP="007C15E6">
            <w:pPr>
              <w:jc w:val="center"/>
              <w:rPr>
                <w:sz w:val="20"/>
                <w:szCs w:val="20"/>
              </w:rPr>
            </w:pPr>
            <w:r>
              <w:rPr>
                <w:sz w:val="20"/>
                <w:szCs w:val="20"/>
              </w:rPr>
              <w:t>0.2</w:t>
            </w:r>
          </w:p>
        </w:tc>
        <w:tc>
          <w:tcPr>
            <w:tcW w:w="1419"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7C15E6" w:rsidRPr="009D0774" w14:paraId="685635D3" w14:textId="2CB45ED9" w:rsidTr="007C15E6">
        <w:tc>
          <w:tcPr>
            <w:tcW w:w="1665"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96"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226"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409" w:type="dxa"/>
            <w:shd w:val="clear" w:color="auto" w:fill="C6D9F1" w:themeFill="text2" w:themeFillTint="33"/>
            <w:vAlign w:val="center"/>
          </w:tcPr>
          <w:p w14:paraId="484B2EE3" w14:textId="457F3F96" w:rsidR="007C15E6" w:rsidRPr="009D0774" w:rsidRDefault="007C15E6" w:rsidP="00D65AB7">
            <w:pPr>
              <w:jc w:val="center"/>
              <w:rPr>
                <w:sz w:val="20"/>
                <w:szCs w:val="20"/>
              </w:rPr>
            </w:pPr>
            <w:r w:rsidRPr="009D0774">
              <w:rPr>
                <w:sz w:val="20"/>
                <w:szCs w:val="20"/>
              </w:rPr>
              <w:t>1/40 years *</w:t>
            </w:r>
          </w:p>
        </w:tc>
        <w:tc>
          <w:tcPr>
            <w:tcW w:w="1176"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878" w:type="dxa"/>
            <w:shd w:val="clear" w:color="auto" w:fill="auto"/>
            <w:vAlign w:val="center"/>
          </w:tcPr>
          <w:p w14:paraId="07BC92BE" w14:textId="3A7C9D38" w:rsidR="007C15E6" w:rsidRPr="009D0774" w:rsidRDefault="007C15E6" w:rsidP="00D65AB7">
            <w:pPr>
              <w:jc w:val="center"/>
              <w:rPr>
                <w:sz w:val="20"/>
                <w:szCs w:val="20"/>
              </w:rPr>
            </w:pPr>
            <w:r w:rsidRPr="009D0774">
              <w:rPr>
                <w:sz w:val="20"/>
                <w:szCs w:val="20"/>
              </w:rPr>
              <w:t>0.48</w:t>
            </w:r>
          </w:p>
        </w:tc>
        <w:tc>
          <w:tcPr>
            <w:tcW w:w="707" w:type="dxa"/>
            <w:vAlign w:val="center"/>
          </w:tcPr>
          <w:p w14:paraId="5CF8A0D1" w14:textId="0727E559" w:rsidR="007C15E6" w:rsidRPr="009D0774" w:rsidRDefault="007C15E6" w:rsidP="007C15E6">
            <w:pPr>
              <w:jc w:val="center"/>
              <w:rPr>
                <w:sz w:val="20"/>
                <w:szCs w:val="20"/>
              </w:rPr>
            </w:pPr>
            <w:r>
              <w:rPr>
                <w:sz w:val="20"/>
                <w:szCs w:val="20"/>
              </w:rPr>
              <w:t>0.02</w:t>
            </w:r>
          </w:p>
        </w:tc>
        <w:tc>
          <w:tcPr>
            <w:tcW w:w="1419"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7C15E6" w:rsidRPr="009D0774" w14:paraId="767B0A44" w14:textId="19BF417F" w:rsidTr="007C15E6">
        <w:tc>
          <w:tcPr>
            <w:tcW w:w="1665"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96"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226"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409"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6" w:type="dxa"/>
            <w:shd w:val="clear" w:color="auto" w:fill="C6D9F1" w:themeFill="text2" w:themeFillTint="33"/>
            <w:vAlign w:val="center"/>
          </w:tcPr>
          <w:p w14:paraId="4853604A" w14:textId="05052A5A" w:rsidR="007C15E6" w:rsidRPr="009D0774" w:rsidRDefault="007C15E6" w:rsidP="00D65AB7">
            <w:pPr>
              <w:jc w:val="center"/>
              <w:rPr>
                <w:sz w:val="20"/>
                <w:szCs w:val="20"/>
              </w:rPr>
            </w:pPr>
            <w:r w:rsidRPr="009D0774">
              <w:rPr>
                <w:sz w:val="20"/>
                <w:szCs w:val="20"/>
              </w:rPr>
              <w:t>1/4.3 years</w:t>
            </w:r>
          </w:p>
        </w:tc>
        <w:tc>
          <w:tcPr>
            <w:tcW w:w="878"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07" w:type="dxa"/>
            <w:vAlign w:val="center"/>
          </w:tcPr>
          <w:p w14:paraId="76326CC5" w14:textId="172E2F28" w:rsidR="007C15E6" w:rsidRPr="009D0774" w:rsidRDefault="007C15E6" w:rsidP="007C15E6">
            <w:pPr>
              <w:jc w:val="center"/>
              <w:rPr>
                <w:sz w:val="20"/>
                <w:szCs w:val="20"/>
              </w:rPr>
            </w:pPr>
            <w:r>
              <w:rPr>
                <w:sz w:val="20"/>
                <w:szCs w:val="20"/>
              </w:rPr>
              <w:t>0.16</w:t>
            </w:r>
          </w:p>
        </w:tc>
        <w:tc>
          <w:tcPr>
            <w:tcW w:w="1419"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7C15E6" w:rsidRPr="009D0774" w14:paraId="11F1D063" w14:textId="77777777" w:rsidTr="007C15E6">
        <w:tc>
          <w:tcPr>
            <w:tcW w:w="1665" w:type="dxa"/>
            <w:shd w:val="clear" w:color="auto" w:fill="auto"/>
            <w:vAlign w:val="center"/>
          </w:tcPr>
          <w:p w14:paraId="3899F03E" w14:textId="76D53E43" w:rsidR="007C15E6" w:rsidRPr="009D0774" w:rsidRDefault="007C15E6" w:rsidP="00D65AB7">
            <w:pPr>
              <w:jc w:val="center"/>
              <w:rPr>
                <w:b/>
                <w:sz w:val="20"/>
                <w:szCs w:val="20"/>
              </w:rPr>
            </w:pPr>
            <w:r w:rsidRPr="009D0774">
              <w:rPr>
                <w:b/>
                <w:sz w:val="20"/>
                <w:szCs w:val="20"/>
              </w:rPr>
              <w:t>Observed</w:t>
            </w:r>
          </w:p>
        </w:tc>
        <w:tc>
          <w:tcPr>
            <w:tcW w:w="1096" w:type="dxa"/>
            <w:shd w:val="clear" w:color="auto" w:fill="C6D9F1" w:themeFill="text2" w:themeFillTint="33"/>
            <w:vAlign w:val="center"/>
          </w:tcPr>
          <w:p w14:paraId="04A251F8" w14:textId="5A360D01" w:rsidR="007C15E6" w:rsidRPr="009D0774" w:rsidRDefault="007C15E6" w:rsidP="00D65AB7">
            <w:pPr>
              <w:jc w:val="center"/>
              <w:rPr>
                <w:sz w:val="20"/>
                <w:szCs w:val="20"/>
              </w:rPr>
            </w:pPr>
            <w:r w:rsidRPr="009D0774">
              <w:rPr>
                <w:sz w:val="20"/>
                <w:szCs w:val="20"/>
              </w:rPr>
              <w:t>Empirical</w:t>
            </w:r>
          </w:p>
        </w:tc>
        <w:tc>
          <w:tcPr>
            <w:tcW w:w="1226" w:type="dxa"/>
            <w:shd w:val="clear" w:color="auto" w:fill="C6D9F1" w:themeFill="text2" w:themeFillTint="33"/>
            <w:vAlign w:val="center"/>
          </w:tcPr>
          <w:p w14:paraId="622F4998" w14:textId="4C49CC64" w:rsidR="007C15E6" w:rsidRPr="009D0774" w:rsidRDefault="007C15E6" w:rsidP="00D65AB7">
            <w:pPr>
              <w:jc w:val="center"/>
              <w:rPr>
                <w:sz w:val="20"/>
                <w:szCs w:val="20"/>
              </w:rPr>
            </w:pPr>
            <w:r w:rsidRPr="009D0774">
              <w:rPr>
                <w:sz w:val="20"/>
                <w:szCs w:val="20"/>
              </w:rPr>
              <w:t>Empirical</w:t>
            </w:r>
          </w:p>
        </w:tc>
        <w:tc>
          <w:tcPr>
            <w:tcW w:w="1409" w:type="dxa"/>
            <w:shd w:val="clear" w:color="auto" w:fill="C6D9F1" w:themeFill="text2" w:themeFillTint="33"/>
            <w:vAlign w:val="center"/>
          </w:tcPr>
          <w:p w14:paraId="4B273664" w14:textId="29BB01BA" w:rsidR="007C15E6" w:rsidRPr="009D0774" w:rsidRDefault="007C15E6" w:rsidP="00D65AB7">
            <w:pPr>
              <w:jc w:val="center"/>
              <w:rPr>
                <w:sz w:val="20"/>
                <w:szCs w:val="20"/>
              </w:rPr>
            </w:pPr>
            <w:r w:rsidRPr="009D0774">
              <w:rPr>
                <w:sz w:val="20"/>
                <w:szCs w:val="20"/>
              </w:rPr>
              <w:t>1/40 years *</w:t>
            </w:r>
          </w:p>
        </w:tc>
        <w:tc>
          <w:tcPr>
            <w:tcW w:w="1176" w:type="dxa"/>
            <w:shd w:val="clear" w:color="auto" w:fill="C6D9F1" w:themeFill="text2" w:themeFillTint="33"/>
            <w:vAlign w:val="center"/>
          </w:tcPr>
          <w:p w14:paraId="3A5E82EE" w14:textId="16B50E68" w:rsidR="007C15E6" w:rsidRPr="009D0774" w:rsidRDefault="007C15E6" w:rsidP="00D65AB7">
            <w:pPr>
              <w:jc w:val="center"/>
              <w:rPr>
                <w:sz w:val="20"/>
                <w:szCs w:val="20"/>
              </w:rPr>
            </w:pPr>
            <w:r w:rsidRPr="009D0774">
              <w:rPr>
                <w:sz w:val="20"/>
                <w:szCs w:val="20"/>
              </w:rPr>
              <w:t>1/4.3 years</w:t>
            </w:r>
          </w:p>
        </w:tc>
        <w:tc>
          <w:tcPr>
            <w:tcW w:w="878" w:type="dxa"/>
            <w:shd w:val="clear" w:color="auto" w:fill="auto"/>
            <w:vAlign w:val="center"/>
          </w:tcPr>
          <w:p w14:paraId="56D1ADD1" w14:textId="197A6F99" w:rsidR="007C15E6" w:rsidRPr="009D0774" w:rsidRDefault="007C15E6" w:rsidP="00D65AB7">
            <w:pPr>
              <w:jc w:val="center"/>
              <w:rPr>
                <w:sz w:val="20"/>
                <w:szCs w:val="20"/>
              </w:rPr>
            </w:pPr>
            <w:r w:rsidRPr="009D0774">
              <w:rPr>
                <w:sz w:val="20"/>
                <w:szCs w:val="20"/>
              </w:rPr>
              <w:t>0.78</w:t>
            </w:r>
          </w:p>
        </w:tc>
        <w:tc>
          <w:tcPr>
            <w:tcW w:w="707" w:type="dxa"/>
            <w:vAlign w:val="center"/>
          </w:tcPr>
          <w:p w14:paraId="61495B5E" w14:textId="23C6D666" w:rsidR="007C15E6" w:rsidRPr="00786B9B" w:rsidRDefault="007C15E6" w:rsidP="007C15E6">
            <w:pPr>
              <w:jc w:val="center"/>
              <w:rPr>
                <w:sz w:val="20"/>
                <w:szCs w:val="20"/>
              </w:rPr>
            </w:pPr>
            <w:r w:rsidRPr="00786B9B">
              <w:rPr>
                <w:sz w:val="20"/>
                <w:szCs w:val="20"/>
              </w:rPr>
              <w:t>0.32</w:t>
            </w:r>
          </w:p>
        </w:tc>
        <w:tc>
          <w:tcPr>
            <w:tcW w:w="1419" w:type="dxa"/>
            <w:vAlign w:val="center"/>
          </w:tcPr>
          <w:p w14:paraId="4505FE19" w14:textId="6AABB604" w:rsidR="007C15E6" w:rsidRPr="009D0774" w:rsidRDefault="007C15E6" w:rsidP="009D0774">
            <w:pPr>
              <w:jc w:val="center"/>
              <w:rPr>
                <w:b/>
                <w:sz w:val="20"/>
                <w:szCs w:val="20"/>
              </w:rPr>
            </w:pPr>
            <w:r>
              <w:rPr>
                <w:b/>
                <w:sz w:val="20"/>
                <w:szCs w:val="20"/>
              </w:rPr>
              <w:t>--</w:t>
            </w:r>
          </w:p>
        </w:tc>
      </w:tr>
    </w:tbl>
    <w:p w14:paraId="40E15BC2" w14:textId="02231682" w:rsidR="00624556" w:rsidRPr="00966387" w:rsidRDefault="00B95A14" w:rsidP="00624556">
      <w:r>
        <w:t xml:space="preserve">* Estimated </w:t>
      </w:r>
      <w:r w:rsidR="00D65AB7">
        <w:t xml:space="preserve">to be </w:t>
      </w:r>
      <w:r>
        <w:t>conservatively</w:t>
      </w:r>
      <w:r w:rsidR="00D65AB7">
        <w:t xml:space="preserve"> high</w:t>
      </w:r>
    </w:p>
    <w:p w14:paraId="2D8145F1" w14:textId="330E89D2" w:rsidR="00BE2545" w:rsidRPr="00167FD3" w:rsidRDefault="00BE2545">
      <w:r>
        <w:rPr>
          <w:b/>
        </w:rPr>
        <w:br w:type="page"/>
      </w:r>
    </w:p>
    <w:p w14:paraId="383A7E96" w14:textId="1BAF41F0" w:rsidR="00F539C6" w:rsidRPr="001850C4" w:rsidRDefault="00F539C6">
      <w:pPr>
        <w:rPr>
          <w:b/>
        </w:rPr>
      </w:pPr>
      <w:r w:rsidRPr="001850C4">
        <w:rPr>
          <w:b/>
        </w:rPr>
        <w:lastRenderedPageBreak/>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4" w:history="1">
        <w:r w:rsidRPr="001C5656">
          <w:rPr>
            <w:rStyle w:val="Hyperlink"/>
          </w:rPr>
          <w:t>https://coreypeak.shinyapps.io/herd_protection_estimator/</w:t>
        </w:r>
      </w:hyperlink>
      <w:r>
        <w:t>)</w:t>
      </w:r>
      <w:r w:rsidRPr="00546529">
        <w:t>.</w:t>
      </w:r>
    </w:p>
    <w:p w14:paraId="52F2711F" w14:textId="77777777" w:rsidR="00575CD5" w:rsidRDefault="00575CD5" w:rsidP="00575CD5"/>
    <w:p w14:paraId="1A77EFEE" w14:textId="77777777" w:rsidR="00BE2545" w:rsidRDefault="00575CD5" w:rsidP="00575CD5">
      <w:r>
        <w:t xml:space="preserve">One practical implementation of “Mass then Maintain” can include a high-coverage mass campaign followed by routine vaccination of new members of the population (through birth or immigration). In the </w:t>
      </w:r>
      <w:proofErr w:type="spellStart"/>
      <w:r>
        <w:t>Bentiu</w:t>
      </w:r>
      <w:proofErr w:type="spellEnd"/>
      <w:r>
        <w:t xml:space="preserve"> </w:t>
      </w:r>
      <w:proofErr w:type="spellStart"/>
      <w:r>
        <w:t>PoC</w:t>
      </w:r>
      <w:proofErr w:type="spellEnd"/>
      <w:r>
        <w:t xml:space="preserve"> Camp, this strategy organically resulted from the routine distribution of vaccine leftover from a mass vaccination campaign. However, for populations with moderate to low migration rates, other susceptible individuals (such as those missed during other campaigns or those vaccinated more than 5 years ago) must be vaccinated in order to maintain herd immunity. Recent work has also shown serological triggers for periodic mass vaccination can be an effective, and efficient, method to maintain herd immunity.</w:t>
      </w:r>
      <w:r>
        <w:fldChar w:fldCharType="begin" w:fldLock="1"/>
      </w:r>
      <w:r w:rsidR="00BE254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BE2545" w:rsidRPr="00BE2545">
        <w:rPr>
          <w:noProof/>
          <w:vertAlign w:val="superscript"/>
        </w:rPr>
        <w:t>30</w:t>
      </w:r>
      <w:r>
        <w:fldChar w:fldCharType="end"/>
      </w:r>
      <w:r>
        <w:t xml:space="preserve"> The authors suggest that in high-incidence areas (or, similarly, when VE is moderate or low), serological triggers could come so often that frequent planned vaccinations may be more appropriate. Indeed, in our example with imperfect OCVs, at least annual mass vaccination may be needed to maintain herd immunity. </w:t>
      </w:r>
    </w:p>
    <w:p w14:paraId="7AB15C96" w14:textId="063C4AF1" w:rsidR="00575CD5" w:rsidRDefault="00BE2545" w:rsidP="00575CD5">
      <w:r>
        <w:t>&lt;&lt;&lt;</w:t>
      </w:r>
      <w:proofErr w:type="gramStart"/>
      <w:r>
        <w:t>something</w:t>
      </w:r>
      <w:proofErr w:type="gramEnd"/>
      <w:r>
        <w:t xml:space="preserve"> about whether we saw a higher birth rate in </w:t>
      </w:r>
      <w:proofErr w:type="spellStart"/>
      <w:r>
        <w:t>Bentiu</w:t>
      </w:r>
      <w:proofErr w:type="spellEnd"/>
      <w:r>
        <w:t xml:space="preserve"> or not&gt;&gt;&gt;</w:t>
      </w:r>
    </w:p>
    <w:p w14:paraId="08682F25" w14:textId="77777777" w:rsidR="00575CD5" w:rsidRDefault="00575CD5" w:rsidP="00575CD5"/>
    <w:p w14:paraId="100B7ACA" w14:textId="6E556344" w:rsidR="00575CD5" w:rsidRDefault="00575CD5" w:rsidP="00575CD5">
      <w:r>
        <w:t xml:space="preserve">Current guidelines for the optimal use of the OCV stockpile recommend the consideration of “Areas with important population movements” [WHO 2013].  The role of mobility in connecting a heterogeneous transmission landscape was demonstrated by </w:t>
      </w:r>
      <w:proofErr w:type="spellStart"/>
      <w:r>
        <w:t>Azman</w:t>
      </w:r>
      <w:proofErr w:type="spellEnd"/>
      <w:r>
        <w:t xml:space="preserve"> et al.</w:t>
      </w:r>
      <w:r>
        <w:fldChar w:fldCharType="begin" w:fldLock="1"/>
      </w:r>
      <w:r w:rsidR="00BE254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"&lt;sup&gt;31&lt;/sup&gt;", "plainTextFormattedCitation" : "31", "previouslyFormattedCitation" : "&lt;sup&gt;30&lt;/sup&gt;" }, "properties" : { "noteIndex" : 0 }, "schema" : "https://github.com/citation-style-language/schema/raw/master/csl-citation.json" }</w:instrText>
      </w:r>
      <w:r>
        <w:fldChar w:fldCharType="separate"/>
      </w:r>
      <w:r w:rsidR="00BE2545" w:rsidRPr="00BE2545">
        <w:rPr>
          <w:noProof/>
          <w:vertAlign w:val="superscript"/>
        </w:rPr>
        <w:t>31</w:t>
      </w:r>
      <w:r>
        <w:fldChar w:fldCharType="end"/>
      </w:r>
      <w:r>
        <w:t>, but here we show there are two competing effects of high mobility on the duration of herd immunity.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and higher seasonal amplitude. Our primary results assume an outbreak is at least 10 cases. If this threshold is increased to 100 or 1,000 cases, the probabilities of “outbreaks” decreases, but the optimal migration rate is not affected. These findings assume cholera is only introduced through migration, that each imported infection is independent, that infectious cases are imported at the very beginning of their disease, and that the count of secondary cases follows a Poisson distribution.</w:t>
      </w:r>
      <w:r>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A445BB" w:rsidRPr="00A445BB">
        <w:rPr>
          <w:noProof/>
          <w:vertAlign w:val="superscript"/>
        </w:rPr>
        <w:t>21</w:t>
      </w:r>
      <w:r>
        <w:fldChar w:fldCharType="end"/>
      </w:r>
    </w:p>
    <w:p w14:paraId="0B74B373" w14:textId="77777777" w:rsidR="00FA75B1" w:rsidRDefault="00FA75B1"/>
    <w:p w14:paraId="371705BA" w14:textId="7B7FCCCC"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xml:space="preserve">, but the probability of an outbreak </w:t>
      </w:r>
      <w:r w:rsidR="0061434F">
        <w:lastRenderedPageBreak/>
        <w:t>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 w14:paraId="269CD9E9" w14:textId="43EF0D89"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capsular polysaccharide vaccine [cite]</w:t>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w:t>
      </w:r>
      <w:proofErr w:type="spellStart"/>
      <w:r w:rsidR="00A065FB">
        <w:t>DD_Supplement</w:t>
      </w:r>
      <w:proofErr w:type="spellEnd"/>
      <w:r w:rsidR="00A065FB">
        <w:t>)</w:t>
      </w:r>
      <w:r w:rsidR="00527DCB">
        <w:t>.</w:t>
      </w:r>
    </w:p>
    <w:p w14:paraId="41BC4726" w14:textId="77777777" w:rsidR="00E87CB3" w:rsidRDefault="00E87CB3" w:rsidP="00E87CB3"/>
    <w:p w14:paraId="4EF38A31" w14:textId="18EBDD42" w:rsidR="00E87CB3" w:rsidRDefault="00FE63D9" w:rsidP="00E87CB3">
      <w:r>
        <w:t>The phenomenon of waning herd immunity also has strong implications on disease control strategies that include mass vaccination or “mop up” vaccination, e.g., measles and yellow fever. For yellow fever in particular, fractional vaccine doses have been used to extend vaccine supply under the assumption that VE of fractional doses lasts at least one year.</w:t>
      </w:r>
      <w:r w:rsidR="00A61C71">
        <w:fldChar w:fldCharType="begin" w:fldLock="1"/>
      </w:r>
      <w:r w:rsidR="00BE2545">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"&lt;sup&gt;32&lt;/sup&gt;", "plainTextFormattedCitation" : "32", "previouslyFormattedCitation" : "&lt;sup&gt;31&lt;/sup&gt;" }, "properties" : { "noteIndex" : 0 }, "schema" : "https://github.com/citation-style-language/schema/raw/master/csl-citation.json" }</w:instrText>
      </w:r>
      <w:r w:rsidR="00A61C71">
        <w:fldChar w:fldCharType="separate"/>
      </w:r>
      <w:r w:rsidR="00BE2545" w:rsidRPr="00BE2545">
        <w:rPr>
          <w:noProof/>
          <w:vertAlign w:val="superscript"/>
        </w:rPr>
        <w:t>32</w:t>
      </w:r>
      <w:r w:rsidR="00A61C71">
        <w:fldChar w:fldCharType="end"/>
      </w:r>
      <w:r>
        <w:t xml:space="preserve"> 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58C25D86" w:rsidR="006173F9" w:rsidRPr="00541512"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0CEFC94B"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w:t>
      </w:r>
      <w:r w:rsidR="005D6069">
        <w:t xml:space="preserve">me </w:t>
      </w:r>
      <w:r w:rsidR="009A3CE6">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w:t>
      </w:r>
      <w:r w:rsidR="006F2CC8">
        <w:lastRenderedPageBreak/>
        <w:t>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8D9317B" w14:textId="2FB84B19" w:rsidR="00BE2545" w:rsidRPr="00BE2545" w:rsidRDefault="000A51A6" w:rsidP="00BE2545">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BE2545" w:rsidRPr="00BE2545">
        <w:rPr>
          <w:rFonts w:ascii="Cambria" w:hAnsi="Cambria"/>
          <w:noProof/>
        </w:rPr>
        <w:t>1</w:t>
      </w:r>
      <w:r w:rsidR="00BE2545" w:rsidRPr="00BE2545">
        <w:rPr>
          <w:rFonts w:ascii="Cambria" w:hAnsi="Cambria"/>
          <w:noProof/>
        </w:rPr>
        <w:tab/>
        <w:t xml:space="preserve">Fine PE. Herd immunity: history, theory, practice. </w:t>
      </w:r>
      <w:r w:rsidR="00BE2545" w:rsidRPr="00BE2545">
        <w:rPr>
          <w:rFonts w:ascii="Cambria" w:hAnsi="Cambria"/>
          <w:i/>
          <w:iCs/>
          <w:noProof/>
        </w:rPr>
        <w:t>Epidemiol Rev</w:t>
      </w:r>
      <w:r w:rsidR="00BE2545" w:rsidRPr="00BE2545">
        <w:rPr>
          <w:rFonts w:ascii="Cambria" w:hAnsi="Cambria"/>
          <w:noProof/>
        </w:rPr>
        <w:t xml:space="preserve"> 1993; </w:t>
      </w:r>
      <w:r w:rsidR="00BE2545" w:rsidRPr="00BE2545">
        <w:rPr>
          <w:rFonts w:ascii="Cambria" w:hAnsi="Cambria"/>
          <w:b/>
          <w:bCs/>
          <w:noProof/>
        </w:rPr>
        <w:t>15</w:t>
      </w:r>
      <w:r w:rsidR="00BE2545" w:rsidRPr="00BE2545">
        <w:rPr>
          <w:rFonts w:ascii="Cambria" w:hAnsi="Cambria"/>
          <w:noProof/>
        </w:rPr>
        <w:t>: 265–302.</w:t>
      </w:r>
    </w:p>
    <w:p w14:paraId="5F4BF44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w:t>
      </w:r>
      <w:r w:rsidRPr="00BE2545">
        <w:rPr>
          <w:rFonts w:ascii="Cambria" w:hAnsi="Cambria"/>
          <w:noProof/>
        </w:rPr>
        <w:tab/>
        <w:t xml:space="preserve">Anderson RM, May RM. Vaccination and herd immunity to infectious diseases. </w:t>
      </w:r>
      <w:r w:rsidRPr="00BE2545">
        <w:rPr>
          <w:rFonts w:ascii="Cambria" w:hAnsi="Cambria"/>
          <w:i/>
          <w:iCs/>
          <w:noProof/>
        </w:rPr>
        <w:t>Nature</w:t>
      </w:r>
      <w:r w:rsidRPr="00BE2545">
        <w:rPr>
          <w:rFonts w:ascii="Cambria" w:hAnsi="Cambria"/>
          <w:noProof/>
        </w:rPr>
        <w:t xml:space="preserve"> 1985; </w:t>
      </w:r>
      <w:r w:rsidRPr="00BE2545">
        <w:rPr>
          <w:rFonts w:ascii="Cambria" w:hAnsi="Cambria"/>
          <w:b/>
          <w:bCs/>
          <w:noProof/>
        </w:rPr>
        <w:t>318</w:t>
      </w:r>
      <w:r w:rsidRPr="00BE2545">
        <w:rPr>
          <w:rFonts w:ascii="Cambria" w:hAnsi="Cambria"/>
          <w:noProof/>
        </w:rPr>
        <w:t>: 323–9.</w:t>
      </w:r>
    </w:p>
    <w:p w14:paraId="7FE640C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w:t>
      </w:r>
      <w:r w:rsidRPr="00BE2545">
        <w:rPr>
          <w:rFonts w:ascii="Cambria" w:hAnsi="Cambria"/>
          <w:noProof/>
        </w:rPr>
        <w:tab/>
        <w:t xml:space="preserve">Ali M, Emch M, von Seidlein L, </w:t>
      </w:r>
      <w:r w:rsidRPr="00BE2545">
        <w:rPr>
          <w:rFonts w:ascii="Cambria" w:hAnsi="Cambria"/>
          <w:i/>
          <w:iCs/>
          <w:noProof/>
        </w:rPr>
        <w:t>et al.</w:t>
      </w:r>
      <w:r w:rsidRPr="00BE2545">
        <w:rPr>
          <w:rFonts w:ascii="Cambria" w:hAnsi="Cambria"/>
          <w:noProof/>
        </w:rPr>
        <w:t xml:space="preserve"> Herd immunity conferred by killed oral cholera vaccines in Bangladesh: a reanalysis. </w:t>
      </w:r>
      <w:r w:rsidRPr="00BE2545">
        <w:rPr>
          <w:rFonts w:ascii="Cambria" w:hAnsi="Cambria"/>
          <w:i/>
          <w:iCs/>
          <w:noProof/>
        </w:rPr>
        <w:t>Lancet</w:t>
      </w:r>
      <w:r w:rsidRPr="00BE2545">
        <w:rPr>
          <w:rFonts w:ascii="Cambria" w:hAnsi="Cambria"/>
          <w:noProof/>
        </w:rPr>
        <w:t xml:space="preserve"> 2005; </w:t>
      </w:r>
      <w:r w:rsidRPr="00BE2545">
        <w:rPr>
          <w:rFonts w:ascii="Cambria" w:hAnsi="Cambria"/>
          <w:b/>
          <w:bCs/>
          <w:noProof/>
        </w:rPr>
        <w:t>366</w:t>
      </w:r>
      <w:r w:rsidRPr="00BE2545">
        <w:rPr>
          <w:rFonts w:ascii="Cambria" w:hAnsi="Cambria"/>
          <w:noProof/>
        </w:rPr>
        <w:t>: 44–9.</w:t>
      </w:r>
    </w:p>
    <w:p w14:paraId="3F4FB9A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4</w:t>
      </w:r>
      <w:r w:rsidRPr="00BE2545">
        <w:rPr>
          <w:rFonts w:ascii="Cambria" w:hAnsi="Cambria"/>
          <w:noProof/>
        </w:rPr>
        <w:tab/>
        <w:t xml:space="preserve">Ali M, Sur D, You YA, </w:t>
      </w:r>
      <w:r w:rsidRPr="00BE2545">
        <w:rPr>
          <w:rFonts w:ascii="Cambria" w:hAnsi="Cambria"/>
          <w:i/>
          <w:iCs/>
          <w:noProof/>
        </w:rPr>
        <w:t>et al.</w:t>
      </w:r>
      <w:r w:rsidRPr="00BE2545">
        <w:rPr>
          <w:rFonts w:ascii="Cambria" w:hAnsi="Cambria"/>
          <w:noProof/>
        </w:rPr>
        <w:t xml:space="preserve"> Herd protection by a bivalent killed whole-cell oral cholera vaccine in the slums of Kolkata, India. </w:t>
      </w:r>
      <w:r w:rsidRPr="00BE2545">
        <w:rPr>
          <w:rFonts w:ascii="Cambria" w:hAnsi="Cambria"/>
          <w:i/>
          <w:iCs/>
          <w:noProof/>
        </w:rPr>
        <w:t>Clin Infect Dis</w:t>
      </w:r>
      <w:r w:rsidRPr="00BE2545">
        <w:rPr>
          <w:rFonts w:ascii="Cambria" w:hAnsi="Cambria"/>
          <w:noProof/>
        </w:rPr>
        <w:t xml:space="preserve"> 2013; </w:t>
      </w:r>
      <w:r w:rsidRPr="00BE2545">
        <w:rPr>
          <w:rFonts w:ascii="Cambria" w:hAnsi="Cambria"/>
          <w:b/>
          <w:bCs/>
          <w:noProof/>
        </w:rPr>
        <w:t>56</w:t>
      </w:r>
      <w:r w:rsidRPr="00BE2545">
        <w:rPr>
          <w:rFonts w:ascii="Cambria" w:hAnsi="Cambria"/>
          <w:noProof/>
        </w:rPr>
        <w:t>: 1123–31.</w:t>
      </w:r>
    </w:p>
    <w:p w14:paraId="70913D43"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5</w:t>
      </w:r>
      <w:r w:rsidRPr="00BE2545">
        <w:rPr>
          <w:rFonts w:ascii="Cambria" w:hAnsi="Cambria"/>
          <w:noProof/>
        </w:rPr>
        <w:tab/>
        <w:t xml:space="preserve">World Health Organization. Cholera, 2015. </w:t>
      </w:r>
      <w:r w:rsidRPr="00BE2545">
        <w:rPr>
          <w:rFonts w:ascii="Cambria" w:hAnsi="Cambria"/>
          <w:i/>
          <w:iCs/>
          <w:noProof/>
        </w:rPr>
        <w:t>Wkly Epidemiol Rec</w:t>
      </w:r>
      <w:r w:rsidRPr="00BE2545">
        <w:rPr>
          <w:rFonts w:ascii="Cambria" w:hAnsi="Cambria"/>
          <w:noProof/>
        </w:rPr>
        <w:t xml:space="preserve"> 2016; </w:t>
      </w:r>
      <w:r w:rsidRPr="00BE2545">
        <w:rPr>
          <w:rFonts w:ascii="Cambria" w:hAnsi="Cambria"/>
          <w:b/>
          <w:bCs/>
          <w:noProof/>
        </w:rPr>
        <w:t>38</w:t>
      </w:r>
      <w:r w:rsidRPr="00BE2545">
        <w:rPr>
          <w:rFonts w:ascii="Cambria" w:hAnsi="Cambria"/>
          <w:noProof/>
        </w:rPr>
        <w:t>: 433–40.</w:t>
      </w:r>
    </w:p>
    <w:p w14:paraId="0EE82323"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6</w:t>
      </w:r>
      <w:r w:rsidRPr="00BE2545">
        <w:rPr>
          <w:rFonts w:ascii="Cambria" w:hAnsi="Cambria"/>
          <w:noProof/>
        </w:rPr>
        <w:tab/>
        <w:t xml:space="preserve">Clemens J, Holmgren J. When, How, and Where can Oral Cholera Vaccines be Used to Interrupt Cholera Outbreaks? </w:t>
      </w:r>
      <w:r w:rsidRPr="00BE2545">
        <w:rPr>
          <w:rFonts w:ascii="Cambria" w:hAnsi="Cambria"/>
          <w:i/>
          <w:iCs/>
          <w:noProof/>
        </w:rPr>
        <w:t>Curr Top Microbiol Immunol</w:t>
      </w:r>
      <w:r w:rsidRPr="00BE2545">
        <w:rPr>
          <w:rFonts w:ascii="Cambria" w:hAnsi="Cambria"/>
          <w:noProof/>
        </w:rPr>
        <w:t xml:space="preserve"> 2014; : 231–58.</w:t>
      </w:r>
    </w:p>
    <w:p w14:paraId="7A98A97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7</w:t>
      </w:r>
      <w:r w:rsidRPr="00BE2545">
        <w:rPr>
          <w:rFonts w:ascii="Cambria" w:hAnsi="Cambria"/>
          <w:noProof/>
        </w:rPr>
        <w:tab/>
        <w:t>Ministry of Health. Situation Report #93 on Cholera in South Sudan As at 23:59 Hours , 3 November 2016. 2016.</w:t>
      </w:r>
    </w:p>
    <w:p w14:paraId="4DAB0DF4"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8</w:t>
      </w:r>
      <w:r w:rsidRPr="00BE2545">
        <w:rPr>
          <w:rFonts w:ascii="Cambria" w:hAnsi="Cambria"/>
          <w:noProof/>
        </w:rPr>
        <w:tab/>
        <w:t xml:space="preserve">Sur D, Kanungo S, Sah B, </w:t>
      </w:r>
      <w:r w:rsidRPr="00BE2545">
        <w:rPr>
          <w:rFonts w:ascii="Cambria" w:hAnsi="Cambria"/>
          <w:i/>
          <w:iCs/>
          <w:noProof/>
        </w:rPr>
        <w:t>et al.</w:t>
      </w:r>
      <w:r w:rsidRPr="00BE2545">
        <w:rPr>
          <w:rFonts w:ascii="Cambria" w:hAnsi="Cambria"/>
          <w:noProof/>
        </w:rPr>
        <w:t xml:space="preserve"> Efficacy of a Low-Cost, inactivated Whole-Cell oral cholera vaccine: Results from 3 years of Follow-Up of a randomized, controlled trial. </w:t>
      </w:r>
      <w:r w:rsidRPr="00BE2545">
        <w:rPr>
          <w:rFonts w:ascii="Cambria" w:hAnsi="Cambria"/>
          <w:i/>
          <w:iCs/>
          <w:noProof/>
        </w:rPr>
        <w:t>PLoS Negl Trop Dis</w:t>
      </w:r>
      <w:r w:rsidRPr="00BE2545">
        <w:rPr>
          <w:rFonts w:ascii="Cambria" w:hAnsi="Cambria"/>
          <w:noProof/>
        </w:rPr>
        <w:t xml:space="preserve"> 2011; </w:t>
      </w:r>
      <w:r w:rsidRPr="00BE2545">
        <w:rPr>
          <w:rFonts w:ascii="Cambria" w:hAnsi="Cambria"/>
          <w:b/>
          <w:bCs/>
          <w:noProof/>
        </w:rPr>
        <w:t>5</w:t>
      </w:r>
      <w:r w:rsidRPr="00BE2545">
        <w:rPr>
          <w:rFonts w:ascii="Cambria" w:hAnsi="Cambria"/>
          <w:noProof/>
        </w:rPr>
        <w:t>: 1–6.</w:t>
      </w:r>
    </w:p>
    <w:p w14:paraId="3643390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9</w:t>
      </w:r>
      <w:r w:rsidRPr="00BE2545">
        <w:rPr>
          <w:rFonts w:ascii="Cambria" w:hAnsi="Cambria"/>
          <w:noProof/>
        </w:rPr>
        <w:tab/>
        <w:t xml:space="preserve">Qadri F, Ali M, Chowdhury F, </w:t>
      </w:r>
      <w:r w:rsidRPr="00BE2545">
        <w:rPr>
          <w:rFonts w:ascii="Cambria" w:hAnsi="Cambria"/>
          <w:i/>
          <w:iCs/>
          <w:noProof/>
        </w:rPr>
        <w:t>et al.</w:t>
      </w:r>
      <w:r w:rsidRPr="00BE2545">
        <w:rPr>
          <w:rFonts w:ascii="Cambria" w:hAnsi="Cambria"/>
          <w:noProof/>
        </w:rPr>
        <w:t xml:space="preserve"> Feasibility and effectiveness of oral cholera vaccine in an urban endemic setting in Bangladesh: a cluster randomised open-label trial. </w:t>
      </w:r>
      <w:r w:rsidRPr="00BE2545">
        <w:rPr>
          <w:rFonts w:ascii="Cambria" w:hAnsi="Cambria"/>
          <w:i/>
          <w:iCs/>
          <w:noProof/>
        </w:rPr>
        <w:t>Lancet</w:t>
      </w:r>
      <w:r w:rsidRPr="00BE2545">
        <w:rPr>
          <w:rFonts w:ascii="Cambria" w:hAnsi="Cambria"/>
          <w:noProof/>
        </w:rPr>
        <w:t xml:space="preserve"> 2015; </w:t>
      </w:r>
      <w:r w:rsidRPr="00BE2545">
        <w:rPr>
          <w:rFonts w:ascii="Cambria" w:hAnsi="Cambria"/>
          <w:b/>
          <w:bCs/>
          <w:noProof/>
        </w:rPr>
        <w:t>6736</w:t>
      </w:r>
      <w:r w:rsidRPr="00BE2545">
        <w:rPr>
          <w:rFonts w:ascii="Cambria" w:hAnsi="Cambria"/>
          <w:noProof/>
        </w:rPr>
        <w:t>: 1–10.</w:t>
      </w:r>
    </w:p>
    <w:p w14:paraId="4BF0D21C"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10</w:t>
      </w:r>
      <w:r w:rsidRPr="00BE2545">
        <w:rPr>
          <w:rFonts w:ascii="Cambria" w:hAnsi="Cambria"/>
          <w:noProof/>
        </w:rPr>
        <w:tab/>
        <w:t xml:space="preserve">McLean AR, Anderson RM. Measles in developing countries. Part II. The predicted impact of mass vaccination. </w:t>
      </w:r>
      <w:r w:rsidRPr="00BE2545">
        <w:rPr>
          <w:rFonts w:ascii="Cambria" w:hAnsi="Cambria"/>
          <w:i/>
          <w:iCs/>
          <w:noProof/>
        </w:rPr>
        <w:t>Epidemiol Infect</w:t>
      </w:r>
      <w:r w:rsidRPr="00BE2545">
        <w:rPr>
          <w:rFonts w:ascii="Cambria" w:hAnsi="Cambria"/>
          <w:noProof/>
        </w:rPr>
        <w:t xml:space="preserve"> 1988; </w:t>
      </w:r>
      <w:r w:rsidRPr="00BE2545">
        <w:rPr>
          <w:rFonts w:ascii="Cambria" w:hAnsi="Cambria"/>
          <w:b/>
          <w:bCs/>
          <w:noProof/>
        </w:rPr>
        <w:t>100</w:t>
      </w:r>
      <w:r w:rsidRPr="00BE2545">
        <w:rPr>
          <w:rFonts w:ascii="Cambria" w:hAnsi="Cambria"/>
          <w:noProof/>
        </w:rPr>
        <w:t>: 419–42.</w:t>
      </w:r>
    </w:p>
    <w:p w14:paraId="70B957F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11</w:t>
      </w:r>
      <w:r w:rsidRPr="00BE2545">
        <w:rPr>
          <w:rFonts w:ascii="Cambria" w:hAnsi="Cambria"/>
          <w:noProof/>
        </w:rPr>
        <w:tab/>
        <w:t xml:space="preserve">Mclean AR, Blower SM. Imperfect Vaccines and Herd Immunity to HIV. </w:t>
      </w:r>
      <w:r w:rsidRPr="00BE2545">
        <w:rPr>
          <w:rFonts w:ascii="Cambria" w:hAnsi="Cambria"/>
          <w:i/>
          <w:iCs/>
          <w:noProof/>
        </w:rPr>
        <w:t>Proc R Soc B Biol Sci</w:t>
      </w:r>
      <w:r w:rsidRPr="00BE2545">
        <w:rPr>
          <w:rFonts w:ascii="Cambria" w:hAnsi="Cambria"/>
          <w:noProof/>
        </w:rPr>
        <w:t xml:space="preserve"> 1993; </w:t>
      </w:r>
      <w:r w:rsidRPr="00BE2545">
        <w:rPr>
          <w:rFonts w:ascii="Cambria" w:hAnsi="Cambria"/>
          <w:b/>
          <w:bCs/>
          <w:noProof/>
        </w:rPr>
        <w:t>253</w:t>
      </w:r>
      <w:r w:rsidRPr="00BE2545">
        <w:rPr>
          <w:rFonts w:ascii="Cambria" w:hAnsi="Cambria"/>
          <w:noProof/>
        </w:rPr>
        <w:t>: 9–13.</w:t>
      </w:r>
    </w:p>
    <w:p w14:paraId="11703F67"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12</w:t>
      </w:r>
      <w:r w:rsidRPr="00BE2545">
        <w:rPr>
          <w:rFonts w:ascii="Cambria" w:hAnsi="Cambria"/>
          <w:noProof/>
        </w:rPr>
        <w:tab/>
        <w:t xml:space="preserve">Blower S, Schwartz EJ, Mills J. Forecasting the future of HIV epidemics: The impact of antiretroviral therapies &amp; imperfect vaccines. </w:t>
      </w:r>
      <w:r w:rsidRPr="00BE2545">
        <w:rPr>
          <w:rFonts w:ascii="Cambria" w:hAnsi="Cambria"/>
          <w:i/>
          <w:iCs/>
          <w:noProof/>
        </w:rPr>
        <w:t>AIDS Rev</w:t>
      </w:r>
      <w:r w:rsidRPr="00BE2545">
        <w:rPr>
          <w:rFonts w:ascii="Cambria" w:hAnsi="Cambria"/>
          <w:noProof/>
        </w:rPr>
        <w:t xml:space="preserve"> 2003; </w:t>
      </w:r>
      <w:r w:rsidRPr="00BE2545">
        <w:rPr>
          <w:rFonts w:ascii="Cambria" w:hAnsi="Cambria"/>
          <w:b/>
          <w:bCs/>
          <w:noProof/>
        </w:rPr>
        <w:t>5</w:t>
      </w:r>
      <w:r w:rsidRPr="00BE2545">
        <w:rPr>
          <w:rFonts w:ascii="Cambria" w:hAnsi="Cambria"/>
          <w:noProof/>
        </w:rPr>
        <w:t>: 113–25.</w:t>
      </w:r>
    </w:p>
    <w:p w14:paraId="1A3D0D64"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13</w:t>
      </w:r>
      <w:r w:rsidRPr="00BE2545">
        <w:rPr>
          <w:rFonts w:ascii="Cambria" w:hAnsi="Cambria"/>
          <w:noProof/>
        </w:rPr>
        <w:tab/>
        <w:t xml:space="preserve">Mossong J, Muller CP. Modelling measles re-emergence as a result of waning of immunity in vaccinated populations. </w:t>
      </w:r>
      <w:r w:rsidRPr="00BE2545">
        <w:rPr>
          <w:rFonts w:ascii="Cambria" w:hAnsi="Cambria"/>
          <w:i/>
          <w:iCs/>
          <w:noProof/>
        </w:rPr>
        <w:t>Vaccine</w:t>
      </w:r>
      <w:r w:rsidRPr="00BE2545">
        <w:rPr>
          <w:rFonts w:ascii="Cambria" w:hAnsi="Cambria"/>
          <w:noProof/>
        </w:rPr>
        <w:t xml:space="preserve"> 2003; </w:t>
      </w:r>
      <w:r w:rsidRPr="00BE2545">
        <w:rPr>
          <w:rFonts w:ascii="Cambria" w:hAnsi="Cambria"/>
          <w:b/>
          <w:bCs/>
          <w:noProof/>
        </w:rPr>
        <w:t>21</w:t>
      </w:r>
      <w:r w:rsidRPr="00BE2545">
        <w:rPr>
          <w:rFonts w:ascii="Cambria" w:hAnsi="Cambria"/>
          <w:noProof/>
        </w:rPr>
        <w:t>: 4597–603.</w:t>
      </w:r>
    </w:p>
    <w:p w14:paraId="333766E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14</w:t>
      </w:r>
      <w:r w:rsidRPr="00BE2545">
        <w:rPr>
          <w:rFonts w:ascii="Cambria" w:hAnsi="Cambria"/>
          <w:noProof/>
        </w:rPr>
        <w:tab/>
        <w:t xml:space="preserve">MAGPANTAY FMG, DOMENECH DE CELLÈS M, ROHANI P, KING AA. Pertussis immunity and epidemiology: mode and duration of vaccine-induced immunity. </w:t>
      </w:r>
      <w:r w:rsidRPr="00BE2545">
        <w:rPr>
          <w:rFonts w:ascii="Cambria" w:hAnsi="Cambria"/>
          <w:i/>
          <w:iCs/>
          <w:noProof/>
        </w:rPr>
        <w:t>Parasitology</w:t>
      </w:r>
      <w:r w:rsidRPr="00BE2545">
        <w:rPr>
          <w:rFonts w:ascii="Cambria" w:hAnsi="Cambria"/>
          <w:noProof/>
        </w:rPr>
        <w:t xml:space="preserve"> 2016; </w:t>
      </w:r>
      <w:r w:rsidRPr="00BE2545">
        <w:rPr>
          <w:rFonts w:ascii="Cambria" w:hAnsi="Cambria"/>
          <w:b/>
          <w:bCs/>
          <w:noProof/>
        </w:rPr>
        <w:t>143</w:t>
      </w:r>
      <w:r w:rsidRPr="00BE2545">
        <w:rPr>
          <w:rFonts w:ascii="Cambria" w:hAnsi="Cambria"/>
          <w:noProof/>
        </w:rPr>
        <w:t>: 835–49.</w:t>
      </w:r>
    </w:p>
    <w:p w14:paraId="6F749BB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15</w:t>
      </w:r>
      <w:r w:rsidRPr="00BE2545">
        <w:rPr>
          <w:rFonts w:ascii="Cambria" w:hAnsi="Cambria"/>
          <w:noProof/>
        </w:rPr>
        <w:tab/>
        <w:t xml:space="preserve">Metcalf CJE, Lessler J, Klepac P, Cutts F, Grenfell BT. Impact of birth rate, seasonality and transmission rate on minimum levels of coverage needed for rubella vaccination. </w:t>
      </w:r>
      <w:r w:rsidRPr="00BE2545">
        <w:rPr>
          <w:rFonts w:ascii="Cambria" w:hAnsi="Cambria"/>
          <w:i/>
          <w:iCs/>
          <w:noProof/>
        </w:rPr>
        <w:t>Epidemiol Infect</w:t>
      </w:r>
      <w:r w:rsidRPr="00BE2545">
        <w:rPr>
          <w:rFonts w:ascii="Cambria" w:hAnsi="Cambria"/>
          <w:noProof/>
        </w:rPr>
        <w:t xml:space="preserve"> 2012; </w:t>
      </w:r>
      <w:r w:rsidRPr="00BE2545">
        <w:rPr>
          <w:rFonts w:ascii="Cambria" w:hAnsi="Cambria"/>
          <w:b/>
          <w:bCs/>
          <w:noProof/>
        </w:rPr>
        <w:t>140</w:t>
      </w:r>
      <w:r w:rsidRPr="00BE2545">
        <w:rPr>
          <w:rFonts w:ascii="Cambria" w:hAnsi="Cambria"/>
          <w:noProof/>
        </w:rPr>
        <w:t>: 2290–301.</w:t>
      </w:r>
    </w:p>
    <w:p w14:paraId="67879559"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16</w:t>
      </w:r>
      <w:r w:rsidRPr="00BE2545">
        <w:rPr>
          <w:rFonts w:ascii="Cambria" w:hAnsi="Cambria"/>
          <w:noProof/>
        </w:rPr>
        <w:tab/>
        <w:t xml:space="preserve">Lloyd AL. Realistic distributions of infectious periods in epidemic models: changing patterns of persistence and dynamics. </w:t>
      </w:r>
      <w:r w:rsidRPr="00BE2545">
        <w:rPr>
          <w:rFonts w:ascii="Cambria" w:hAnsi="Cambria"/>
          <w:i/>
          <w:iCs/>
          <w:noProof/>
        </w:rPr>
        <w:t>Theor Popul Biol</w:t>
      </w:r>
      <w:r w:rsidRPr="00BE2545">
        <w:rPr>
          <w:rFonts w:ascii="Cambria" w:hAnsi="Cambria"/>
          <w:noProof/>
        </w:rPr>
        <w:t xml:space="preserve"> 2001; </w:t>
      </w:r>
      <w:r w:rsidRPr="00BE2545">
        <w:rPr>
          <w:rFonts w:ascii="Cambria" w:hAnsi="Cambria"/>
          <w:b/>
          <w:bCs/>
          <w:noProof/>
        </w:rPr>
        <w:t>60</w:t>
      </w:r>
      <w:r w:rsidRPr="00BE2545">
        <w:rPr>
          <w:rFonts w:ascii="Cambria" w:hAnsi="Cambria"/>
          <w:noProof/>
        </w:rPr>
        <w:t>: 59–71.</w:t>
      </w:r>
    </w:p>
    <w:p w14:paraId="5779628E"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17</w:t>
      </w:r>
      <w:r w:rsidRPr="00BE2545">
        <w:rPr>
          <w:rFonts w:ascii="Cambria" w:hAnsi="Cambria"/>
          <w:noProof/>
        </w:rPr>
        <w:tab/>
        <w:t xml:space="preserve">Krylova O, Earn DJD. Effects of the infectious period distribution on predicted transitions in childhood disease dynamics. </w:t>
      </w:r>
      <w:r w:rsidRPr="00BE2545">
        <w:rPr>
          <w:rFonts w:ascii="Cambria" w:hAnsi="Cambria"/>
          <w:i/>
          <w:iCs/>
          <w:noProof/>
        </w:rPr>
        <w:t>J R Soc Interface</w:t>
      </w:r>
      <w:r w:rsidRPr="00BE2545">
        <w:rPr>
          <w:rFonts w:ascii="Cambria" w:hAnsi="Cambria"/>
          <w:noProof/>
        </w:rPr>
        <w:t xml:space="preserve"> 2013; </w:t>
      </w:r>
      <w:r w:rsidRPr="00BE2545">
        <w:rPr>
          <w:rFonts w:ascii="Cambria" w:hAnsi="Cambria"/>
          <w:b/>
          <w:bCs/>
          <w:noProof/>
        </w:rPr>
        <w:t>10</w:t>
      </w:r>
      <w:r w:rsidRPr="00BE2545">
        <w:rPr>
          <w:rFonts w:ascii="Cambria" w:hAnsi="Cambria"/>
          <w:noProof/>
        </w:rPr>
        <w:t>: 20130098.</w:t>
      </w:r>
    </w:p>
    <w:p w14:paraId="66C6B8A7"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18</w:t>
      </w:r>
      <w:r w:rsidRPr="00BE2545">
        <w:rPr>
          <w:rFonts w:ascii="Cambria" w:hAnsi="Cambria"/>
          <w:noProof/>
        </w:rPr>
        <w:tab/>
        <w:t xml:space="preserve">Soetaert K, Petzoldt T, Setzer RW. Package deSolve : Solving Initial Value Differential Equations in R. </w:t>
      </w:r>
      <w:r w:rsidRPr="00BE2545">
        <w:rPr>
          <w:rFonts w:ascii="Cambria" w:hAnsi="Cambria"/>
          <w:i/>
          <w:iCs/>
          <w:noProof/>
        </w:rPr>
        <w:t>J Stat Softw</w:t>
      </w:r>
      <w:r w:rsidRPr="00BE2545">
        <w:rPr>
          <w:rFonts w:ascii="Cambria" w:hAnsi="Cambria"/>
          <w:noProof/>
        </w:rPr>
        <w:t xml:space="preserve"> 2010; </w:t>
      </w:r>
      <w:r w:rsidRPr="00BE2545">
        <w:rPr>
          <w:rFonts w:ascii="Cambria" w:hAnsi="Cambria"/>
          <w:b/>
          <w:bCs/>
          <w:noProof/>
        </w:rPr>
        <w:t>33</w:t>
      </w:r>
      <w:r w:rsidRPr="00BE2545">
        <w:rPr>
          <w:rFonts w:ascii="Cambria" w:hAnsi="Cambria"/>
          <w:noProof/>
        </w:rPr>
        <w:t>: 1–25.</w:t>
      </w:r>
    </w:p>
    <w:p w14:paraId="70A6BB0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19</w:t>
      </w:r>
      <w:r w:rsidRPr="00BE2545">
        <w:rPr>
          <w:rFonts w:ascii="Cambria" w:hAnsi="Cambria"/>
          <w:noProof/>
        </w:rPr>
        <w:tab/>
        <w:t xml:space="preserve">Clemens JD, Sack D a, Harris JR, </w:t>
      </w:r>
      <w:r w:rsidRPr="00BE2545">
        <w:rPr>
          <w:rFonts w:ascii="Cambria" w:hAnsi="Cambria"/>
          <w:i/>
          <w:iCs/>
          <w:noProof/>
        </w:rPr>
        <w:t>et al.</w:t>
      </w:r>
      <w:r w:rsidRPr="00BE2545">
        <w:rPr>
          <w:rFonts w:ascii="Cambria" w:hAnsi="Cambria"/>
          <w:noProof/>
        </w:rPr>
        <w:t xml:space="preserve"> Field trial of oral cholera vaccines in Bangladesh: results from three-year follow-up. </w:t>
      </w:r>
      <w:r w:rsidRPr="00BE2545">
        <w:rPr>
          <w:rFonts w:ascii="Cambria" w:hAnsi="Cambria"/>
          <w:i/>
          <w:iCs/>
          <w:noProof/>
        </w:rPr>
        <w:t>Lancet</w:t>
      </w:r>
      <w:r w:rsidRPr="00BE2545">
        <w:rPr>
          <w:rFonts w:ascii="Cambria" w:hAnsi="Cambria"/>
          <w:noProof/>
        </w:rPr>
        <w:t xml:space="preserve"> 1990; </w:t>
      </w:r>
      <w:r w:rsidRPr="00BE2545">
        <w:rPr>
          <w:rFonts w:ascii="Cambria" w:hAnsi="Cambria"/>
          <w:b/>
          <w:bCs/>
          <w:noProof/>
        </w:rPr>
        <w:t>335</w:t>
      </w:r>
      <w:r w:rsidRPr="00BE2545">
        <w:rPr>
          <w:rFonts w:ascii="Cambria" w:hAnsi="Cambria"/>
          <w:noProof/>
        </w:rPr>
        <w:t>: 270–3.</w:t>
      </w:r>
    </w:p>
    <w:p w14:paraId="4762E080"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20</w:t>
      </w:r>
      <w:r w:rsidRPr="00BE2545">
        <w:rPr>
          <w:rFonts w:ascii="Cambria" w:hAnsi="Cambria"/>
          <w:noProof/>
        </w:rPr>
        <w:tab/>
        <w:t xml:space="preserve">Durham LK, Longini IM, Halloran ME, Clemens JD, Nizam A, Rao M. Estimation of vaccine efficacy in the presence of waning: application to cholera vaccines. </w:t>
      </w:r>
      <w:r w:rsidRPr="00BE2545">
        <w:rPr>
          <w:rFonts w:ascii="Cambria" w:hAnsi="Cambria"/>
          <w:i/>
          <w:iCs/>
          <w:noProof/>
        </w:rPr>
        <w:t>Am J Epidemiol</w:t>
      </w:r>
      <w:r w:rsidRPr="00BE2545">
        <w:rPr>
          <w:rFonts w:ascii="Cambria" w:hAnsi="Cambria"/>
          <w:noProof/>
        </w:rPr>
        <w:t xml:space="preserve"> 1998; </w:t>
      </w:r>
      <w:r w:rsidRPr="00BE2545">
        <w:rPr>
          <w:rFonts w:ascii="Cambria" w:hAnsi="Cambria"/>
          <w:b/>
          <w:bCs/>
          <w:noProof/>
        </w:rPr>
        <w:t>147</w:t>
      </w:r>
      <w:r w:rsidRPr="00BE2545">
        <w:rPr>
          <w:rFonts w:ascii="Cambria" w:hAnsi="Cambria"/>
          <w:noProof/>
        </w:rPr>
        <w:t>: 948–59.</w:t>
      </w:r>
    </w:p>
    <w:p w14:paraId="374B753A"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21</w:t>
      </w:r>
      <w:r w:rsidRPr="00BE2545">
        <w:rPr>
          <w:rFonts w:ascii="Cambria" w:hAnsi="Cambria"/>
          <w:noProof/>
        </w:rPr>
        <w:tab/>
        <w:t>Becker NG. Minor outbreaks when infectives are homogenous. In: Modeling to Inform Infectious Disease Control. 2015: 7–28.</w:t>
      </w:r>
    </w:p>
    <w:p w14:paraId="64DD0D08"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lastRenderedPageBreak/>
        <w:t>22</w:t>
      </w:r>
      <w:r w:rsidRPr="00BE2545">
        <w:rPr>
          <w:rFonts w:ascii="Cambria" w:hAnsi="Cambria"/>
          <w:noProof/>
        </w:rPr>
        <w:tab/>
        <w:t xml:space="preserve">Mott J. The Distribution of the Time-to-Emptiness of a Discrete Dam Under Steady Demand. </w:t>
      </w:r>
      <w:r w:rsidRPr="00BE2545">
        <w:rPr>
          <w:rFonts w:ascii="Cambria" w:hAnsi="Cambria"/>
          <w:i/>
          <w:iCs/>
          <w:noProof/>
        </w:rPr>
        <w:t>J R Stat Soc Ser B</w:t>
      </w:r>
      <w:r w:rsidRPr="00BE2545">
        <w:rPr>
          <w:rFonts w:ascii="Cambria" w:hAnsi="Cambria"/>
          <w:noProof/>
        </w:rPr>
        <w:t xml:space="preserve"> 1963; </w:t>
      </w:r>
      <w:r w:rsidRPr="00BE2545">
        <w:rPr>
          <w:rFonts w:ascii="Cambria" w:hAnsi="Cambria"/>
          <w:b/>
          <w:bCs/>
          <w:noProof/>
        </w:rPr>
        <w:t>25</w:t>
      </w:r>
      <w:r w:rsidRPr="00BE2545">
        <w:rPr>
          <w:rFonts w:ascii="Cambria" w:hAnsi="Cambria"/>
          <w:noProof/>
        </w:rPr>
        <w:t>: 137–9.</w:t>
      </w:r>
    </w:p>
    <w:p w14:paraId="0F49D96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23</w:t>
      </w:r>
      <w:r w:rsidRPr="00BE2545">
        <w:rPr>
          <w:rFonts w:ascii="Cambria" w:hAnsi="Cambria"/>
          <w:noProof/>
        </w:rPr>
        <w:tab/>
        <w:t xml:space="preserve">Azman AS, Rudolph KE, Cummings D a T, Lessler J. The incubation period of cholera: a systematic review. </w:t>
      </w:r>
      <w:r w:rsidRPr="00BE2545">
        <w:rPr>
          <w:rFonts w:ascii="Cambria" w:hAnsi="Cambria"/>
          <w:i/>
          <w:iCs/>
          <w:noProof/>
        </w:rPr>
        <w:t>J Infect</w:t>
      </w:r>
      <w:r w:rsidRPr="00BE2545">
        <w:rPr>
          <w:rFonts w:ascii="Cambria" w:hAnsi="Cambria"/>
          <w:noProof/>
        </w:rPr>
        <w:t xml:space="preserve"> 2013; </w:t>
      </w:r>
      <w:r w:rsidRPr="00BE2545">
        <w:rPr>
          <w:rFonts w:ascii="Cambria" w:hAnsi="Cambria"/>
          <w:b/>
          <w:bCs/>
          <w:noProof/>
        </w:rPr>
        <w:t>66</w:t>
      </w:r>
      <w:r w:rsidRPr="00BE2545">
        <w:rPr>
          <w:rFonts w:ascii="Cambria" w:hAnsi="Cambria"/>
          <w:noProof/>
        </w:rPr>
        <w:t>: 432–8.</w:t>
      </w:r>
    </w:p>
    <w:p w14:paraId="1F25202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24</w:t>
      </w:r>
      <w:r w:rsidRPr="00BE2545">
        <w:rPr>
          <w:rFonts w:ascii="Cambria" w:hAnsi="Cambria"/>
          <w:noProof/>
        </w:rPr>
        <w:tab/>
        <w:t xml:space="preserve">Azman AS, Luquero FJ, Ciglenecki I, Grais RF, Sack D a., Lessler J. The Impact of a One-Dose versus Two-Dose Oral Cholera Vaccine Regimen in Outbreak Settings: A Modeling Study. </w:t>
      </w:r>
      <w:r w:rsidRPr="00BE2545">
        <w:rPr>
          <w:rFonts w:ascii="Cambria" w:hAnsi="Cambria"/>
          <w:i/>
          <w:iCs/>
          <w:noProof/>
        </w:rPr>
        <w:t>PLOS Med</w:t>
      </w:r>
      <w:r w:rsidRPr="00BE2545">
        <w:rPr>
          <w:rFonts w:ascii="Cambria" w:hAnsi="Cambria"/>
          <w:noProof/>
        </w:rPr>
        <w:t xml:space="preserve"> 2015; </w:t>
      </w:r>
      <w:r w:rsidRPr="00BE2545">
        <w:rPr>
          <w:rFonts w:ascii="Cambria" w:hAnsi="Cambria"/>
          <w:b/>
          <w:bCs/>
          <w:noProof/>
        </w:rPr>
        <w:t>12</w:t>
      </w:r>
      <w:r w:rsidRPr="00BE2545">
        <w:rPr>
          <w:rFonts w:ascii="Cambria" w:hAnsi="Cambria"/>
          <w:noProof/>
        </w:rPr>
        <w:t>: e1001867.</w:t>
      </w:r>
    </w:p>
    <w:p w14:paraId="6E50323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25</w:t>
      </w:r>
      <w:r w:rsidRPr="00BE2545">
        <w:rPr>
          <w:rFonts w:ascii="Cambria" w:hAnsi="Cambria"/>
          <w:noProof/>
        </w:rPr>
        <w:tab/>
        <w:t xml:space="preserve">Weil A a, Khan AI, Chowdhury F, </w:t>
      </w:r>
      <w:r w:rsidRPr="00BE2545">
        <w:rPr>
          <w:rFonts w:ascii="Cambria" w:hAnsi="Cambria"/>
          <w:i/>
          <w:iCs/>
          <w:noProof/>
        </w:rPr>
        <w:t>et al.</w:t>
      </w:r>
      <w:r w:rsidRPr="00BE2545">
        <w:rPr>
          <w:rFonts w:ascii="Cambria" w:hAnsi="Cambria"/>
          <w:noProof/>
        </w:rPr>
        <w:t xml:space="preserve"> Clinical outcomes in household contacts of patients with cholera in Bangladesh. </w:t>
      </w:r>
      <w:r w:rsidRPr="00BE2545">
        <w:rPr>
          <w:rFonts w:ascii="Cambria" w:hAnsi="Cambria"/>
          <w:i/>
          <w:iCs/>
          <w:noProof/>
        </w:rPr>
        <w:t>Clin Infect Dis</w:t>
      </w:r>
      <w:r w:rsidRPr="00BE2545">
        <w:rPr>
          <w:rFonts w:ascii="Cambria" w:hAnsi="Cambria"/>
          <w:noProof/>
        </w:rPr>
        <w:t xml:space="preserve"> 2009; </w:t>
      </w:r>
      <w:r w:rsidRPr="00BE2545">
        <w:rPr>
          <w:rFonts w:ascii="Cambria" w:hAnsi="Cambria"/>
          <w:b/>
          <w:bCs/>
          <w:noProof/>
        </w:rPr>
        <w:t>49</w:t>
      </w:r>
      <w:r w:rsidRPr="00BE2545">
        <w:rPr>
          <w:rFonts w:ascii="Cambria" w:hAnsi="Cambria"/>
          <w:noProof/>
        </w:rPr>
        <w:t>: 1473–9.</w:t>
      </w:r>
    </w:p>
    <w:p w14:paraId="15A2657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26</w:t>
      </w:r>
      <w:r w:rsidRPr="00BE2545">
        <w:rPr>
          <w:rFonts w:ascii="Cambria" w:hAnsi="Cambria"/>
          <w:noProof/>
        </w:rPr>
        <w:tab/>
        <w:t xml:space="preserve">Moore S, Lessler J. Optimal allocation of the limited oral cholera vaccine supply between endemic and epidemic settings. </w:t>
      </w:r>
      <w:r w:rsidRPr="00BE2545">
        <w:rPr>
          <w:rFonts w:ascii="Cambria" w:hAnsi="Cambria"/>
          <w:i/>
          <w:iCs/>
          <w:noProof/>
        </w:rPr>
        <w:t>J R Soc …</w:t>
      </w:r>
      <w:r w:rsidRPr="00BE2545">
        <w:rPr>
          <w:rFonts w:ascii="Cambria" w:hAnsi="Cambria"/>
          <w:noProof/>
        </w:rPr>
        <w:t xml:space="preserve"> 2015. http://rsif.royalsocietypublishing.org/content/12/111/20150703 (accessed Oct 3, 2015).</w:t>
      </w:r>
    </w:p>
    <w:p w14:paraId="121B0376"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27</w:t>
      </w:r>
      <w:r w:rsidRPr="00BE2545">
        <w:rPr>
          <w:rFonts w:ascii="Cambria" w:hAnsi="Cambria"/>
          <w:noProof/>
        </w:rPr>
        <w:tab/>
        <w:t xml:space="preserve">Bhattacharya SK, Sur D, Ali M, </w:t>
      </w:r>
      <w:r w:rsidRPr="00BE2545">
        <w:rPr>
          <w:rFonts w:ascii="Cambria" w:hAnsi="Cambria"/>
          <w:i/>
          <w:iCs/>
          <w:noProof/>
        </w:rPr>
        <w:t>et al.</w:t>
      </w:r>
      <w:r w:rsidRPr="00BE2545">
        <w:rPr>
          <w:rFonts w:ascii="Cambria" w:hAnsi="Cambria"/>
          <w:noProof/>
        </w:rPr>
        <w:t xml:space="preserve"> 5 year efficacy of a bivalent killed whole-cell oral cholera vaccine in Kolkata, India: a cluster-randomised, double-blind, placebo-controlled trial. </w:t>
      </w:r>
      <w:r w:rsidRPr="00BE2545">
        <w:rPr>
          <w:rFonts w:ascii="Cambria" w:hAnsi="Cambria"/>
          <w:i/>
          <w:iCs/>
          <w:noProof/>
        </w:rPr>
        <w:t>Lancet Infect Dis</w:t>
      </w:r>
      <w:r w:rsidRPr="00BE2545">
        <w:rPr>
          <w:rFonts w:ascii="Cambria" w:hAnsi="Cambria"/>
          <w:noProof/>
        </w:rPr>
        <w:t xml:space="preserve"> 2013; </w:t>
      </w:r>
      <w:r w:rsidRPr="00BE2545">
        <w:rPr>
          <w:rFonts w:ascii="Cambria" w:hAnsi="Cambria"/>
          <w:b/>
          <w:bCs/>
          <w:noProof/>
        </w:rPr>
        <w:t>13</w:t>
      </w:r>
      <w:r w:rsidRPr="00BE2545">
        <w:rPr>
          <w:rFonts w:ascii="Cambria" w:hAnsi="Cambria"/>
          <w:noProof/>
        </w:rPr>
        <w:t>: 1050–6.</w:t>
      </w:r>
    </w:p>
    <w:p w14:paraId="3160840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28</w:t>
      </w:r>
      <w:r w:rsidRPr="00BE2545">
        <w:rPr>
          <w:rFonts w:ascii="Cambria" w:hAnsi="Cambria"/>
          <w:noProof/>
        </w:rPr>
        <w:tab/>
        <w:t xml:space="preserve">Van Loon FPL, Clemens JD, Chakraborty J, </w:t>
      </w:r>
      <w:r w:rsidRPr="00BE2545">
        <w:rPr>
          <w:rFonts w:ascii="Cambria" w:hAnsi="Cambria"/>
          <w:i/>
          <w:iCs/>
          <w:noProof/>
        </w:rPr>
        <w:t>et al.</w:t>
      </w:r>
      <w:r w:rsidRPr="00BE2545">
        <w:rPr>
          <w:rFonts w:ascii="Cambria" w:hAnsi="Cambria"/>
          <w:noProof/>
        </w:rPr>
        <w:t xml:space="preserve"> Field trial of inactivated oral cholera vaccines in Bangladesh: Results from 5 years of follow-up. </w:t>
      </w:r>
      <w:r w:rsidRPr="00BE2545">
        <w:rPr>
          <w:rFonts w:ascii="Cambria" w:hAnsi="Cambria"/>
          <w:i/>
          <w:iCs/>
          <w:noProof/>
        </w:rPr>
        <w:t>Vaccine</w:t>
      </w:r>
      <w:r w:rsidRPr="00BE2545">
        <w:rPr>
          <w:rFonts w:ascii="Cambria" w:hAnsi="Cambria"/>
          <w:noProof/>
        </w:rPr>
        <w:t xml:space="preserve"> 1996; </w:t>
      </w:r>
      <w:r w:rsidRPr="00BE2545">
        <w:rPr>
          <w:rFonts w:ascii="Cambria" w:hAnsi="Cambria"/>
          <w:b/>
          <w:bCs/>
          <w:noProof/>
        </w:rPr>
        <w:t>14</w:t>
      </w:r>
      <w:r w:rsidRPr="00BE2545">
        <w:rPr>
          <w:rFonts w:ascii="Cambria" w:hAnsi="Cambria"/>
          <w:noProof/>
        </w:rPr>
        <w:t>: 162–6.</w:t>
      </w:r>
    </w:p>
    <w:p w14:paraId="5EB7042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29</w:t>
      </w:r>
      <w:r w:rsidRPr="00BE2545">
        <w:rPr>
          <w:rFonts w:ascii="Cambria" w:hAnsi="Cambria"/>
          <w:noProof/>
        </w:rPr>
        <w:tab/>
        <w:t xml:space="preserve">Fox JP, Elveback L, Scott W, Gatewood L, Ackerman E. Herd Immunity: Basic Concept and Relevance To Public Health Immunization Practices. </w:t>
      </w:r>
      <w:r w:rsidRPr="00BE2545">
        <w:rPr>
          <w:rFonts w:ascii="Cambria" w:hAnsi="Cambria"/>
          <w:i/>
          <w:iCs/>
          <w:noProof/>
        </w:rPr>
        <w:t>Am J Epidemiol</w:t>
      </w:r>
      <w:r w:rsidRPr="00BE2545">
        <w:rPr>
          <w:rFonts w:ascii="Cambria" w:hAnsi="Cambria"/>
          <w:noProof/>
        </w:rPr>
        <w:t xml:space="preserve"> 1971; </w:t>
      </w:r>
      <w:r w:rsidRPr="00BE2545">
        <w:rPr>
          <w:rFonts w:ascii="Cambria" w:hAnsi="Cambria"/>
          <w:b/>
          <w:bCs/>
          <w:noProof/>
        </w:rPr>
        <w:t>94</w:t>
      </w:r>
      <w:r w:rsidRPr="00BE2545">
        <w:rPr>
          <w:rFonts w:ascii="Cambria" w:hAnsi="Cambria"/>
          <w:noProof/>
        </w:rPr>
        <w:t>: 187–97.</w:t>
      </w:r>
    </w:p>
    <w:p w14:paraId="2E26F15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30</w:t>
      </w:r>
      <w:r w:rsidRPr="00BE2545">
        <w:rPr>
          <w:rFonts w:ascii="Cambria" w:hAnsi="Cambria"/>
          <w:noProof/>
        </w:rPr>
        <w:tab/>
        <w:t xml:space="preserve">Lessler J, Metcalf CJE, Cutts FT, Grenfell BT. Impact on Epidemic Measles of Vaccination Campaigns Triggered by Disease Outbreaks or Serosurveys: A Modeling Study. </w:t>
      </w:r>
      <w:r w:rsidRPr="00BE2545">
        <w:rPr>
          <w:rFonts w:ascii="Cambria" w:hAnsi="Cambria"/>
          <w:i/>
          <w:iCs/>
          <w:noProof/>
        </w:rPr>
        <w:t>PLoS Med</w:t>
      </w:r>
      <w:r w:rsidRPr="00BE2545">
        <w:rPr>
          <w:rFonts w:ascii="Cambria" w:hAnsi="Cambria"/>
          <w:noProof/>
        </w:rPr>
        <w:t xml:space="preserve"> 2016; </w:t>
      </w:r>
      <w:r w:rsidRPr="00BE2545">
        <w:rPr>
          <w:rFonts w:ascii="Cambria" w:hAnsi="Cambria"/>
          <w:b/>
          <w:bCs/>
          <w:noProof/>
        </w:rPr>
        <w:t>13</w:t>
      </w:r>
      <w:r w:rsidRPr="00BE2545">
        <w:rPr>
          <w:rFonts w:ascii="Cambria" w:hAnsi="Cambria"/>
          <w:noProof/>
        </w:rPr>
        <w:t>: e1002144.</w:t>
      </w:r>
    </w:p>
    <w:p w14:paraId="2705275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31</w:t>
      </w:r>
      <w:r w:rsidRPr="00BE2545">
        <w:rPr>
          <w:rFonts w:ascii="Cambria" w:hAnsi="Cambria"/>
          <w:noProof/>
        </w:rPr>
        <w:tab/>
        <w:t xml:space="preserve">Azman AS, Lessler J. Reactive vaccination in the presence of disease hotspots. </w:t>
      </w:r>
      <w:r w:rsidRPr="00BE2545">
        <w:rPr>
          <w:rFonts w:ascii="Cambria" w:hAnsi="Cambria"/>
          <w:i/>
          <w:iCs/>
          <w:noProof/>
        </w:rPr>
        <w:t>Proc R Soc B Biol Sci</w:t>
      </w:r>
      <w:r w:rsidRPr="00BE2545">
        <w:rPr>
          <w:rFonts w:ascii="Cambria" w:hAnsi="Cambria"/>
          <w:noProof/>
        </w:rPr>
        <w:t xml:space="preserve"> 2015; </w:t>
      </w:r>
      <w:r w:rsidRPr="00BE2545">
        <w:rPr>
          <w:rFonts w:ascii="Cambria" w:hAnsi="Cambria"/>
          <w:b/>
          <w:bCs/>
          <w:noProof/>
        </w:rPr>
        <w:t>282</w:t>
      </w:r>
      <w:r w:rsidRPr="00BE2545">
        <w:rPr>
          <w:rFonts w:ascii="Cambria" w:hAnsi="Cambria"/>
          <w:noProof/>
        </w:rPr>
        <w:t>: 20141341–20141341.</w:t>
      </w:r>
    </w:p>
    <w:p w14:paraId="0BC21550"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32</w:t>
      </w:r>
      <w:r w:rsidRPr="00BE2545">
        <w:rPr>
          <w:rFonts w:ascii="Cambria" w:hAnsi="Cambria"/>
          <w:noProof/>
        </w:rPr>
        <w:tab/>
        <w:t xml:space="preserve">Wu JT, Peak CM, Leung GM, Lipsitch M. Fractional dosing of yellow fever vaccine to extend supply: a modelling study. </w:t>
      </w:r>
      <w:r w:rsidRPr="00BE2545">
        <w:rPr>
          <w:rFonts w:ascii="Cambria" w:hAnsi="Cambria"/>
          <w:i/>
          <w:iCs/>
          <w:noProof/>
        </w:rPr>
        <w:t>Lancet</w:t>
      </w:r>
      <w:r w:rsidRPr="00BE2545">
        <w:rPr>
          <w:rFonts w:ascii="Cambria" w:hAnsi="Cambria"/>
          <w:noProof/>
        </w:rPr>
        <w:t xml:space="preserve"> 2016; </w:t>
      </w:r>
      <w:r w:rsidRPr="00BE2545">
        <w:rPr>
          <w:rFonts w:ascii="Cambria" w:hAnsi="Cambria"/>
          <w:b/>
          <w:bCs/>
          <w:noProof/>
        </w:rPr>
        <w:t>6736</w:t>
      </w:r>
      <w:r w:rsidRPr="00BE2545">
        <w:rPr>
          <w:rFonts w:ascii="Cambria" w:hAnsi="Cambria"/>
          <w:noProof/>
        </w:rPr>
        <w:t>: 53421.</w:t>
      </w:r>
    </w:p>
    <w:p w14:paraId="6F3B41A3" w14:textId="2B93F9C8" w:rsidR="00D77E67" w:rsidRDefault="000A51A6" w:rsidP="00BE2545">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proofErr w:type="gramStart"/>
      <w:r>
        <w:t>{ Preliminary</w:t>
      </w:r>
      <w:proofErr w:type="gramEnd"/>
      <w:r>
        <w:t xml:space="preserve">: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08FA7EE1" w14:textId="05696261" w:rsidR="00055B77" w:rsidRPr="00055B77" w:rsidRDefault="00055B77" w:rsidP="00754E2D">
      <w:proofErr w:type="gramStart"/>
      <w:r>
        <w:rPr>
          <w:b/>
        </w:rPr>
        <w:t>Supplemental Figure AA.</w:t>
      </w:r>
      <w:proofErr w:type="gramEnd"/>
      <w:r>
        <w:rPr>
          <w:b/>
        </w:rPr>
        <w:t xml:space="preserve"> </w:t>
      </w:r>
      <w:r w:rsidRPr="00700D43">
        <w:rPr>
          <w:b/>
        </w:rPr>
        <w:t>Changes in the proportion of the population susceptible (</w:t>
      </w:r>
      <w:proofErr w:type="gramStart"/>
      <w:r w:rsidRPr="00700D43">
        <w:rPr>
          <w:b/>
        </w:rPr>
        <w:t>X(</w:t>
      </w:r>
      <w:proofErr w:type="gramEnd"/>
      <w:r w:rsidRPr="00700D43">
        <w:rPr>
          <w:b/>
        </w:rPr>
        <w:t>t)) as a function of years since vaccination</w:t>
      </w:r>
      <w:r>
        <w:rPr>
          <w:b/>
        </w:rPr>
        <w:t>.</w:t>
      </w:r>
      <w:r>
        <w:t xml:space="preserve"> </w:t>
      </w:r>
      <w:proofErr w:type="gramStart"/>
      <w:r>
        <w:t xml:space="preserve">As per Figure </w:t>
      </w:r>
      <w:r w:rsidR="005D6069">
        <w:t>AA</w:t>
      </w:r>
      <w:r>
        <w:t xml:space="preserve">, but </w:t>
      </w:r>
      <w:r w:rsidR="00FE5066">
        <w:t>with the addition of high birth/death rates (1/40 years) and the BS-Whole Cell vaccine profile.</w:t>
      </w:r>
      <w:proofErr w:type="gramEnd"/>
    </w:p>
    <w:p w14:paraId="0B88654A" w14:textId="77777777" w:rsidR="00754E2D" w:rsidRDefault="00754E2D" w:rsidP="00F038DC">
      <w:pPr>
        <w:rPr>
          <w:b/>
        </w:rPr>
      </w:pPr>
    </w:p>
    <w:p w14:paraId="16F47C05" w14:textId="0C8E9B28" w:rsidR="006173F9" w:rsidRDefault="005D6069" w:rsidP="006173F9">
      <w:proofErr w:type="gramStart"/>
      <w:r>
        <w:rPr>
          <w:b/>
        </w:rPr>
        <w:t>Supplemental Figure BB</w:t>
      </w:r>
      <w:r w:rsidR="006173F9">
        <w:rPr>
          <w:b/>
        </w:rPr>
        <w:t>.</w:t>
      </w:r>
      <w:proofErr w:type="gramEnd"/>
      <w:r w:rsidR="006173F9">
        <w:rPr>
          <w:b/>
        </w:rPr>
        <w:t xml:space="preserve"> </w:t>
      </w:r>
      <w:proofErr w:type="gramStart"/>
      <w:r w:rsidR="006173F9">
        <w:rPr>
          <w:b/>
        </w:rPr>
        <w:t>Changes in the probability of an outbreak as a function of years since vaccination</w:t>
      </w:r>
      <w:r>
        <w:t>.</w:t>
      </w:r>
      <w:proofErr w:type="gramEnd"/>
      <w:r>
        <w:t xml:space="preserve"> </w:t>
      </w:r>
      <w:proofErr w:type="gramStart"/>
      <w:r>
        <w:t>As per Figure BB including the WS-BC vaccine profile</w:t>
      </w:r>
      <w:r w:rsidR="006173F9">
        <w:t>.</w:t>
      </w:r>
      <w:proofErr w:type="gramEnd"/>
    </w:p>
    <w:p w14:paraId="3929A56A" w14:textId="77777777" w:rsidR="005D6069" w:rsidRDefault="005D6069" w:rsidP="006173F9"/>
    <w:p w14:paraId="13E965AB" w14:textId="15233F46" w:rsidR="005D6069" w:rsidRPr="005D6069" w:rsidRDefault="005D6069" w:rsidP="006173F9">
      <w:r>
        <w:rPr>
          <w:b/>
        </w:rPr>
        <w:t>Supplemental Figure DD</w:t>
      </w:r>
      <w:r>
        <w:t>.</w:t>
      </w:r>
      <w:r w:rsidR="00E10120">
        <w:t xml:space="preserve"> </w:t>
      </w:r>
      <w:r w:rsidR="00E10120">
        <w:rPr>
          <w:b/>
        </w:rPr>
        <w:t xml:space="preserve">Vaccine targeting optimized in settings with intermediate rates of migration. </w:t>
      </w:r>
      <w:r w:rsidR="00E10120">
        <w:t>As per Figure DD, except for a perfect vaccine (VE=1 indefinitely).</w:t>
      </w:r>
    </w:p>
    <w:p w14:paraId="213DDF6A" w14:textId="77777777" w:rsidR="006173F9" w:rsidRDefault="006173F9" w:rsidP="00F038DC">
      <w:pPr>
        <w:rPr>
          <w:b/>
        </w:rPr>
      </w:pPr>
    </w:p>
    <w:p w14:paraId="1F66DE70" w14:textId="77777777" w:rsidR="006173F9" w:rsidRPr="004203D1"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16T11:35:00Z" w:initials="CP">
    <w:p w14:paraId="165BEF1B" w14:textId="3836F09E" w:rsidR="00104461" w:rsidRDefault="00104461">
      <w:pPr>
        <w:pStyle w:val="CommentText"/>
      </w:pPr>
      <w:r>
        <w:rPr>
          <w:rStyle w:val="CommentReference"/>
        </w:rPr>
        <w:annotationRef/>
      </w:r>
      <w:r>
        <w:t>Currently an unnecessary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104461" w:rsidRDefault="00104461" w:rsidP="001850C4">
      <w:r>
        <w:separator/>
      </w:r>
    </w:p>
  </w:endnote>
  <w:endnote w:type="continuationSeparator" w:id="0">
    <w:p w14:paraId="1E887071" w14:textId="77777777" w:rsidR="00104461" w:rsidRDefault="00104461"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104461" w:rsidRDefault="00104461"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104461" w:rsidRDefault="00104461"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104461" w:rsidRDefault="00104461"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EF3">
      <w:rPr>
        <w:rStyle w:val="PageNumber"/>
        <w:noProof/>
      </w:rPr>
      <w:t>10</w:t>
    </w:r>
    <w:r>
      <w:rPr>
        <w:rStyle w:val="PageNumber"/>
      </w:rPr>
      <w:fldChar w:fldCharType="end"/>
    </w:r>
  </w:p>
  <w:p w14:paraId="08A4DC5F" w14:textId="77777777" w:rsidR="00104461" w:rsidRDefault="00104461"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104461" w:rsidRDefault="00104461" w:rsidP="001850C4">
      <w:r>
        <w:separator/>
      </w:r>
    </w:p>
  </w:footnote>
  <w:footnote w:type="continuationSeparator" w:id="0">
    <w:p w14:paraId="58BAF1B2" w14:textId="77777777" w:rsidR="00104461" w:rsidRDefault="00104461"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A51A6"/>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7394"/>
    <w:rsid w:val="001602F5"/>
    <w:rsid w:val="0016567C"/>
    <w:rsid w:val="00167FD3"/>
    <w:rsid w:val="0017181D"/>
    <w:rsid w:val="00173AD3"/>
    <w:rsid w:val="00183BEB"/>
    <w:rsid w:val="001850C4"/>
    <w:rsid w:val="00194DF1"/>
    <w:rsid w:val="001A3E37"/>
    <w:rsid w:val="001B4288"/>
    <w:rsid w:val="001D4990"/>
    <w:rsid w:val="001E0C33"/>
    <w:rsid w:val="001E6C5D"/>
    <w:rsid w:val="001E7E1A"/>
    <w:rsid w:val="001F435D"/>
    <w:rsid w:val="00202A22"/>
    <w:rsid w:val="00207B44"/>
    <w:rsid w:val="00212835"/>
    <w:rsid w:val="00215957"/>
    <w:rsid w:val="002222F4"/>
    <w:rsid w:val="002347AA"/>
    <w:rsid w:val="00245BED"/>
    <w:rsid w:val="00246BDD"/>
    <w:rsid w:val="0026554C"/>
    <w:rsid w:val="0028276D"/>
    <w:rsid w:val="00287B54"/>
    <w:rsid w:val="00290EDB"/>
    <w:rsid w:val="002A1306"/>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80271"/>
    <w:rsid w:val="003956CB"/>
    <w:rsid w:val="003A567D"/>
    <w:rsid w:val="003B3505"/>
    <w:rsid w:val="003D3632"/>
    <w:rsid w:val="003D39B4"/>
    <w:rsid w:val="003D3BBD"/>
    <w:rsid w:val="003E13B5"/>
    <w:rsid w:val="0040245D"/>
    <w:rsid w:val="00403CC2"/>
    <w:rsid w:val="0040551F"/>
    <w:rsid w:val="00410998"/>
    <w:rsid w:val="00410A03"/>
    <w:rsid w:val="00413510"/>
    <w:rsid w:val="00417BC4"/>
    <w:rsid w:val="004203D1"/>
    <w:rsid w:val="00423090"/>
    <w:rsid w:val="0042502C"/>
    <w:rsid w:val="00437A54"/>
    <w:rsid w:val="00456D57"/>
    <w:rsid w:val="00463D05"/>
    <w:rsid w:val="004711D7"/>
    <w:rsid w:val="0047120A"/>
    <w:rsid w:val="004737E0"/>
    <w:rsid w:val="00493178"/>
    <w:rsid w:val="00497717"/>
    <w:rsid w:val="004C3907"/>
    <w:rsid w:val="004F4FF7"/>
    <w:rsid w:val="004F60A8"/>
    <w:rsid w:val="004F662A"/>
    <w:rsid w:val="004F7D02"/>
    <w:rsid w:val="00501B43"/>
    <w:rsid w:val="00503E17"/>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A7770"/>
    <w:rsid w:val="005B3DD3"/>
    <w:rsid w:val="005C033C"/>
    <w:rsid w:val="005C0BCB"/>
    <w:rsid w:val="005C0C25"/>
    <w:rsid w:val="005C7B32"/>
    <w:rsid w:val="005D6069"/>
    <w:rsid w:val="005E298F"/>
    <w:rsid w:val="005E48B4"/>
    <w:rsid w:val="005E6674"/>
    <w:rsid w:val="00611687"/>
    <w:rsid w:val="006118CA"/>
    <w:rsid w:val="0061359D"/>
    <w:rsid w:val="00613778"/>
    <w:rsid w:val="00613B08"/>
    <w:rsid w:val="0061434F"/>
    <w:rsid w:val="006168CB"/>
    <w:rsid w:val="006173F9"/>
    <w:rsid w:val="00624556"/>
    <w:rsid w:val="00642CB4"/>
    <w:rsid w:val="00647480"/>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353D3"/>
    <w:rsid w:val="00742212"/>
    <w:rsid w:val="007520A1"/>
    <w:rsid w:val="00754E2D"/>
    <w:rsid w:val="00755E78"/>
    <w:rsid w:val="0077266E"/>
    <w:rsid w:val="00773DF1"/>
    <w:rsid w:val="00786B9B"/>
    <w:rsid w:val="007C15E6"/>
    <w:rsid w:val="008218F0"/>
    <w:rsid w:val="00831DED"/>
    <w:rsid w:val="00837827"/>
    <w:rsid w:val="00841525"/>
    <w:rsid w:val="00874653"/>
    <w:rsid w:val="008861F0"/>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A3CE6"/>
    <w:rsid w:val="009B1E00"/>
    <w:rsid w:val="009D0774"/>
    <w:rsid w:val="009D2EF0"/>
    <w:rsid w:val="009D356C"/>
    <w:rsid w:val="009E526A"/>
    <w:rsid w:val="009F48AA"/>
    <w:rsid w:val="00A065FB"/>
    <w:rsid w:val="00A11F23"/>
    <w:rsid w:val="00A12181"/>
    <w:rsid w:val="00A12927"/>
    <w:rsid w:val="00A13B26"/>
    <w:rsid w:val="00A16E22"/>
    <w:rsid w:val="00A22B93"/>
    <w:rsid w:val="00A33106"/>
    <w:rsid w:val="00A445BB"/>
    <w:rsid w:val="00A50D8B"/>
    <w:rsid w:val="00A55E98"/>
    <w:rsid w:val="00A57411"/>
    <w:rsid w:val="00A61C71"/>
    <w:rsid w:val="00A72B69"/>
    <w:rsid w:val="00A76FDB"/>
    <w:rsid w:val="00AC44CF"/>
    <w:rsid w:val="00AD2DC7"/>
    <w:rsid w:val="00AD63AF"/>
    <w:rsid w:val="00AE249C"/>
    <w:rsid w:val="00AF22DD"/>
    <w:rsid w:val="00AF5A2C"/>
    <w:rsid w:val="00B23DD8"/>
    <w:rsid w:val="00B259C1"/>
    <w:rsid w:val="00B41222"/>
    <w:rsid w:val="00B611B1"/>
    <w:rsid w:val="00B61F25"/>
    <w:rsid w:val="00B62E25"/>
    <w:rsid w:val="00B862CB"/>
    <w:rsid w:val="00B92EF6"/>
    <w:rsid w:val="00B95A14"/>
    <w:rsid w:val="00BA6E7B"/>
    <w:rsid w:val="00BB6260"/>
    <w:rsid w:val="00BC1235"/>
    <w:rsid w:val="00BC2050"/>
    <w:rsid w:val="00BC7511"/>
    <w:rsid w:val="00BE11BA"/>
    <w:rsid w:val="00BE2545"/>
    <w:rsid w:val="00BE4FAD"/>
    <w:rsid w:val="00BE6A6A"/>
    <w:rsid w:val="00BF150A"/>
    <w:rsid w:val="00C023C4"/>
    <w:rsid w:val="00C032C9"/>
    <w:rsid w:val="00C04090"/>
    <w:rsid w:val="00C041CB"/>
    <w:rsid w:val="00C07693"/>
    <w:rsid w:val="00C23884"/>
    <w:rsid w:val="00C30928"/>
    <w:rsid w:val="00C345A8"/>
    <w:rsid w:val="00C346FB"/>
    <w:rsid w:val="00C42528"/>
    <w:rsid w:val="00C45E9F"/>
    <w:rsid w:val="00C51EE8"/>
    <w:rsid w:val="00C657FD"/>
    <w:rsid w:val="00C8087F"/>
    <w:rsid w:val="00C90B55"/>
    <w:rsid w:val="00C92837"/>
    <w:rsid w:val="00C93ED8"/>
    <w:rsid w:val="00C9645E"/>
    <w:rsid w:val="00CB0E9D"/>
    <w:rsid w:val="00CE18E3"/>
    <w:rsid w:val="00CF00A4"/>
    <w:rsid w:val="00CF2EF3"/>
    <w:rsid w:val="00CF37BB"/>
    <w:rsid w:val="00CF47B8"/>
    <w:rsid w:val="00CF504E"/>
    <w:rsid w:val="00D17AC2"/>
    <w:rsid w:val="00D32E9A"/>
    <w:rsid w:val="00D33102"/>
    <w:rsid w:val="00D5161A"/>
    <w:rsid w:val="00D552A1"/>
    <w:rsid w:val="00D552F7"/>
    <w:rsid w:val="00D65AB7"/>
    <w:rsid w:val="00D72DDD"/>
    <w:rsid w:val="00D74EBF"/>
    <w:rsid w:val="00D77E67"/>
    <w:rsid w:val="00D8164E"/>
    <w:rsid w:val="00D82C50"/>
    <w:rsid w:val="00DB4165"/>
    <w:rsid w:val="00DB4852"/>
    <w:rsid w:val="00DB674F"/>
    <w:rsid w:val="00DC2C74"/>
    <w:rsid w:val="00DC6A61"/>
    <w:rsid w:val="00DD0BE4"/>
    <w:rsid w:val="00DE34FB"/>
    <w:rsid w:val="00DF6B9D"/>
    <w:rsid w:val="00E0256B"/>
    <w:rsid w:val="00E10120"/>
    <w:rsid w:val="00E3037F"/>
    <w:rsid w:val="00E355A3"/>
    <w:rsid w:val="00E45923"/>
    <w:rsid w:val="00E45C5B"/>
    <w:rsid w:val="00E64649"/>
    <w:rsid w:val="00E86EA7"/>
    <w:rsid w:val="00E87CB3"/>
    <w:rsid w:val="00E941F3"/>
    <w:rsid w:val="00EB221D"/>
    <w:rsid w:val="00EC6207"/>
    <w:rsid w:val="00EC7A20"/>
    <w:rsid w:val="00EF7D04"/>
    <w:rsid w:val="00F0071E"/>
    <w:rsid w:val="00F038DC"/>
    <w:rsid w:val="00F145A7"/>
    <w:rsid w:val="00F423C7"/>
    <w:rsid w:val="00F537E7"/>
    <w:rsid w:val="00F539C6"/>
    <w:rsid w:val="00F8110F"/>
    <w:rsid w:val="00F83CD8"/>
    <w:rsid w:val="00FA4C65"/>
    <w:rsid w:val="00FA75B1"/>
    <w:rsid w:val="00FB184A"/>
    <w:rsid w:val="00FB25E1"/>
    <w:rsid w:val="00FE5066"/>
    <w:rsid w:val="00FE63D9"/>
    <w:rsid w:val="00FF1173"/>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liefweb.int/sites/reliefweb.int/files/resources/UNICEF%20South%20Sudan%20Humanitarian%20SitRep%20%2399%20-%2015%20Dec%202016.pdf" TargetMode="External"/><Relationship Id="rId20" Type="http://schemas.microsoft.com/office/2011/relationships/commentsExtended" Target="commentsExtended.xml"/><Relationship Id="rId10" Type="http://schemas.openxmlformats.org/officeDocument/2006/relationships/hyperlink" Target="https://coreypeak.shinyapps.io/herd_protection_estimator/" TargetMode="Externa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comments" Target="comments.xml"/><Relationship Id="rId14" Type="http://schemas.openxmlformats.org/officeDocument/2006/relationships/hyperlink" Target="https://coreypeak.shinyapps.io/herd_protection_estim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9F08-50AA-0844-99F6-6D31DBDA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17</Pages>
  <Words>20400</Words>
  <Characters>116280</Characters>
  <Application>Microsoft Macintosh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41</cp:revision>
  <cp:lastPrinted>2016-10-19T21:00:00Z</cp:lastPrinted>
  <dcterms:created xsi:type="dcterms:W3CDTF">2016-12-03T12:56:00Z</dcterms:created>
  <dcterms:modified xsi:type="dcterms:W3CDTF">2016-12-24T15:03:00Z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