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3FF2302F" w:rsidR="000E73B9" w:rsidRDefault="00A22B93">
      <w:r>
        <w:t>The impact of human mobility and imperfect vaccines on waning herd immunity and optimal vaccination strategies</w:t>
      </w:r>
    </w:p>
    <w:p w14:paraId="314D6547" w14:textId="77777777" w:rsidR="000E73B9" w:rsidRDefault="000E73B9"/>
    <w:p w14:paraId="7B836D39" w14:textId="43D0B1A4" w:rsidR="00E45923" w:rsidRPr="00E45923" w:rsidRDefault="00E45923">
      <w:pPr>
        <w:rPr>
          <w:b/>
        </w:rPr>
      </w:pPr>
      <w:r w:rsidRPr="00E45923">
        <w:rPr>
          <w:b/>
        </w:rPr>
        <w:t>Authors:</w:t>
      </w:r>
    </w:p>
    <w:p w14:paraId="7578E801" w14:textId="7DEBEC9D" w:rsidR="000E73B9" w:rsidRPr="00E45923" w:rsidRDefault="000E73B9">
      <w:r>
        <w:t xml:space="preserve">Corey M. Peak, Amanda Reilly, Andrew </w:t>
      </w:r>
      <w:r w:rsidR="00A22B93">
        <w:t>Azman</w:t>
      </w:r>
      <w:r w:rsidR="00E45923">
        <w:t>, Caroline O. Buckee</w:t>
      </w:r>
      <w:r>
        <w:rPr>
          <w:b/>
        </w:rPr>
        <w:br w:type="page"/>
      </w:r>
    </w:p>
    <w:p w14:paraId="71522749" w14:textId="77777777" w:rsidR="000A51A6" w:rsidRDefault="000A51A6">
      <w:r>
        <w:rPr>
          <w:b/>
        </w:rPr>
        <w:lastRenderedPageBreak/>
        <w:t>ABSTRACT</w:t>
      </w:r>
    </w:p>
    <w:p w14:paraId="31BCE285" w14:textId="77777777" w:rsidR="000A51A6" w:rsidRDefault="000A51A6"/>
    <w:p w14:paraId="00379D97" w14:textId="2BB8B49D" w:rsidR="000A51A6" w:rsidRPr="00A76FDB" w:rsidRDefault="00A22B93" w:rsidP="00A22B93">
      <w:r>
        <w:t xml:space="preserve">Herd immunity is often the goal of routine and mass vaccination, but can wane over time due to short-lived vaccine efficacy or migration of susceptible individuals into the population. </w:t>
      </w:r>
      <w:r w:rsidR="00142B0A">
        <w:t xml:space="preserve">The duration of herd immunity (DHI) can be an important operational marker for how long vaccination can be expected to protect a community or how frequently re-vaccination should be considered. </w:t>
      </w:r>
      <w:r>
        <w:t>W</w:t>
      </w:r>
      <w:r w:rsidR="00142B0A">
        <w:t xml:space="preserve">e developed a </w:t>
      </w:r>
      <w:r w:rsidR="0040551F">
        <w:t xml:space="preserve">compartmental </w:t>
      </w:r>
      <w:r w:rsidR="00142B0A">
        <w:t>model to simulate routine and mass vaccination in a population with</w:t>
      </w:r>
      <w:r w:rsidR="0040551F">
        <w:t xml:space="preserve"> varying degrees of migration, transmission intensity, and vaccine coverage. Using the </w:t>
      </w:r>
      <w:r w:rsidR="00546529">
        <w:t>example</w:t>
      </w:r>
      <w:r w:rsidR="0040551F">
        <w:t xml:space="preserve"> of oral cholera vaccines, we </w:t>
      </w:r>
      <w:r>
        <w:t>show that migration and waning</w:t>
      </w:r>
      <w:r w:rsidR="0040551F">
        <w:t xml:space="preserve"> vaccine </w:t>
      </w:r>
      <w:r>
        <w:t>efficacy</w:t>
      </w:r>
      <w:r w:rsidR="0040551F">
        <w:t xml:space="preserve"> strongly influence DHI while birth/death processes have minimal impacts. We find that a blended “Mass then Maintain” strategy can protect a community longer than either routine </w:t>
      </w:r>
      <w:r w:rsidR="00546529">
        <w:t xml:space="preserve">vaccination </w:t>
      </w:r>
      <w:r w:rsidR="0040551F">
        <w:t xml:space="preserve">or periodic mass vaccination. </w:t>
      </w:r>
      <w:r w:rsidR="00A76FDB">
        <w:t>Finally, we demonstrate that mass vaccination may be best targeted at populations with intermediate degrees of mobility as compared to communities with very high or very low turnover. In summary, we find vaccines, and specifically oral cholera vaccines, can be powerful tools for quickly protecting a population for a certain period of time until complementary interventions can be installed or can provide long-term herd immunity through a “Mass then Maintain” strategy.</w:t>
      </w:r>
    </w:p>
    <w:p w14:paraId="6C1F2321" w14:textId="77777777" w:rsidR="00142B0A" w:rsidRDefault="00142B0A">
      <w:pPr>
        <w:rPr>
          <w:b/>
        </w:rPr>
      </w:pPr>
      <w:r>
        <w:rPr>
          <w:b/>
        </w:rPr>
        <w:br w:type="page"/>
      </w:r>
    </w:p>
    <w:p w14:paraId="6EDFA4E3" w14:textId="6BDF2F1C" w:rsidR="0071157B" w:rsidRPr="001850C4" w:rsidRDefault="0071157B">
      <w:pPr>
        <w:rPr>
          <w:b/>
        </w:rPr>
      </w:pPr>
      <w:r w:rsidRPr="001850C4">
        <w:rPr>
          <w:b/>
        </w:rPr>
        <w:lastRenderedPageBreak/>
        <w:t>INTRODUCTION</w:t>
      </w:r>
    </w:p>
    <w:p w14:paraId="3C053FB8" w14:textId="704E6FDF" w:rsidR="00A22B93" w:rsidRPr="00D5161A" w:rsidRDefault="00D5161A">
      <w:r>
        <w:t>T</w:t>
      </w:r>
      <w:r w:rsidR="00A22B93">
        <w:t xml:space="preserve">he goal of routine and mass vaccination campaigns is </w:t>
      </w:r>
      <w:r>
        <w:t xml:space="preserve">frequently </w:t>
      </w:r>
      <w:r w:rsidR="00A22B93">
        <w:t xml:space="preserve">to achieve a </w:t>
      </w:r>
      <w:r>
        <w:t>state of herd immunity,</w:t>
      </w:r>
      <w:r>
        <w:fldChar w:fldCharType="begin" w:fldLock="1"/>
      </w:r>
      <w:r w:rsidR="00575CD5">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Pr="00D5161A">
        <w:rPr>
          <w:noProof/>
          <w:vertAlign w:val="superscript"/>
        </w:rPr>
        <w:t>1</w:t>
      </w:r>
      <w:r>
        <w:fldChar w:fldCharType="end"/>
      </w:r>
      <w:r>
        <w:t xml:space="preserve"> which occurs when the expected number of infections per case is reduced below one (i.e., the effective reproductive number (R</w:t>
      </w:r>
      <w:r>
        <w:rPr>
          <w:vertAlign w:val="subscript"/>
        </w:rPr>
        <w:t>e</w:t>
      </w:r>
      <w:r>
        <w:t>) &lt; 1). Herd immunity emerges when vaccine coverage (VC) and vaccine effica</w:t>
      </w:r>
      <w:r w:rsidR="00575CD5">
        <w:t>cy (VE) are sufficiently high; c</w:t>
      </w:r>
      <w:r>
        <w:t>onversely, herd immunity can be lost over time when VC decreases (e.g., through a net influx of susceptible, unvaccinated individuals), or when VE decreases (e.g., for short-lived vaccine direct effects).</w:t>
      </w:r>
    </w:p>
    <w:p w14:paraId="4F80E016" w14:textId="77777777" w:rsidR="00D552A1" w:rsidRDefault="00D552A1"/>
    <w:p w14:paraId="4D676FA0" w14:textId="100E3F6B" w:rsidR="002F2F2F" w:rsidRDefault="00BC2050">
      <w:r>
        <w:t xml:space="preserve">Although much attention is given to measuring the duration and magnitude of </w:t>
      </w:r>
      <w:r w:rsidR="00D5161A">
        <w:t>VE</w:t>
      </w:r>
      <w:r w:rsidR="00F539C6">
        <w:t xml:space="preserve">, many questions </w:t>
      </w:r>
      <w:r>
        <w:t xml:space="preserve">regarding </w:t>
      </w:r>
      <w:r w:rsidR="0003435B">
        <w:t xml:space="preserve">the duration of </w:t>
      </w:r>
      <w:r>
        <w:t xml:space="preserve">herd </w:t>
      </w:r>
      <w:r w:rsidR="00C8087F">
        <w:t>immunity</w:t>
      </w:r>
      <w:r w:rsidR="00D5161A">
        <w:t xml:space="preserve"> (DHI)</w:t>
      </w:r>
      <w:r>
        <w:t xml:space="preserve"> </w:t>
      </w:r>
      <w:r w:rsidR="00755E78">
        <w:t xml:space="preserve">remain. </w:t>
      </w:r>
      <w:r w:rsidR="00BE4FAD">
        <w:t>In practice</w:t>
      </w:r>
      <w:r w:rsidR="002F2F2F" w:rsidRPr="002F2F2F">
        <w:t xml:space="preserve">, vaccines can be a relatively quick stopgap to protect an at-risk population until longer-term solutions can be instituted, but there is a need to know how much time is “bought” by such a vaccination campaign. For routine rather than stopgap vaccination, the decision of when to boost or revaccinate will depend in part on the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6F5E152B" w:rsidR="00D552A1" w:rsidRDefault="00D552A1">
      <w:r>
        <w:t xml:space="preserve">We study the model system of oral cholera vaccines </w:t>
      </w:r>
      <w:r w:rsidR="00AF22DD">
        <w:t xml:space="preserve">(OCV) </w:t>
      </w:r>
      <w:r>
        <w:t>to address these questions. Due to reliable vaccine efficacy and high coverage through mass campaigns, cholera vaccines can generate po</w:t>
      </w:r>
      <w:r w:rsidR="003542BB">
        <w:t>werful herd protection effects</w:t>
      </w:r>
      <w:r>
        <w:t>.</w:t>
      </w:r>
      <w:r w:rsidR="003542BB">
        <w:fldChar w:fldCharType="begin" w:fldLock="1"/>
      </w:r>
      <w:r w:rsidR="00575CD5">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"mendeley" : { "formattedCitation" : "&lt;sup&gt;2&lt;/sup&gt;", "plainTextFormattedCitation" : "2", "previouslyFormattedCitation" : "&lt;sup&gt;3&lt;/sup&gt;" }, "properties" : { "noteIndex" : 0 }, "schema" : "https://github.com/citation-style-language/schema/raw/master/csl-citation.json" }</w:instrText>
      </w:r>
      <w:r w:rsidR="003542BB">
        <w:fldChar w:fldCharType="separate"/>
      </w:r>
      <w:r w:rsidR="00575CD5" w:rsidRPr="00575CD5">
        <w:rPr>
          <w:noProof/>
          <w:vertAlign w:val="superscript"/>
        </w:rPr>
        <w:t>2</w:t>
      </w:r>
      <w:r w:rsidR="003542BB">
        <w:fldChar w:fldCharType="end"/>
      </w:r>
      <w:r>
        <w:t xml:space="preserve"> </w:t>
      </w:r>
      <w:r w:rsidR="0003435B">
        <w:t>The WHO manages an OCV stockpile to facilitate vaccine usage in three settings: high-endemicity “hot spots”, high-risk humanitarian crises, and outbreak response</w:t>
      </w:r>
      <w:r w:rsidR="003542BB">
        <w:t>.</w:t>
      </w:r>
      <w:r w:rsidR="003542BB">
        <w:fldChar w:fldCharType="begin" w:fldLock="1"/>
      </w:r>
      <w:r w:rsidR="00575CD5">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"&lt;sup&gt;3&lt;/sup&gt;", "plainTextFormattedCitation" : "3", "previouslyFormattedCitation" : "&lt;sup&gt;4&lt;/sup&gt;" }, "properties" : { "noteIndex" : 0 }, "schema" : "https://github.com/citation-style-language/schema/raw/master/csl-citation.json" }</w:instrText>
      </w:r>
      <w:r w:rsidR="003542BB">
        <w:fldChar w:fldCharType="separate"/>
      </w:r>
      <w:r w:rsidR="00575CD5" w:rsidRPr="00575CD5">
        <w:rPr>
          <w:noProof/>
          <w:vertAlign w:val="superscript"/>
        </w:rPr>
        <w:t>3</w:t>
      </w:r>
      <w:r w:rsidR="003542BB">
        <w:fldChar w:fldCharType="end"/>
      </w:r>
      <w:r w:rsidR="003542BB">
        <w:t xml:space="preserve"> </w:t>
      </w:r>
      <w:r w:rsidR="00BE4FAD">
        <w:t xml:space="preserve">While the </w:t>
      </w:r>
      <w:r w:rsidR="00541512">
        <w:t xml:space="preserve">value of </w:t>
      </w:r>
      <w:r w:rsidR="00BE4FAD">
        <w:t xml:space="preserve">reactive vaccination in response to outbreaks </w:t>
      </w:r>
      <w:r w:rsidR="00541512">
        <w:t>depends on the</w:t>
      </w:r>
      <w:r w:rsidR="00545E7A">
        <w:t xml:space="preserve"> </w:t>
      </w:r>
      <w:r w:rsidR="00BE4FAD">
        <w:t>short-term (e.g., &lt;6</w:t>
      </w:r>
      <w:r w:rsidR="00545E7A">
        <w:t xml:space="preserve"> month</w:t>
      </w:r>
      <w:r w:rsidR="00BE4FAD">
        <w:t>)</w:t>
      </w:r>
      <w:r w:rsidR="00545E7A">
        <w:t xml:space="preserve"> </w:t>
      </w:r>
      <w:r w:rsidR="00BE4FAD">
        <w:t>OCV effectiveness</w:t>
      </w:r>
      <w:r w:rsidR="003542BB">
        <w:t>,</w:t>
      </w:r>
      <w:r w:rsidR="003542BB">
        <w:fldChar w:fldCharType="begin" w:fldLock="1"/>
      </w:r>
      <w:r w:rsidR="00575CD5">
        <w:instrText>ADDIN CSL_CITATION { "citationItems" : [ { "id" : "ITEM-1", "itemData" : { "DOI" : "10.1007/82", "author" : [ { "dropping-particle" : "", "family" : "Clemens", "given" : "John", "non-dropping-particle" : "", "parse-names" : false, "suffix" : "" }, { "dropping-particle" : "", "family" : "Holmgren", "given" : "Jan", "non-dropping-particle" : "", "parse-names" : false, "suffix" : "" } ], "container-title" : "Current Topics in Microbiology and Immunology", "id" : "ITEM-1", "issued" : { "date-parts" : [ [ "2014" ] ] }, "page" : "231-258", "title" : "When, How, and Where can Oral Cholera Vaccines be Used to Interrupt Cholera Outbreaks?", "type" : "article-journal" }, "uris" : [ "http://www.mendeley.com/documents/?uuid=8c6c09ea-2ab8-4a14-9ffc-b522b6e4c3b1" ] } ], "mendeley" : { "formattedCitation" : "&lt;sup&gt;4&lt;/sup&gt;", "plainTextFormattedCitation" : "4", "previouslyFormattedCitation" : "&lt;sup&gt;5&lt;/sup&gt;" }, "properties" : { "noteIndex" : 0 }, "schema" : "https://github.com/citation-style-language/schema/raw/master/csl-citation.json" }</w:instrText>
      </w:r>
      <w:r w:rsidR="003542BB">
        <w:fldChar w:fldCharType="separate"/>
      </w:r>
      <w:r w:rsidR="00575CD5" w:rsidRPr="00575CD5">
        <w:rPr>
          <w:noProof/>
          <w:vertAlign w:val="superscript"/>
        </w:rPr>
        <w:t>4</w:t>
      </w:r>
      <w:r w:rsidR="003542BB">
        <w:fldChar w:fldCharType="end"/>
      </w:r>
      <w:r w:rsidR="00545E7A">
        <w:t xml:space="preserve"> the value of </w:t>
      </w:r>
      <w:r w:rsidR="00BE4FAD">
        <w:t xml:space="preserve">pre-emptive </w:t>
      </w:r>
      <w:r w:rsidR="00545E7A">
        <w:t xml:space="preserve">vaccination strongly depends on the duration of time we can expect to </w:t>
      </w:r>
      <w:r w:rsidR="00BE4FAD">
        <w:t>prevent</w:t>
      </w:r>
      <w:r w:rsidR="00545E7A">
        <w:t xml:space="preserve"> a cholera outbreak. </w:t>
      </w:r>
    </w:p>
    <w:p w14:paraId="5004B4C1" w14:textId="77777777" w:rsidR="003542BB" w:rsidRDefault="003542BB"/>
    <w:p w14:paraId="56BAEDFA" w14:textId="1B1993B8" w:rsidR="003542BB" w:rsidRDefault="003542BB">
      <w:r>
        <w:t>These are not merely hypothetical concerns. In the Bentiu Persons of Concern (PoC) Camp in South Sudan, mass vaccination was performed in July 2014 and June 2015, yet the camp sustained an outbreak of 88 cases in July-November 2016.</w:t>
      </w:r>
      <w:r>
        <w:fldChar w:fldCharType="begin" w:fldLock="1"/>
      </w:r>
      <w:r w:rsidR="00575CD5">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"&lt;sup&gt;5&lt;/sup&gt;", "plainTextFormattedCitation" : "5", "previouslyFormattedCitation" : "&lt;sup&gt;6&lt;/sup&gt;" }, "properties" : { "noteIndex" : 0 }, "schema" : "https://github.com/citation-style-language/schema/raw/master/csl-citation.json" }</w:instrText>
      </w:r>
      <w:r>
        <w:fldChar w:fldCharType="separate"/>
      </w:r>
      <w:r w:rsidR="00575CD5" w:rsidRPr="00575CD5">
        <w:rPr>
          <w:noProof/>
          <w:vertAlign w:val="superscript"/>
        </w:rPr>
        <w:t>5</w:t>
      </w:r>
      <w:r>
        <w:fldChar w:fldCharType="end"/>
      </w:r>
      <w:r>
        <w:t xml:space="preserve"> Furthermore, in two large OCV clinical trials, loss to follow up due to migration of participants was reported at only 10% over two years in Calcutta</w:t>
      </w:r>
      <w:r>
        <w:fldChar w:fldCharType="begin" w:fldLock="1"/>
      </w:r>
      <w:r w:rsidR="00575CD5">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"&lt;sup&gt;6&lt;/sup&gt;", "plainTextFormattedCitation" : "6", "previouslyFormattedCitation" : "&lt;sup&gt;7&lt;/sup&gt;" }, "properties" : { "noteIndex" : 0 }, "schema" : "https://github.com/citation-style-language/schema/raw/master/csl-citation.json" }</w:instrText>
      </w:r>
      <w:r>
        <w:fldChar w:fldCharType="separate"/>
      </w:r>
      <w:r w:rsidR="00575CD5" w:rsidRPr="00575CD5">
        <w:rPr>
          <w:noProof/>
          <w:vertAlign w:val="superscript"/>
        </w:rPr>
        <w:t>6</w:t>
      </w:r>
      <w:r>
        <w:fldChar w:fldCharType="end"/>
      </w:r>
      <w:r>
        <w:t xml:space="preserve"> and up to 58% over two years in parts of Dhaka.</w:t>
      </w:r>
      <w:r>
        <w:fldChar w:fldCharType="begin" w:fldLock="1"/>
      </w:r>
      <w:r w:rsidR="00575CD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"&lt;sup&gt;7&lt;/sup&gt;", "plainTextFormattedCitation" : "7", "previouslyFormattedCitation" : "&lt;sup&gt;8&lt;/sup&gt;" }, "properties" : { "noteIndex" : 0 }, "schema" : "https://github.com/citation-style-language/schema/raw/master/csl-citation.json" }</w:instrText>
      </w:r>
      <w:r>
        <w:fldChar w:fldCharType="separate"/>
      </w:r>
      <w:r w:rsidR="00575CD5" w:rsidRPr="00575CD5">
        <w:rPr>
          <w:noProof/>
          <w:vertAlign w:val="superscript"/>
        </w:rPr>
        <w:t>7</w:t>
      </w:r>
      <w:r>
        <w:fldChar w:fldCharType="end"/>
      </w:r>
    </w:p>
    <w:p w14:paraId="4E51F720" w14:textId="77777777" w:rsidR="00F539C6" w:rsidRDefault="00F539C6"/>
    <w:p w14:paraId="3982529A" w14:textId="05FC2930" w:rsidR="00F539C6" w:rsidRDefault="00F539C6">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w:t>
      </w:r>
      <w:r w:rsidR="00541512">
        <w:t xml:space="preserve">for any given </w:t>
      </w:r>
      <w:r w:rsidR="002F2F2F">
        <w:t>context</w:t>
      </w:r>
      <w:r w:rsidR="0065101F">
        <w:t xml:space="preserve"> (</w:t>
      </w:r>
      <w:hyperlink r:id="rId8" w:history="1">
        <w:r w:rsidR="0065101F" w:rsidRPr="001C5656">
          <w:rPr>
            <w:rStyle w:val="Hyperlink"/>
          </w:rPr>
          <w:t>https://coreypeak.shinyapps.io/herd_protection_estimator/</w:t>
        </w:r>
      </w:hyperlink>
      <w:r w:rsidR="0065101F">
        <w:t>)</w:t>
      </w:r>
      <w:r w:rsidR="00700D43">
        <w:t>.</w:t>
      </w:r>
    </w:p>
    <w:p w14:paraId="36F12C00" w14:textId="77777777" w:rsidR="005C7B32" w:rsidRDefault="005C7B32" w:rsidP="005C7B32">
      <w:pPr>
        <w:rPr>
          <w:b/>
        </w:rPr>
      </w:pPr>
    </w:p>
    <w:p w14:paraId="4B3BEB72" w14:textId="77777777" w:rsidR="005C7B32" w:rsidRPr="001850C4" w:rsidRDefault="005C7B32" w:rsidP="005C7B32">
      <w:pPr>
        <w:rPr>
          <w:b/>
        </w:rPr>
      </w:pPr>
      <w:r w:rsidRPr="001850C4">
        <w:rPr>
          <w:b/>
        </w:rPr>
        <w:t>METHODS</w:t>
      </w:r>
    </w:p>
    <w:p w14:paraId="1943FA7B" w14:textId="6AB2EC9A" w:rsidR="003B3505" w:rsidRDefault="005C7B32" w:rsidP="005C7B32">
      <w:r>
        <w:t xml:space="preserve">We developed a compartmental model framework of </w:t>
      </w:r>
      <w:r w:rsidR="00EB221D">
        <w:t xml:space="preserve">a </w:t>
      </w:r>
      <w:r>
        <w:t xml:space="preserve">population that is being targeted with vaccination. The population groups of principle interest for this study are individuals who are fully susceptible to disease (S) and </w:t>
      </w:r>
      <w:r w:rsidR="00C346FB">
        <w:t>those</w:t>
      </w:r>
      <w:r>
        <w:t xml:space="preserve"> who were vaccinated </w:t>
      </w:r>
      <w:r w:rsidR="00EB221D" w:rsidRPr="002F2F2F">
        <w:rPr>
          <w:i/>
        </w:rPr>
        <w:t>n</w:t>
      </w:r>
      <w:r w:rsidR="00EB221D">
        <w:t xml:space="preserve">-months ago </w:t>
      </w:r>
      <w:r>
        <w:t>(V</w:t>
      </w:r>
      <w:r w:rsidR="00EB221D">
        <w:rPr>
          <w:vertAlign w:val="subscript"/>
        </w:rPr>
        <w:t>n</w:t>
      </w:r>
      <w:r>
        <w:t>)</w:t>
      </w:r>
      <w:r w:rsidR="00C346FB">
        <w:t xml:space="preserve"> (Figure CC)</w:t>
      </w:r>
      <w:r>
        <w:t xml:space="preserve">. </w:t>
      </w:r>
      <w:r w:rsidR="00C346FB">
        <w:t xml:space="preserve">In order to account for the observation that vaccine direct effects do not tend </w:t>
      </w:r>
      <w:r w:rsidR="00C346FB">
        <w:lastRenderedPageBreak/>
        <w:t xml:space="preserve">to wane exponentially, we </w:t>
      </w:r>
      <w:r w:rsidR="00EB221D">
        <w:t>created an ensemble of</w:t>
      </w:r>
      <w:r w:rsidR="00C346FB">
        <w:t xml:space="preserve"> </w:t>
      </w:r>
      <w:r w:rsidR="00C346FB">
        <w:rPr>
          <w:i/>
        </w:rPr>
        <w:t>n</w:t>
      </w:r>
      <w:r w:rsidR="00C346FB">
        <w:t xml:space="preserve"> monthly stages</w:t>
      </w:r>
      <w:r w:rsidR="00EB221D">
        <w:t xml:space="preserve"> (V</w:t>
      </w:r>
      <w:r w:rsidR="00EB221D">
        <w:softHyphen/>
      </w:r>
      <w:r w:rsidR="00EB221D">
        <w:rPr>
          <w:vertAlign w:val="subscript"/>
        </w:rPr>
        <w:t>1</w:t>
      </w:r>
      <w:r w:rsidR="00EB221D">
        <w:t>, V</w:t>
      </w:r>
      <w:r w:rsidR="00EB221D">
        <w:rPr>
          <w:vertAlign w:val="subscript"/>
        </w:rPr>
        <w:t>2</w:t>
      </w:r>
      <w:r w:rsidR="00EB221D">
        <w:t>, ..., V</w:t>
      </w:r>
      <w:r w:rsidR="00EB221D">
        <w:rPr>
          <w:vertAlign w:val="subscript"/>
        </w:rPr>
        <w:t>n</w:t>
      </w:r>
      <w:r w:rsidR="00EB221D">
        <w:t>)</w:t>
      </w:r>
      <w:r w:rsidR="00C346FB">
        <w:t xml:space="preserve">, </w:t>
      </w:r>
      <w:r w:rsidR="006B4B6A">
        <w:t>which collectively</w:t>
      </w:r>
      <w:r w:rsidR="00C346FB">
        <w:t xml:space="preserve"> </w:t>
      </w:r>
      <w:r w:rsidR="006B4B6A">
        <w:t>generate</w:t>
      </w:r>
      <w:r w:rsidR="00C346FB">
        <w:t xml:space="preserve"> an Erlang-distribution for the duration of time in the V-ensemble</w:t>
      </w:r>
      <w:r w:rsidR="003542BB">
        <w:t>.</w:t>
      </w:r>
      <w:r w:rsidR="003542BB">
        <w:fldChar w:fldCharType="begin" w:fldLock="1"/>
      </w:r>
      <w:r w:rsidR="00575CD5">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"&lt;sup&gt;8,9&lt;/sup&gt;", "plainTextFormattedCitation" : "8,9", "previouslyFormattedCitation" : "&lt;sup&gt;9,10&lt;/sup&gt;" }, "properties" : { "noteIndex" : 0 }, "schema" : "https://github.com/citation-style-language/schema/raw/master/csl-citation.json" }</w:instrText>
      </w:r>
      <w:r w:rsidR="003542BB">
        <w:fldChar w:fldCharType="separate"/>
      </w:r>
      <w:r w:rsidR="00575CD5" w:rsidRPr="00575CD5">
        <w:rPr>
          <w:noProof/>
          <w:vertAlign w:val="superscript"/>
        </w:rPr>
        <w:t>8,9</w:t>
      </w:r>
      <w:r w:rsidR="003542BB">
        <w:fldChar w:fldCharType="end"/>
      </w:r>
      <w:r w:rsidR="00C346FB">
        <w:t xml:space="preserve"> </w:t>
      </w:r>
      <w:r w:rsidR="002F2F2F">
        <w:t>We set the</w:t>
      </w:r>
      <w:r w:rsidR="00C346FB">
        <w:t xml:space="preserve"> mean time residing in any V</w:t>
      </w:r>
      <w:r w:rsidR="00C346FB">
        <w:softHyphen/>
      </w:r>
      <w:r w:rsidR="00C346FB" w:rsidRPr="00C346FB">
        <w:rPr>
          <w:vertAlign w:val="subscript"/>
        </w:rPr>
        <w:t>n</w:t>
      </w:r>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C346FB">
        <w:t>from compartment S to V</w:t>
      </w:r>
      <w:r w:rsidR="00C346FB">
        <w:rPr>
          <w:vertAlign w:val="subscript"/>
        </w:rPr>
        <w:t>1</w:t>
      </w:r>
      <w:r w:rsidR="00C346FB">
        <w:t xml:space="preserve"> for months [0,1) post-vaccination on average, to V</w:t>
      </w:r>
      <w:r w:rsidR="00C346FB">
        <w:rPr>
          <w:vertAlign w:val="subscript"/>
        </w:rPr>
        <w:t>2</w:t>
      </w:r>
      <w:r w:rsidR="00C346FB">
        <w:t xml:space="preserve"> for months [1,2) post-vaccination, etc. </w:t>
      </w:r>
    </w:p>
    <w:p w14:paraId="7E41A807" w14:textId="77777777" w:rsidR="003B3505" w:rsidRDefault="003B3505" w:rsidP="005C7B32"/>
    <w:p w14:paraId="50CDE538" w14:textId="68830C8E" w:rsidR="005C7B32" w:rsidRDefault="00C346FB" w:rsidP="005C7B32">
      <w:r>
        <w:t>We adapted monthly VE(t) estimates u</w:t>
      </w:r>
      <w:r w:rsidR="003542BB">
        <w:t>sing data from Clemens et al.</w:t>
      </w:r>
      <w:r w:rsidR="003542BB">
        <w:fldChar w:fldCharType="begin" w:fldLock="1"/>
      </w:r>
      <w:r w:rsidR="00575CD5">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"&lt;sup&gt;10&lt;/sup&gt;", "plainTextFormattedCitation" : "10", "previouslyFormattedCitation" : "&lt;sup&gt;11&lt;/sup&gt;" }, "properties" : { "noteIndex" : 0 }, "schema" : "https://github.com/citation-style-language/schema/raw/master/csl-citation.json" }</w:instrText>
      </w:r>
      <w:r w:rsidR="003542BB">
        <w:fldChar w:fldCharType="separate"/>
      </w:r>
      <w:r w:rsidR="00575CD5" w:rsidRPr="00575CD5">
        <w:rPr>
          <w:noProof/>
          <w:vertAlign w:val="superscript"/>
        </w:rPr>
        <w:t>10</w:t>
      </w:r>
      <w:r w:rsidR="003542BB">
        <w:fldChar w:fldCharType="end"/>
      </w:r>
      <w:r w:rsidR="003542BB">
        <w:t xml:space="preserve"> </w:t>
      </w:r>
      <w:r w:rsidR="002347AA">
        <w:t>that were</w:t>
      </w:r>
      <w:r w:rsidR="00BE4FAD">
        <w:t xml:space="preserve"> re-analyzed by</w:t>
      </w:r>
      <w:r w:rsidR="003542BB">
        <w:t xml:space="preserve"> Durham et al</w:t>
      </w:r>
      <w:r w:rsidR="00BE4FAD">
        <w:t>.</w:t>
      </w:r>
      <w:r w:rsidR="003542BB">
        <w:fldChar w:fldCharType="begin" w:fldLock="1"/>
      </w:r>
      <w:r w:rsidR="00575CD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"&lt;sup&gt;11&lt;/sup&gt;", "plainTextFormattedCitation" : "11", "previouslyFormattedCitation" : "&lt;sup&gt;12&lt;/sup&gt;" }, "properties" : { "noteIndex" : 0 }, "schema" : "https://github.com/citation-style-language/schema/raw/master/csl-citation.json" }</w:instrText>
      </w:r>
      <w:r w:rsidR="003542BB">
        <w:fldChar w:fldCharType="separate"/>
      </w:r>
      <w:r w:rsidR="00575CD5" w:rsidRPr="00575CD5">
        <w:rPr>
          <w:noProof/>
          <w:vertAlign w:val="superscript"/>
        </w:rPr>
        <w:t>11</w:t>
      </w:r>
      <w:r w:rsidR="003542BB">
        <w:fldChar w:fldCharType="end"/>
      </w:r>
      <w:r w:rsidR="00BE4FAD">
        <w:t xml:space="preserve"> We </w:t>
      </w:r>
      <w:r>
        <w:t xml:space="preserve">define VE(1) to be the VE for months [0,1) post-vaccination, VE(2) to be the VE for months [1,2) post-vaccination, etc. We parameterized the time-varying distribution </w:t>
      </w:r>
      <w:r w:rsidR="00B62E25">
        <w:t>VE(t)</w:t>
      </w:r>
      <w:r>
        <w:t xml:space="preserve"> of WC and BS-WC vac</w:t>
      </w:r>
      <w:r w:rsidR="003542BB">
        <w:t>cines using tables provided by Durham et al.</w:t>
      </w:r>
      <w:r w:rsidR="003542BB">
        <w:fldChar w:fldCharType="begin" w:fldLock="1"/>
      </w:r>
      <w:r w:rsidR="00575CD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"&lt;sup&gt;11&lt;/sup&gt;", "plainTextFormattedCitation" : "11", "previouslyFormattedCitation" : "&lt;sup&gt;12&lt;/sup&gt;" }, "properties" : { "noteIndex" : 0 }, "schema" : "https://github.com/citation-style-language/schema/raw/master/csl-citation.json" }</w:instrText>
      </w:r>
      <w:r w:rsidR="003542BB">
        <w:fldChar w:fldCharType="separate"/>
      </w:r>
      <w:r w:rsidR="00575CD5" w:rsidRPr="00575CD5">
        <w:rPr>
          <w:noProof/>
          <w:vertAlign w:val="superscript"/>
        </w:rPr>
        <w:t>11</w:t>
      </w:r>
      <w:r w:rsidR="003542BB">
        <w:fldChar w:fldCharType="end"/>
      </w:r>
      <w:r w:rsidR="003542BB">
        <w:t xml:space="preserve"> </w:t>
      </w:r>
      <w:r>
        <w:t>and linear interpellat</w:t>
      </w:r>
      <w:r w:rsidR="002347AA">
        <w:t>ions between 6-month estimates</w:t>
      </w:r>
      <w:r w:rsidR="00586F75">
        <w:t>, bounded at zero and one</w:t>
      </w:r>
      <w:r w:rsidR="002347AA">
        <w:t>.</w:t>
      </w:r>
      <w:r w:rsidR="00586F75">
        <w:t xml:space="preserve"> </w:t>
      </w:r>
      <w:r w:rsidR="002347AA">
        <w:t xml:space="preserve">As the WC vaccine is more commonly used, especially through the </w:t>
      </w:r>
      <w:r w:rsidR="00B62E25">
        <w:t>WHO OCV</w:t>
      </w:r>
      <w:r w:rsidR="002347AA">
        <w:t xml:space="preserve"> Stockpile, we focus our main results on the WC vaccine and present results for the BS-WC vaccine in the supplement.</w:t>
      </w:r>
    </w:p>
    <w:p w14:paraId="50E2C944" w14:textId="77777777" w:rsidR="005C7B32" w:rsidRDefault="005C7B32" w:rsidP="005C7B32"/>
    <w:p w14:paraId="39012B7C" w14:textId="4FDC4635" w:rsidR="00FB25E1" w:rsidRDefault="005C7B32" w:rsidP="005C7B32">
      <w:r>
        <w:t>We assume individuals withi</w:t>
      </w:r>
      <w:r w:rsidR="002F2F2F">
        <w:t>n the population are well-mixed.</w:t>
      </w:r>
      <w:r>
        <w:t xml:space="preserve"> Individuals emigrate from the population at a rate that is equal for all compartments. </w:t>
      </w:r>
      <w:r w:rsidR="002F2F2F">
        <w:t>Unless otherwise noted, t</w:t>
      </w:r>
      <w:r>
        <w:t>he total system size is held constant by offsetting this emigration with an equal rate of immigration</w:t>
      </w:r>
      <w:r w:rsidR="00EB221D">
        <w:t xml:space="preserve">. Our main results </w:t>
      </w:r>
      <w:r w:rsidR="002C409D">
        <w:t xml:space="preserve">conservatively </w:t>
      </w:r>
      <w:r w:rsidR="00EB221D">
        <w:t>assume that immigration</w:t>
      </w:r>
      <w:r>
        <w:t xml:space="preserve"> is e</w:t>
      </w:r>
      <w:r w:rsidR="00EB221D">
        <w:t>ntirely into the S compartment</w:t>
      </w:r>
      <w:r w:rsidR="006B4B6A">
        <w:t xml:space="preserve">, meaning incoming migrants </w:t>
      </w:r>
      <w:r w:rsidR="002C409D">
        <w:t>bring neither vaccine-derived nor naturally acquired immunity into the population</w:t>
      </w:r>
      <w:r w:rsidR="00EB221D">
        <w:t xml:space="preserve"> (see the supplement for alternative assumptions regarding immune migrants)</w:t>
      </w:r>
      <w:r>
        <w:t xml:space="preserve">. </w:t>
      </w:r>
    </w:p>
    <w:p w14:paraId="55E58FB0" w14:textId="77777777" w:rsidR="00006508" w:rsidRDefault="00006508" w:rsidP="005C7B32"/>
    <w:p w14:paraId="58B7236E" w14:textId="3863089C" w:rsidR="00006508" w:rsidRDefault="00006508" w:rsidP="00006508">
      <w:r>
        <w:t xml:space="preserve">The system of ordinary differential equations generated by the model </w:t>
      </w:r>
      <w:r w:rsidR="00B62E25">
        <w:t>was</w:t>
      </w:r>
      <w:r>
        <w:t xml:space="preserve"> solved using the </w:t>
      </w:r>
      <w:r>
        <w:rPr>
          <w:i/>
        </w:rPr>
        <w:t>deSolve</w:t>
      </w:r>
      <w:r>
        <w:t xml:space="preserve"> package</w:t>
      </w:r>
      <w:r w:rsidR="003542BB">
        <w:fldChar w:fldCharType="begin" w:fldLock="1"/>
      </w:r>
      <w:r w:rsidR="00575CD5">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"&lt;sup&gt;12&lt;/sup&gt;", "plainTextFormattedCitation" : "12", "previouslyFormattedCitation" : "&lt;sup&gt;13&lt;/sup&gt;" }, "properties" : { "noteIndex" : 0 }, "schema" : "https://github.com/citation-style-language/schema/raw/master/csl-citation.json" }</w:instrText>
      </w:r>
      <w:r w:rsidR="003542BB">
        <w:fldChar w:fldCharType="separate"/>
      </w:r>
      <w:r w:rsidR="00575CD5" w:rsidRPr="00575CD5">
        <w:rPr>
          <w:noProof/>
          <w:vertAlign w:val="superscript"/>
        </w:rPr>
        <w:t>12</w:t>
      </w:r>
      <w:r w:rsidR="003542BB">
        <w:fldChar w:fldCharType="end"/>
      </w:r>
      <w:r>
        <w:t xml:space="preserve"> in the statistical software program R (version 3.2.4). All code used to generate this paper can be found at </w:t>
      </w:r>
      <w:hyperlink r:id="rId9" w:history="1">
        <w:r w:rsidRPr="000E5266">
          <w:rPr>
            <w:rStyle w:val="Hyperlink"/>
          </w:rPr>
          <w:t>https://github.com/peakcm/cholera</w:t>
        </w:r>
      </w:hyperlink>
      <w:r>
        <w:t>.</w:t>
      </w:r>
    </w:p>
    <w:p w14:paraId="35E0F94F" w14:textId="77777777" w:rsidR="00FB25E1" w:rsidRDefault="00FB25E1" w:rsidP="005C7B32"/>
    <w:p w14:paraId="10DBF619" w14:textId="0B35D21D" w:rsidR="000E5266" w:rsidRDefault="00FB25E1" w:rsidP="005C7B32">
      <w:r>
        <w:t>In order to provide benchmarks for mobility in populations that have received OCVs, we estimated migration rates from three settings.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t xml:space="preserve">from the observation that only 9% of </w:t>
      </w:r>
      <w:r w:rsidR="00B62E25">
        <w:t>an OCV study</w:t>
      </w:r>
      <w:r>
        <w:t xml:space="preserve"> population in Calcutta had changed in the two years following </w:t>
      </w:r>
      <w:r w:rsidR="003542BB">
        <w:t>vaccination in 2006</w:t>
      </w:r>
      <w:r>
        <w:t>.</w:t>
      </w:r>
      <w:r w:rsidR="00046565">
        <w:fldChar w:fldCharType="begin" w:fldLock="1"/>
      </w:r>
      <w:r w:rsidR="00575CD5">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"&lt;sup&gt;6&lt;/sup&gt;", "plainTextFormattedCitation" : "6", "previouslyFormattedCitation" : "&lt;sup&gt;7&lt;/sup&gt;" }, "properties" : { "noteIndex" : 0 }, "schema" : "https://github.com/citation-style-language/schema/raw/master/csl-citation.json" }</w:instrText>
      </w:r>
      <w:r w:rsidR="00046565">
        <w:fldChar w:fldCharType="separate"/>
      </w:r>
      <w:r w:rsidR="00575CD5" w:rsidRPr="00575CD5">
        <w:rPr>
          <w:noProof/>
          <w:vertAlign w:val="superscript"/>
        </w:rPr>
        <w:t>6</w:t>
      </w:r>
      <w:r w:rsidR="00046565">
        <w:fldChar w:fldCharType="end"/>
      </w:r>
      <w:r>
        <w:t xml:space="preserve">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from </w:t>
      </w:r>
      <w:r w:rsidR="00B62E25">
        <w:t xml:space="preserve">the observation that 58% of a study </w:t>
      </w:r>
      <w:r>
        <w:t xml:space="preserve">population in Dhaka </w:t>
      </w:r>
      <w:r w:rsidR="00046565">
        <w:t>had relocated over two years</w:t>
      </w:r>
      <w:r>
        <w:t>.</w:t>
      </w:r>
      <w:r w:rsidR="00046565">
        <w:fldChar w:fldCharType="begin" w:fldLock="1"/>
      </w:r>
      <w:r w:rsidR="00575CD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"&lt;sup&gt;7&lt;/sup&gt;", "plainTextFormattedCitation" : "7", "previouslyFormattedCitation" : "&lt;sup&gt;8&lt;/sup&gt;" }, "properties" : { "noteIndex" : 0 }, "schema" : "https://github.com/citation-style-language/schema/raw/master/csl-citation.json" }</w:instrText>
      </w:r>
      <w:r w:rsidR="00046565">
        <w:fldChar w:fldCharType="separate"/>
      </w:r>
      <w:r w:rsidR="00575CD5" w:rsidRPr="00575CD5">
        <w:rPr>
          <w:noProof/>
          <w:vertAlign w:val="superscript"/>
        </w:rPr>
        <w:t>7</w:t>
      </w:r>
      <w:r w:rsidR="00046565">
        <w:fldChar w:fldCharType="end"/>
      </w:r>
      <w:r>
        <w:t xml:space="preserve">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m:t>
            </m:r>
            <m:r>
              <w:rPr>
                <w:rFonts w:ascii="Cambria Math" w:hAnsi="Cambria Math"/>
              </w:rPr>
              <m:t>ars</m:t>
            </m:r>
          </m:den>
        </m:f>
      </m:oMath>
      <w:r w:rsidR="002C409D">
        <w:t xml:space="preserve"> in the Bentiu </w:t>
      </w:r>
      <w:r w:rsidR="00006508">
        <w:t>Persons of Concern (PoC)</w:t>
      </w:r>
      <w:r w:rsidR="002C409D">
        <w:t xml:space="preserve"> Camp in South Sudan </w:t>
      </w:r>
      <w:r w:rsidR="00B62E25">
        <w:t>in the</w:t>
      </w:r>
      <w:r w:rsidR="002C409D">
        <w:t xml:space="preserve"> period from February to October 2016</w:t>
      </w:r>
      <w:r w:rsidR="00B62E25">
        <w:t>, during</w:t>
      </w:r>
      <w:r w:rsidR="002C409D">
        <w:t xml:space="preserve"> which IOM reports a rather stable population of 104,000 people and approximately 2,000 entries/exits per month [</w:t>
      </w:r>
      <w:hyperlink r:id="rId10" w:history="1">
        <w:r w:rsidR="00046565" w:rsidRPr="00046565">
          <w:rPr>
            <w:rStyle w:val="Hyperlink"/>
          </w:rPr>
          <w:t>http://www.iomsouthsudan.org/tracking/</w:t>
        </w:r>
      </w:hyperlink>
      <w:r w:rsidR="00046565">
        <w:t xml:space="preserve">]. </w:t>
      </w:r>
      <w:r w:rsidR="002C409D">
        <w:t>See Supplement</w:t>
      </w:r>
      <w:r w:rsidR="00006508">
        <w:t>al Information for more details.</w:t>
      </w:r>
    </w:p>
    <w:p w14:paraId="3D099D47" w14:textId="77777777" w:rsidR="005C7B32" w:rsidRDefault="005C7B32" w:rsidP="005C7B32"/>
    <w:p w14:paraId="34E38EF3" w14:textId="26B8891E" w:rsidR="005C7B32" w:rsidRDefault="007059D1" w:rsidP="005C7B32">
      <w:r>
        <w:t>We define the duration of herd immunity (DHI)</w:t>
      </w:r>
      <w:r w:rsidR="00541512">
        <w:t xml:space="preserve"> more precisely</w:t>
      </w:r>
      <w:r>
        <w:t xml:space="preserve"> as the time following a vaccination campaign with an effective reproductive number (R</w:t>
      </w:r>
      <w:r>
        <w:softHyphen/>
      </w:r>
      <w:r>
        <w:rPr>
          <w:vertAlign w:val="subscript"/>
        </w:rPr>
        <w:t>e</w:t>
      </w:r>
      <w:r>
        <w:t xml:space="preserve">) below one. </w:t>
      </w:r>
      <w:r w:rsidR="005C7B32">
        <w:t>We calculate</w:t>
      </w:r>
    </w:p>
    <w:p w14:paraId="18EFD82C" w14:textId="77777777" w:rsidR="005C7B32" w:rsidRDefault="005C7B32" w:rsidP="005C7B32"/>
    <w:p w14:paraId="4444C5EF" w14:textId="11911B72" w:rsidR="005C7B32" w:rsidRDefault="00933BF3"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744D31F7" w:rsidR="005C7B32" w:rsidRPr="002F2F2F" w:rsidRDefault="00D77E67" w:rsidP="005C7B32">
      <w:r>
        <w:t>and</w:t>
      </w:r>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2D4652E6"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w:t>
      </w:r>
      <w:r w:rsidR="00046565">
        <w:t>ent outbreak thresholds)</w:t>
      </w:r>
      <w:r>
        <w:t>.</w:t>
      </w:r>
      <w:r w:rsidR="00046565">
        <w:fldChar w:fldCharType="begin" w:fldLock="1"/>
      </w:r>
      <w:r w:rsidR="00575CD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"&lt;sup&gt;13&lt;/sup&gt;", "plainTextFormattedCitation" : "13", "previouslyFormattedCitation" : "&lt;sup&gt;14&lt;/sup&gt;" }, "properties" : { "noteIndex" : 0 }, "schema" : "https://github.com/citation-style-language/schema/raw/master/csl-citation.json" }</w:instrText>
      </w:r>
      <w:r w:rsidR="00046565">
        <w:fldChar w:fldCharType="separate"/>
      </w:r>
      <w:r w:rsidR="00575CD5" w:rsidRPr="00575CD5">
        <w:rPr>
          <w:noProof/>
          <w:vertAlign w:val="superscript"/>
        </w:rPr>
        <w:t>13</w:t>
      </w:r>
      <w:r w:rsidR="00046565">
        <w:fldChar w:fldCharType="end"/>
      </w:r>
      <w:r w:rsidR="00C346FB">
        <w:t xml:space="preserve"> The closed-form solution for </w:t>
      </w:r>
      <w:r w:rsidR="00D77E67">
        <w:t>the probability of an</w:t>
      </w:r>
      <w:r w:rsidR="00C346FB">
        <w:t xml:space="preserve"> 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m:oMath>
      <w:r w:rsidR="00D77E67">
        <w:t xml:space="preserve">) initiated by a single infectious case </w:t>
      </w:r>
      <w:r w:rsidR="00C346FB">
        <w:t>is</w:t>
      </w:r>
      <w:r w:rsidR="00D77E67">
        <w:t xml:space="preserve"> defined by the Borell-Tanner distribution</w:t>
      </w:r>
      <w:r w:rsidR="00046565">
        <w:fldChar w:fldCharType="begin" w:fldLock="1"/>
      </w:r>
      <w:r w:rsidR="00575CD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"&lt;sup&gt;13,14&lt;/sup&gt;", "plainTextFormattedCitation" : "13,14", "previouslyFormattedCitation" : "&lt;sup&gt;14,15&lt;/sup&gt;" }, "properties" : { "noteIndex" : 0 }, "schema" : "https://github.com/citation-style-language/schema/raw/master/csl-citation.json" }</w:instrText>
      </w:r>
      <w:r w:rsidR="00046565">
        <w:fldChar w:fldCharType="separate"/>
      </w:r>
      <w:r w:rsidR="00575CD5" w:rsidRPr="00575CD5">
        <w:rPr>
          <w:noProof/>
          <w:vertAlign w:val="superscript"/>
        </w:rPr>
        <w:t>13,14</w:t>
      </w:r>
      <w:r w:rsidR="00046565">
        <w:fldChar w:fldCharType="end"/>
      </w:r>
      <w:r w:rsidR="00C346FB">
        <w:t>:</w:t>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r>
            <w:rPr>
              <w:rFonts w:ascii="Cambria Math" w:hAnsi="Cambria Math"/>
            </w:rPr>
            <m:t>.</m:t>
          </m:r>
        </m:oMath>
      </m:oMathPara>
    </w:p>
    <w:p w14:paraId="3BA730FB" w14:textId="77777777" w:rsidR="005C7B32" w:rsidRDefault="005C7B32" w:rsidP="005C7B32"/>
    <w:p w14:paraId="105130E1" w14:textId="52C99720" w:rsidR="005C7B32" w:rsidRDefault="00D32E9A" w:rsidP="005C7B32">
      <w:r>
        <w:t xml:space="preserve">We consider </w:t>
      </w:r>
      <w:r w:rsidR="00B62E25">
        <w:t xml:space="preserve">three </w:t>
      </w:r>
      <w:r>
        <w:t>vaccination strategies</w:t>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s; and</w:t>
      </w:r>
      <w:r w:rsidR="00B62E25">
        <w:t xml:space="preserve"> (3)</w:t>
      </w:r>
      <w:r>
        <w:t xml:space="preserve"> </w:t>
      </w:r>
      <w:r w:rsidR="00B62E25">
        <w:t>mass vaccination followed by routine vaccination</w:t>
      </w:r>
      <w:r>
        <w:t>. Routine vaccination can be performed daily for a particular fraction</w:t>
      </w:r>
      <w:r w:rsidR="00AD63AF">
        <w:t xml:space="preserve"> of</w:t>
      </w:r>
      <w:r>
        <w:t xml:space="preserve"> individuals who happen to be susceptible 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046565">
        <w:t xml:space="preserve"> two weeks apart</w:t>
      </w:r>
      <w:r w:rsidR="00E86EA7">
        <w:t>,</w:t>
      </w:r>
      <w:r w:rsidR="00046565">
        <w:fldChar w:fldCharType="begin" w:fldLock="1"/>
      </w:r>
      <w:r w:rsidR="00575CD5">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"&lt;sup&gt;3&lt;/sup&gt;", "plainTextFormattedCitation" : "3", "previouslyFormattedCitation" : "&lt;sup&gt;4&lt;/sup&gt;" }, "properties" : { "noteIndex" : 0 }, "schema" : "https://github.com/citation-style-language/schema/raw/master/csl-citation.json" }</w:instrText>
      </w:r>
      <w:r w:rsidR="00046565">
        <w:fldChar w:fldCharType="separate"/>
      </w:r>
      <w:r w:rsidR="00575CD5" w:rsidRPr="00575CD5">
        <w:rPr>
          <w:noProof/>
          <w:vertAlign w:val="superscript"/>
        </w:rPr>
        <w:t>3</w:t>
      </w:r>
      <w:r w:rsidR="00046565">
        <w:fldChar w:fldCharType="end"/>
      </w:r>
      <w:r w:rsidR="00E86EA7">
        <w:t xml:space="preserve"> but because the focus of this study is on the scale of </w:t>
      </w:r>
      <w:r>
        <w:t xml:space="preserve">years, not days, we assume </w:t>
      </w:r>
      <w:r w:rsidR="00A13B26">
        <w:t>mass vaccination</w:t>
      </w:r>
      <w:r>
        <w:t xml:space="preserve"> campaigns elapse over a single </w:t>
      </w:r>
      <w:r w:rsidR="00A13B26">
        <w:t>day</w:t>
      </w:r>
      <w:r w:rsidR="00E86EA7">
        <w:t>. Furthermore, we focus on the number of vaccine courses rather than the number of actual vaccines per course</w:t>
      </w:r>
      <w:r w:rsidR="00DB4165">
        <w:t xml:space="preserve"> for generalizability across disease systems.</w:t>
      </w:r>
    </w:p>
    <w:p w14:paraId="450CC59E" w14:textId="77777777" w:rsidR="00BE6A6A" w:rsidRDefault="00BE6A6A" w:rsidP="005C7B32"/>
    <w:p w14:paraId="61167686" w14:textId="32D0BC0D" w:rsidR="004737E0" w:rsidRDefault="00BE6A6A" w:rsidP="005C7B32">
      <w:r>
        <w:t xml:space="preserve">During simulations with disease transmission, we utilize compartments for individuals who are exposed but not yet infectious (E), infectious (I), and recovered and immune (R) (Figure CC).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w:t>
      </w:r>
      <w:r w:rsidR="00B62E25">
        <w:t xml:space="preserve"> the incubation period</w:t>
      </w:r>
      <w:r>
        <w:t xml:space="preserve"> </w:t>
      </w:r>
      <w:r w:rsidR="00B62E25">
        <w:t>(</w:t>
      </w:r>
      <m:oMath>
        <m:r>
          <w:rPr>
            <w:rFonts w:ascii="Cambria Math" w:hAnsi="Cambria Math"/>
          </w:rPr>
          <m:t>E→I</m:t>
        </m:r>
      </m:oMath>
      <w:r w:rsidR="00B62E25">
        <w:t>)</w:t>
      </w:r>
      <w:r>
        <w:t xml:space="preserve"> [Azman 2013];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w:t>
      </w:r>
      <w:r w:rsidR="00B62E25">
        <w:t>the duration of infectiousness (</w:t>
      </w:r>
      <m:oMath>
        <m:r>
          <w:rPr>
            <w:rFonts w:ascii="Cambria Math" w:hAnsi="Cambria Math"/>
          </w:rPr>
          <m:t>I→R</m:t>
        </m:r>
      </m:oMath>
      <w:r w:rsidR="00B62E25">
        <w:t>)</w:t>
      </w:r>
      <w:r>
        <w:t>;</w:t>
      </w:r>
      <w:r w:rsidR="00046565">
        <w:fldChar w:fldCharType="begin" w:fldLock="1"/>
      </w:r>
      <w:r w:rsidR="00575CD5">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"&lt;sup&gt;15,16&lt;/sup&gt;", "plainTextFormattedCitation" : "15,16", "previouslyFormattedCitation" : "&lt;sup&gt;16,17&lt;/sup&gt;" }, "properties" : { "noteIndex" : 0 }, "schema" : "https://github.com/citation-style-language/schema/raw/master/csl-citation.json" }</w:instrText>
      </w:r>
      <w:r w:rsidR="00046565">
        <w:fldChar w:fldCharType="separate"/>
      </w:r>
      <w:r w:rsidR="00575CD5" w:rsidRPr="00575CD5">
        <w:rPr>
          <w:noProof/>
          <w:vertAlign w:val="superscript"/>
        </w:rPr>
        <w:t>15,16</w:t>
      </w:r>
      <w:r w:rsidR="00046565">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w:t>
      </w:r>
      <w:r w:rsidR="00B62E25">
        <w:t>the duration of natural immunity (</w:t>
      </w:r>
      <m:oMath>
        <m:r>
          <w:rPr>
            <w:rFonts w:ascii="Cambria Math" w:hAnsi="Cambria Math"/>
          </w:rPr>
          <m:t>R→S</m:t>
        </m:r>
      </m:oMath>
      <w:r w:rsidR="00B62E25">
        <w:t>).</w:t>
      </w:r>
      <w:r w:rsidR="00046565">
        <w:fldChar w:fldCharType="begin" w:fldLock="1"/>
      </w:r>
      <w:r w:rsidR="00575CD5">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"&lt;sup&gt;17\u201319&lt;/sup&gt;", "plainTextFormattedCitation" : "17\u201319", "previouslyFormattedCitation" : "&lt;sup&gt;18\u201320&lt;/sup&gt;" }, "properties" : { "noteIndex" : 0 }, "schema" : "https://github.com/citation-style-language/schema/raw/master/csl-citation.json" }</w:instrText>
      </w:r>
      <w:r w:rsidR="00046565">
        <w:fldChar w:fldCharType="separate"/>
      </w:r>
      <w:r w:rsidR="00575CD5" w:rsidRPr="00575CD5">
        <w:rPr>
          <w:noProof/>
          <w:vertAlign w:val="superscript"/>
        </w:rPr>
        <w:t>17–19</w:t>
      </w:r>
      <w:r w:rsidR="00046565">
        <w:fldChar w:fldCharType="end"/>
      </w:r>
      <w:r w:rsidR="00B62E25">
        <w:t xml:space="preserve"> Infection of susceptible individuals (</w:t>
      </w:r>
      <m:oMath>
        <m:r>
          <w:rPr>
            <w:rFonts w:ascii="Cambria Math" w:hAnsi="Cambria Math"/>
          </w:rPr>
          <m:t>S→I</m:t>
        </m:r>
      </m:oMath>
      <w:r w:rsidR="00B62E25">
        <w:t>)</w:t>
      </w:r>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w:t>
      </w:r>
      <w:r w:rsidR="00B62E25">
        <w:rPr>
          <w:rFonts w:ascii="Cambria" w:hAnsi="Cambria"/>
        </w:rPr>
        <w:t xml:space="preserve"> </w:t>
      </w:r>
      <w:r w:rsidR="002E6C5E">
        <w:rPr>
          <w:rFonts w:ascii="Cambria" w:hAnsi="Cambria"/>
        </w:rPr>
        <w:t>The force of infection on</w:t>
      </w:r>
      <w:r w:rsidR="00B62E25">
        <w:rPr>
          <w:rFonts w:ascii="Cambria" w:hAnsi="Cambria"/>
        </w:rPr>
        <w:t xml:space="preserve">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sidR="00B62E25">
        <w:rPr>
          <w:rFonts w:ascii="Cambria" w:hAnsi="Cambria"/>
        </w:rPr>
        <w:t xml:space="preserve">) is scaled </w:t>
      </w:r>
      <w:r w:rsidR="002E6C5E">
        <w:rPr>
          <w:rFonts w:ascii="Cambria" w:hAnsi="Cambria"/>
        </w:rPr>
        <w:t xml:space="preserve">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sidR="002E6C5E">
        <w:rPr>
          <w:rFonts w:ascii="Cambria" w:hAnsi="Cambria"/>
        </w:rPr>
        <w:t>.</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27FD66C6" w14:textId="4DF493FA" w:rsidR="00044C95" w:rsidRDefault="00611687">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(Figure AA</w:t>
      </w:r>
      <w:r>
        <w:t>, dotted line</w:t>
      </w:r>
      <w:r w:rsidR="00C032C9">
        <w:t>)</w:t>
      </w:r>
      <w:r w:rsidR="00CF37BB">
        <w:t xml:space="preserve">. </w:t>
      </w:r>
      <w:r w:rsidR="00CF37BB">
        <w:lastRenderedPageBreak/>
        <w:t>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even for a perfect vaccine</w:t>
      </w:r>
      <w:r w:rsidR="00541512">
        <w:t xml:space="preserve"> (which retains VE=1 indefinitely)</w:t>
      </w:r>
      <w:r w:rsidR="0028276D">
        <w:t xml:space="preserve"> </w:t>
      </w:r>
      <w:r w:rsidR="00BB6260">
        <w:t xml:space="preserve">(Figure </w:t>
      </w:r>
      <w:r w:rsidR="00C345A8">
        <w:t>AA</w:t>
      </w:r>
      <w:r w:rsidR="00BB6260">
        <w:t xml:space="preserve">, </w:t>
      </w:r>
      <w:r w:rsidR="00841525">
        <w:t>solid</w:t>
      </w:r>
      <w:r w:rsidR="0096229A">
        <w:t xml:space="preserve"> lines</w:t>
      </w:r>
      <w:r w:rsidR="00C032C9">
        <w:t>)</w:t>
      </w:r>
      <w:r w:rsidR="00CF37BB">
        <w:t xml:space="preserve">. </w:t>
      </w:r>
      <w:r w:rsidR="00575CD5">
        <w:t xml:space="preserve"> Between the three primary forces causing herd immunity to wane, namely waning direct effects, migration, and births/deaths, we find that the first two are substantially more influential than the third. </w:t>
      </w:r>
      <w:r>
        <w:t>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rsidR="00BB6260">
        <w:t xml:space="preserve"> </w:t>
      </w:r>
      <w:r w:rsidR="006F7535">
        <w:t>as compared to</w:t>
      </w:r>
      <w:r w:rsidR="00006508">
        <w:t xml:space="preserve"> setting</w:t>
      </w:r>
      <w:r w:rsidR="006F7535">
        <w:t xml:space="preserve"> rates of birth and death to zero</w:t>
      </w:r>
      <w:r w:rsidR="0028276D">
        <w:t xml:space="preserve"> (Supplemental Figure AA)</w:t>
      </w:r>
      <w:r w:rsidR="008B07D1">
        <w:t>.</w:t>
      </w:r>
      <w:r w:rsidR="00006508">
        <w:t xml:space="preserve"> We therefore present results in the absence of birth and death rates for simplicity unless otherwise noted.</w:t>
      </w:r>
    </w:p>
    <w:p w14:paraId="3BE63ADE" w14:textId="77777777" w:rsidR="00CF37BB" w:rsidRDefault="00CF37BB"/>
    <w:p w14:paraId="203DAE48" w14:textId="0C79BDDF" w:rsidR="00CF37BB" w:rsidRDefault="00CF37BB" w:rsidP="00CF37BB">
      <w:r>
        <w:t xml:space="preserve">Of interest to policy-makers is not just the duration of any herd protection, </w:t>
      </w:r>
      <w:r w:rsidR="00611687">
        <w:t xml:space="preserve">but </w:t>
      </w:r>
      <w:r w:rsidR="00C032C9">
        <w:t>specifically</w:t>
      </w:r>
      <w:r>
        <w:t xml:space="preserve"> the</w:t>
      </w:r>
      <w:r w:rsidR="00541512">
        <w:t xml:space="preserve"> </w:t>
      </w:r>
      <w:r>
        <w:t xml:space="preserve">DHI.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w:t>
      </w:r>
      <w:r w:rsidR="00BA6E7B">
        <w:t xml:space="preserve"> </w:t>
      </w:r>
      <w:r w:rsidR="006F7535">
        <w:t>DHI is also shortened i</w:t>
      </w:r>
      <w:r w:rsidR="00BA6E7B">
        <w:t xml:space="preserve">n the presence of increasing migration </w:t>
      </w:r>
      <w:r w:rsidR="006F7535">
        <w:t xml:space="preserve">and birth/death rates </w:t>
      </w:r>
      <w:r w:rsidR="00D552A1">
        <w:t>(Supplemental Information</w:t>
      </w:r>
      <w:r w:rsidR="0061434F">
        <w:t xml:space="preserve"> TBD</w:t>
      </w:r>
      <w:r w:rsidR="00D552A1">
        <w:t>).</w:t>
      </w:r>
      <w:r w:rsidR="00004066">
        <w:t xml:space="preserve"> </w:t>
      </w:r>
    </w:p>
    <w:p w14:paraId="540A596A" w14:textId="77777777" w:rsidR="00BB6260" w:rsidRDefault="00BB6260" w:rsidP="00CF37BB"/>
    <w:p w14:paraId="2C1518C4" w14:textId="235BD5F3"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575CD5">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"&lt;sup&gt;20&lt;/sup&gt;", "plainTextFormattedCitation" : "20", "previouslyFormattedCitation" : "&lt;sup&gt;2&lt;/sup&gt;" }, "properties" : { "noteIndex" : 0 }, "schema" : "https://github.com/citation-style-language/schema/raw/master/csl-citation.json" }</w:instrText>
      </w:r>
      <w:r w:rsidR="00046565">
        <w:fldChar w:fldCharType="separate"/>
      </w:r>
      <w:r w:rsidR="00575CD5" w:rsidRPr="00575CD5">
        <w:rPr>
          <w:noProof/>
          <w:vertAlign w:val="superscript"/>
        </w:rPr>
        <w:t>20</w:t>
      </w:r>
      <w:r w:rsidR="00046565">
        <w:fldChar w:fldCharType="end"/>
      </w:r>
      <w:r>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DHI can be </w:t>
      </w:r>
      <w:r w:rsidR="00C51EE8">
        <w:t>inferred from</w:t>
      </w:r>
      <w:r w:rsidR="00C07693">
        <w:t xml:space="preserve"> the time </w:t>
      </w:r>
      <w:r w:rsidR="00611687">
        <w:t xml:space="preserve">of crossing </w:t>
      </w:r>
      <w:r w:rsidR="00C07693">
        <w:t>the horizon</w:t>
      </w:r>
      <w:r w:rsidR="00611687">
        <w:t>tal grey line, which marks the 24.6% probability of an outbreak (</w:t>
      </w:r>
      <m:oMath>
        <m:r>
          <w:rPr>
            <w:rFonts w:ascii="Cambria Math" w:hAnsi="Cambria Math"/>
          </w:rPr>
          <m:t>≥</m:t>
        </m:r>
      </m:oMath>
      <w:r w:rsidR="00611687">
        <w:t>10 cases) when the reproductive number is equal to one</w:t>
      </w:r>
      <w:r w:rsidR="00C07693">
        <w:t>.</w:t>
      </w:r>
      <w:r w:rsidR="00537BAE">
        <w:t xml:space="preserve"> </w:t>
      </w:r>
      <w:r w:rsidR="00611687">
        <w:t>F</w:t>
      </w:r>
      <w:r w:rsidR="00537BAE">
        <w:t xml:space="preserve">or a setting with high transmission potential and high migration (red solid line), mass WC vaccination may not be able to achieve herd immunity, but </w:t>
      </w:r>
      <w:r w:rsidR="00611687">
        <w:t xml:space="preserve">can </w:t>
      </w:r>
      <w:r w:rsidR="00537BAE">
        <w:t xml:space="preserve">still drastically reduce </w:t>
      </w:r>
      <w:r w:rsidR="00611687">
        <w:t xml:space="preserve">by nearly 50 percentage points </w:t>
      </w:r>
      <w:r w:rsidR="00537BAE">
        <w:t>the probability of an outbreak given introduct</w:t>
      </w:r>
      <w:r w:rsidR="00611687">
        <w:t>ion</w:t>
      </w:r>
      <w:r w:rsidR="00537BAE">
        <w:t>.</w:t>
      </w:r>
      <w:r w:rsidR="00C07693">
        <w:t xml:space="preserve"> </w:t>
      </w:r>
      <w:r w:rsidR="00890B56">
        <w:t>See Supplemental Information for dependence on other factors such as vaccine coverage, seasonality, and birth/death rates.</w:t>
      </w:r>
    </w:p>
    <w:p w14:paraId="37C3474B" w14:textId="77777777" w:rsidR="00F539C6" w:rsidRDefault="00F539C6"/>
    <w:p w14:paraId="5AD8BA13" w14:textId="63E2EE7C"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through “Mass then Maintain”, and </w:t>
      </w:r>
      <w:r w:rsidR="003B3505">
        <w:t xml:space="preserve">up to </w:t>
      </w:r>
      <w:r w:rsidR="00E3037F">
        <w:t>4.0 years through routine v</w:t>
      </w:r>
      <w:r w:rsidR="00B23DD8">
        <w:t>accination</w:t>
      </w:r>
      <w:r w:rsidR="00E86EA7">
        <w:t xml:space="preserve"> </w:t>
      </w:r>
      <w:r w:rsidR="009E526A">
        <w:t xml:space="preserve">(Figure </w:t>
      </w:r>
      <w:r w:rsidR="00E86EA7">
        <w:t>FF</w:t>
      </w:r>
      <w:r w:rsidR="009E526A">
        <w:t>)</w:t>
      </w:r>
      <w:r w:rsidR="00493178">
        <w:t>.</w:t>
      </w:r>
      <w:r w:rsidR="00077B6C">
        <w:t xml:space="preserve"> </w:t>
      </w:r>
    </w:p>
    <w:p w14:paraId="65FE2004" w14:textId="77777777" w:rsidR="006F7535" w:rsidRDefault="006F7535"/>
    <w:p w14:paraId="424C979A" w14:textId="418497EE" w:rsidR="00A57411" w:rsidRDefault="004203D1" w:rsidP="002C24BA">
      <w:r>
        <w:t xml:space="preserve">In addition to its strong influence on the duration of herd immunity, </w:t>
      </w:r>
      <w:r w:rsidR="00C04090">
        <w:t>one</w:t>
      </w:r>
      <w:r w:rsidR="00A33106">
        <w:t xml:space="preserve"> may also suspect that communities with higher migration rates are also more likely to have cholera imported. </w:t>
      </w:r>
      <w:r w:rsidR="00C04090">
        <w:t xml:space="preserve">In order to optimize OCV impact, there is a tension between remote areas, where OCV protection </w:t>
      </w:r>
      <w:r w:rsidR="002C24BA">
        <w:t>is</w:t>
      </w:r>
      <w:r w:rsidR="00C04090">
        <w:t xml:space="preserve"> long-lasting</w:t>
      </w:r>
      <w:r w:rsidR="002C24BA">
        <w:t xml:space="preserve"> but cholera introduction is more rare</w:t>
      </w:r>
      <w:r w:rsidR="00C04090">
        <w:t>, and highly mobile communities, where the opposite is expected.</w:t>
      </w:r>
      <w:r w:rsidR="000E5D49">
        <w:t xml:space="preserve"> </w:t>
      </w:r>
      <w:r w:rsidR="00551453">
        <w:t xml:space="preserve">Figure DD </w:t>
      </w:r>
      <w:r w:rsidR="000E5D49">
        <w:t>show</w:t>
      </w:r>
      <w:r w:rsidR="00551453">
        <w:t>s</w:t>
      </w:r>
      <w:r w:rsidR="00456D57">
        <w:t xml:space="preserve"> that communities with </w:t>
      </w:r>
      <w:r w:rsidR="00456D57">
        <w:lastRenderedPageBreak/>
        <w:t>intermediate levels of connectedness may experience the largest vaccine-derived decrease in the probability of an outbreak introduced via migration</w:t>
      </w:r>
      <w:r w:rsidR="00AD2DC7">
        <w:t>.</w:t>
      </w:r>
      <w:r w:rsidR="00501B43">
        <w:t xml:space="preserve"> </w:t>
      </w:r>
      <w:r w:rsidR="008C332F">
        <w:t xml:space="preserve">In </w:t>
      </w:r>
      <w:r w:rsidR="00501B43">
        <w:t xml:space="preserve">the </w:t>
      </w:r>
      <w:r w:rsidR="008C332F">
        <w:t>example</w:t>
      </w:r>
      <w:r w:rsidR="00501B43">
        <w:t xml:space="preserve"> of Figure DD,</w:t>
      </w:r>
      <w:r w:rsidR="008C332F">
        <w:t xml:space="preserve"> where R</w:t>
      </w:r>
      <w:r w:rsidR="008C332F">
        <w:rPr>
          <w:vertAlign w:val="subscript"/>
        </w:rPr>
        <w:t>0</w:t>
      </w:r>
      <w:r w:rsidR="008C332F">
        <w:t>=1.5 and the probability an incoming migrant is infectious is 1/N,</w:t>
      </w:r>
      <w:r w:rsidR="00501B43">
        <w:t xml:space="preserve"> </w:t>
      </w:r>
      <w:r w:rsidR="002C24BA">
        <w:t>the migration rate recorded in Bentiu in mid-2016 is near the optimal condition for maximizing the impact of a single mass vaccination campaign in the 4-6 year time horizon.</w:t>
      </w:r>
      <w:r w:rsidR="002C24BA" w:rsidRPr="002C24BA">
        <w:t xml:space="preserve"> </w:t>
      </w:r>
      <w:r w:rsidR="002C24BA">
        <w:t>If one is interested in shorter time horizons since vaccination, the migration rate that maximizes vaccine impact favors mobile communities, similar to the high population turnover observed in Dhaka in the study by Qadri et al</w:t>
      </w:r>
      <w:r w:rsidR="00046565">
        <w:t>.</w:t>
      </w:r>
      <w:r w:rsidR="00046565">
        <w:fldChar w:fldCharType="begin" w:fldLock="1"/>
      </w:r>
      <w:r w:rsidR="00575CD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"&lt;sup&gt;7&lt;/sup&gt;", "plainTextFormattedCitation" : "7", "previouslyFormattedCitation" : "&lt;sup&gt;8&lt;/sup&gt;" }, "properties" : { "noteIndex" : 0 }, "schema" : "https://github.com/citation-style-language/schema/raw/master/csl-citation.json" }</w:instrText>
      </w:r>
      <w:r w:rsidR="00046565">
        <w:fldChar w:fldCharType="separate"/>
      </w:r>
      <w:r w:rsidR="00575CD5" w:rsidRPr="00575CD5">
        <w:rPr>
          <w:noProof/>
          <w:vertAlign w:val="superscript"/>
        </w:rPr>
        <w:t>7</w:t>
      </w:r>
      <w:r w:rsidR="00046565">
        <w:fldChar w:fldCharType="end"/>
      </w:r>
      <w:r w:rsidR="00503E17">
        <w:t xml:space="preserve"> </w:t>
      </w:r>
    </w:p>
    <w:p w14:paraId="19B6D5BA" w14:textId="77777777" w:rsidR="004203D1" w:rsidRDefault="004203D1"/>
    <w:p w14:paraId="383A7E96" w14:textId="77777777" w:rsidR="00F539C6" w:rsidRPr="001850C4" w:rsidRDefault="00F539C6">
      <w:pPr>
        <w:rPr>
          <w:b/>
        </w:rPr>
      </w:pPr>
      <w:r w:rsidRPr="001850C4">
        <w:rPr>
          <w:b/>
        </w:rPr>
        <w:t>DISCUSSION</w:t>
      </w:r>
    </w:p>
    <w:p w14:paraId="0A3EFFA7" w14:textId="77777777" w:rsidR="00575CD5" w:rsidRDefault="00575CD5" w:rsidP="00575CD5">
      <w:r>
        <w:t>Our results can help inform decision-makers about the time window they can expect a population to resist a cholera outbreak even if the pathogen were to be introduced. During this window, WASH interventions can be scaled-up to provide longer-term protection, or a data-driven routine re-vaccination schedule can be determined. We developed an interactive tool to facilitate implementation of these results for a user-defined setting (</w:t>
      </w:r>
      <w:hyperlink r:id="rId11" w:history="1">
        <w:r w:rsidRPr="001C5656">
          <w:rPr>
            <w:rStyle w:val="Hyperlink"/>
          </w:rPr>
          <w:t>https://coreypeak.shinyapps.io/herd_protection_estimator/</w:t>
        </w:r>
      </w:hyperlink>
      <w:r>
        <w:t>)</w:t>
      </w:r>
      <w:r w:rsidRPr="00546529">
        <w:t>.</w:t>
      </w:r>
    </w:p>
    <w:p w14:paraId="52F2711F" w14:textId="77777777" w:rsidR="00575CD5" w:rsidRDefault="00575CD5" w:rsidP="00575CD5"/>
    <w:p w14:paraId="7AB15C96" w14:textId="77777777" w:rsidR="00575CD5" w:rsidRDefault="00575CD5" w:rsidP="00575CD5">
      <w:r>
        <w:t>One practical implementation of “Mass then Maintain” can include a high-coverage mass campaign followed by routine vaccination of new members of the population (through birth or immigration). In the Bentiu PoC Camp, this strategy organically resulted from the routine distribution of vaccine leftover from a mass vaccination campaign. However, for populations with moderate to low migration rates, other susceptible individuals (such as those missed during other campaigns or those vaccinated more than 5 years ago) must be vaccinated in order to maintain herd immunity. Recent work has also shown serological triggers for periodic mass vaccination can be an effective, and efficient, method to maintain herd immunity.</w:t>
      </w:r>
      <w:r>
        <w:fldChar w:fldCharType="begin" w:fldLock="1"/>
      </w:r>
      <w:r>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Pr="00546529">
        <w:rPr>
          <w:noProof/>
          <w:vertAlign w:val="superscript"/>
        </w:rPr>
        <w:t>21</w:t>
      </w:r>
      <w:r>
        <w:fldChar w:fldCharType="end"/>
      </w:r>
      <w:r>
        <w:t xml:space="preserve"> The authors suggest that in high-incidence areas (or, similarly, when VE is moderate or low), serological triggers could come so often that frequent planned vaccinations may be more appropriate. Indeed, in our example with imperfect OCVs, at least annual mass vaccination may be needed to maintain herd immunity. </w:t>
      </w:r>
    </w:p>
    <w:p w14:paraId="08682F25" w14:textId="77777777" w:rsidR="00575CD5" w:rsidRDefault="00575CD5" w:rsidP="00575CD5"/>
    <w:p w14:paraId="100B7ACA" w14:textId="35E99706" w:rsidR="00575CD5" w:rsidRDefault="00575CD5" w:rsidP="00575CD5">
      <w:r>
        <w:t>Current guidelines for the optimal use of the OCV stockpile recommend the consideration of “Areas with important population movements” [WHO 2013].  The role of mobility in connecting a heterogeneous transmission landscape was demonstrated by Azman et al.</w:t>
      </w:r>
      <w:r>
        <w:fldChar w:fldCharType="begin" w:fldLock="1"/>
      </w:r>
      <w:r>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Pr="00546529">
        <w:rPr>
          <w:noProof/>
          <w:vertAlign w:val="superscript"/>
        </w:rPr>
        <w:t>22</w:t>
      </w:r>
      <w:r>
        <w:fldChar w:fldCharType="end"/>
      </w:r>
      <w:r>
        <w:t>, but here we show there are two competing effects of high mobility on the duration of herd immunity. First, we expect 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 in high-mobility settings. Together, these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context. We find that the optimal migration rate shifts lower (i.e., preferring less mobile populations) in settings with a high average R</w:t>
      </w:r>
      <w:r>
        <w:rPr>
          <w:vertAlign w:val="subscript"/>
        </w:rPr>
        <w:t>0</w:t>
      </w:r>
      <w:r>
        <w:t xml:space="preserve"> and higher seasonal amplitude. Our primary results assume an outbreak is at </w:t>
      </w:r>
      <w:r>
        <w:lastRenderedPageBreak/>
        <w:t>least 10 cases. If this threshold is increased to 100 or 1,000 cases, the probabilities of “outbreaks” decreases, but the optimal migration rate is not affected. These findings assume cholera is only introduced through migration, that each imported infection is independent, that infectious cases are imported at the very beginning of their disease, and that the count of secondary cases follows a Poisson distribution.</w:t>
      </w:r>
      <w:r>
        <w:fldChar w:fldCharType="begin" w:fldLock="1"/>
      </w:r>
      <w:r>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"&lt;sup&gt;13&lt;/sup&gt;", "plainTextFormattedCitation" : "13" }, "properties" : { "noteIndex" : 0 }, "schema" : "https://github.com/citation-style-language/schema/raw/master/csl-citation.json" }</w:instrText>
      </w:r>
      <w:r>
        <w:fldChar w:fldCharType="separate"/>
      </w:r>
      <w:r w:rsidRPr="00575CD5">
        <w:rPr>
          <w:noProof/>
          <w:vertAlign w:val="superscript"/>
        </w:rPr>
        <w:t>13</w:t>
      </w:r>
      <w:r>
        <w:fldChar w:fldCharType="end"/>
      </w:r>
    </w:p>
    <w:p w14:paraId="0B74B373" w14:textId="77777777" w:rsidR="00FA75B1" w:rsidRDefault="00FA75B1"/>
    <w:p w14:paraId="371705BA" w14:textId="7B7FCCCC" w:rsidR="00F539C6" w:rsidRPr="006118CA" w:rsidRDefault="00575CD5">
      <w:r>
        <w:t>We demonstrate</w:t>
      </w:r>
      <w:r w:rsidR="00F539C6">
        <w:t xml:space="preserve">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 [cite HIV, measles]</w:t>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2AE61A53" w:rsidR="003D3BBD" w:rsidRDefault="003D3BBD" w:rsidP="00F038DC">
      <w:r>
        <w:t>Cholera vaccine efficacy has been shown to vary by age of recipient, however for simplicity we do not model this age structure in the main results.</w:t>
      </w:r>
      <w:r w:rsidR="00596D3C">
        <w:t xml:space="preserve"> If children are members of a mass vaccination campaign, we would expect herd immunity would wane more quickly, and especially so if children are disproportionate sources of transmission. Furthermore, routine vaccination may benefit from targeting individuals as they reach the age of five years, for example, instead of vaccinating closer to birth.</w:t>
      </w:r>
    </w:p>
    <w:p w14:paraId="5D8B4ED0" w14:textId="79B93738" w:rsidR="00A12181" w:rsidRDefault="00A12181" w:rsidP="00F038DC"/>
    <w:p w14:paraId="269CD9E9" w14:textId="43EF0D89"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capsular polysaccharide vaccine [cite]</w:t>
      </w:r>
      <w:r w:rsidR="007353D3">
        <w:t xml:space="preserve">. We find the “Mass then Maintain” strategy continues to outperform </w:t>
      </w:r>
      <w:r w:rsidR="00E87CB3">
        <w:t>routine vaccination or periodic mass vaccination even when there is a perfect vaccine (i.e., VE=1 indefinitely). We also find that intermediate levels of migration continue to maximize vaccine impact for a perfect vaccine, but the optimal migration rate increases with vaccine performanc</w:t>
      </w:r>
      <w:r w:rsidR="00527DCB">
        <w:t>e</w:t>
      </w:r>
      <w:r w:rsidR="00A065FB">
        <w:t xml:space="preserve"> (Figure DD_Supplement)</w:t>
      </w:r>
      <w:r w:rsidR="00527DCB">
        <w:t>.</w:t>
      </w:r>
    </w:p>
    <w:p w14:paraId="41BC4726" w14:textId="77777777" w:rsidR="00E87CB3" w:rsidRDefault="00E87CB3" w:rsidP="00E87CB3"/>
    <w:p w14:paraId="4EF38A31" w14:textId="330150A4" w:rsidR="00E87CB3" w:rsidRDefault="00FE63D9" w:rsidP="00E87CB3">
      <w:r>
        <w:lastRenderedPageBreak/>
        <w:t>The phenomenon of waning herd immunity also has strong implications on disease control strategies that include mass vaccination or “mop up” vaccination, e.g., measles and yellow fever. For yellow fever in particular, fractional vaccine doses have been used to extend vaccine supply under the assumption that VE of fractional doses lasts at least one year.</w:t>
      </w:r>
      <w:r w:rsidR="00A61C71">
        <w:fldChar w:fldCharType="begin" w:fldLock="1"/>
      </w:r>
      <w:r w:rsidR="00D5161A">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"&lt;sup&gt;23&lt;/sup&gt;", "plainTextFormattedCitation" : "23", "previouslyFormattedCitation" : "&lt;sup&gt;23&lt;/sup&gt;" }, "properties" : { "noteIndex" : 0 }, "schema" : "https://github.com/citation-style-language/schema/raw/master/csl-citation.json" }</w:instrText>
      </w:r>
      <w:r w:rsidR="00A61C71">
        <w:fldChar w:fldCharType="separate"/>
      </w:r>
      <w:r w:rsidR="00546529" w:rsidRPr="00546529">
        <w:rPr>
          <w:noProof/>
          <w:vertAlign w:val="superscript"/>
        </w:rPr>
        <w:t>23</w:t>
      </w:r>
      <w:r w:rsidR="00A61C71">
        <w:fldChar w:fldCharType="end"/>
      </w:r>
      <w:r>
        <w:t xml:space="preserve"> Human mobility and waning herd immunity are key considerations for when these urban populations should be revaccinated.</w:t>
      </w:r>
    </w:p>
    <w:p w14:paraId="3E9F5610" w14:textId="77777777" w:rsidR="00D552F7" w:rsidRDefault="00D552F7" w:rsidP="00F038DC"/>
    <w:p w14:paraId="135FD3EF" w14:textId="77777777" w:rsidR="002B44C8" w:rsidRDefault="002B44C8">
      <w:pPr>
        <w:rPr>
          <w:b/>
        </w:rPr>
      </w:pPr>
      <w:r>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6A27E26D" w14:textId="56D385DB" w:rsidR="00700D43" w:rsidRDefault="00700D43" w:rsidP="00F038DC">
      <w:r>
        <w:rPr>
          <w:b/>
        </w:rPr>
        <w:t>Figure AA</w:t>
      </w:r>
      <w:r w:rsidRPr="00700D43">
        <w:rPr>
          <w:b/>
        </w:rPr>
        <w:t>. Changes in the proportion of the population susceptible (X(t)) as a function of years since vaccination</w:t>
      </w:r>
      <w:r>
        <w:rPr>
          <w:b/>
        </w:rPr>
        <w:t xml:space="preserve">. </w:t>
      </w:r>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071416EB" w14:textId="188BEA1C" w:rsidR="00700D43" w:rsidRDefault="00700D43" w:rsidP="00F038DC">
      <w:r>
        <w:rPr>
          <w:b/>
        </w:rPr>
        <w:t>Figure BB. Changes in the probability of an outbreak as a function of years since vaccination.</w:t>
      </w:r>
      <w:r>
        <w:t xml:space="preserve"> 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771860A2" w14:textId="77777777" w:rsidR="00F83CD8" w:rsidRDefault="00F83CD8" w:rsidP="00F038DC"/>
    <w:p w14:paraId="5F1A8483" w14:textId="58C25D86" w:rsidR="006173F9" w:rsidRPr="00541512" w:rsidRDefault="006173F9" w:rsidP="00F038DC">
      <w:r>
        <w:rPr>
          <w:b/>
        </w:rPr>
        <w:t>Figure VC</w:t>
      </w:r>
      <w:r>
        <w:t>.</w:t>
      </w:r>
      <w:r>
        <w:rPr>
          <w:b/>
        </w:rPr>
        <w:t xml:space="preserve"> Duration of Herd Immunity (DHI) as a function of vaccine coverage and basic reproductive number.</w:t>
      </w:r>
      <w:r>
        <w:t xml:space="preserve"> DHI is maximized in settings with high vaccine coverage and low basic reproductive numbers. </w:t>
      </w:r>
      <w:r w:rsidR="00541512">
        <w:t>Uncolored regions never obtain herd immunity (e.g., VC &lt; 0.5 and R</w:t>
      </w:r>
      <w:r w:rsidR="00541512">
        <w:rPr>
          <w:vertAlign w:val="subscript"/>
        </w:rPr>
        <w:t>0</w:t>
      </w:r>
      <w:r w:rsidR="00541512">
        <w:t xml:space="preserve"> &gt; 1.5).</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r>
        <w:t>, ...., V</w:t>
      </w:r>
      <w:r>
        <w:softHyphen/>
      </w:r>
      <w:r>
        <w:softHyphen/>
      </w:r>
      <w:r>
        <w:rPr>
          <w:vertAlign w:val="subscript"/>
        </w:rPr>
        <w:t>n</w:t>
      </w:r>
      <w:r>
        <w:t xml:space="preserve"> at an average rate of 1 per month. The force of infection for individuals in a compartment V</w:t>
      </w:r>
      <w:r>
        <w:rPr>
          <w:vertAlign w:val="subscript"/>
        </w:rPr>
        <w:t>i</w:t>
      </w:r>
      <w:r>
        <w:t xml:space="preserve"> is reduced by a factor of (1-VE(i)).</w:t>
      </w:r>
    </w:p>
    <w:p w14:paraId="4748FDF0" w14:textId="77777777" w:rsidR="00B862CB" w:rsidRDefault="00B862CB" w:rsidP="00F038DC"/>
    <w:p w14:paraId="5642C51D" w14:textId="0CEFC94B" w:rsidR="00B862CB" w:rsidRPr="00B862CB" w:rsidRDefault="00B862CB" w:rsidP="00837827">
      <w:r>
        <w:rPr>
          <w:b/>
        </w:rPr>
        <w:t>Figure DD. Vaccine targeting optimized in settings with intermediate rates of migration.</w:t>
      </w:r>
      <w:r>
        <w:t xml:space="preserve"> </w:t>
      </w:r>
      <w:r w:rsidR="009A3CE6">
        <w:t xml:space="preserve">Vaccine impact is measured by the decrease in the N-year cumulative probability of an outbreak comparing a mass </w:t>
      </w:r>
      <w:r w:rsidR="00103784">
        <w:t xml:space="preserve">WC </w:t>
      </w:r>
      <w:r w:rsidR="009A3CE6">
        <w:t>vaccination campaign with VC=1 versus no vaccination, and is shown to reach maxima</w:t>
      </w:r>
      <w:r w:rsidR="00103784">
        <w:t xml:space="preserve"> (triangles)</w:t>
      </w:r>
      <w:r w:rsidR="009A3CE6">
        <w:t xml:space="preserve"> at intermediate levels of connectivity. The ti</w:t>
      </w:r>
      <w:r w:rsidR="005D6069">
        <w:t xml:space="preserve">me </w:t>
      </w:r>
      <w:r w:rsidR="009A3CE6">
        <w:t xml:space="preserve">since vaccination (colored lines) modifies these maxima. </w:t>
      </w:r>
      <w:r w:rsidR="00503E17">
        <w:t>Vertical grey lines denote the estimate</w:t>
      </w:r>
      <w:r w:rsidR="00831DED">
        <w:t>d migration rates for Calcutta, Bentiu, and Dhaka</w:t>
      </w:r>
      <w:r w:rsidR="00503E17">
        <w:t xml:space="preserve"> as described in Methods. </w:t>
      </w:r>
      <w:r>
        <w:t>In this example, R</w:t>
      </w:r>
      <w:r>
        <w:rPr>
          <w:vertAlign w:val="subscript"/>
        </w:rPr>
        <w:t>0</w:t>
      </w:r>
      <w:r>
        <w:t xml:space="preserve"> is </w:t>
      </w:r>
      <w:r w:rsidR="00503E17">
        <w:t>set to</w:t>
      </w:r>
      <w:r>
        <w:t xml:space="preserve"> 1.5 and </w:t>
      </w:r>
      <w:r w:rsidR="00837827">
        <w:t>the average probability that a migrant is infected is 1/N, where N is the community size. See Supplemental Information for alternative parameters sets.</w:t>
      </w:r>
    </w:p>
    <w:p w14:paraId="71D77B25" w14:textId="77777777" w:rsidR="00D77E67" w:rsidRDefault="00D77E67" w:rsidP="00D77E67"/>
    <w:p w14:paraId="18569DF4" w14:textId="2BC29654" w:rsidR="00246BDD" w:rsidRPr="006F2CC8" w:rsidRDefault="00246BDD" w:rsidP="00D77E67">
      <w:r>
        <w:rPr>
          <w:b/>
        </w:rPr>
        <w:t xml:space="preserve">Figure FF. Vaccine strategies to maximize DHI. </w:t>
      </w:r>
      <w:r w:rsidR="006F2CC8" w:rsidRPr="006F2CC8">
        <w:t>(A)</w:t>
      </w:r>
      <w:r w:rsidR="006F2CC8">
        <w:t xml:space="preserve"> </w:t>
      </w:r>
      <w:r w:rsidRPr="006F2CC8">
        <w:t>Recurring</w:t>
      </w:r>
      <w:r w:rsidR="006F2CC8">
        <w:t xml:space="preserve"> mass vaccination</w:t>
      </w:r>
      <w:r>
        <w:t xml:space="preserve"> with 100% coverage of susceptibles every year (dashed line) </w:t>
      </w:r>
      <w:r w:rsidR="006F2CC8">
        <w:t>or two years (dotted line) is shown to periodically achieve then lose herd immunity, as recorded by the faded horizontal lines below. (B) M</w:t>
      </w:r>
      <w:r>
        <w:t>ass vaccination of 80% followed by routine vaccination of 8 (green), 12 (teal), or</w:t>
      </w:r>
      <w:r w:rsidR="006F2CC8">
        <w:t xml:space="preserve"> 16 (purple) individuals per day is shown to maximize DHI. (C) Routine vaccination only. The following are held constant for all simulations: population size = 10,000; maximum </w:t>
      </w:r>
      <w:r w:rsidR="006F2CC8">
        <w:lastRenderedPageBreak/>
        <w:t>vaccine courses = 30,000; R</w:t>
      </w:r>
      <w:r w:rsidR="006F2CC8">
        <w:rPr>
          <w:vertAlign w:val="subscript"/>
        </w:rPr>
        <w:t>0</w:t>
      </w:r>
      <w:r w:rsidR="006F2CC8">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F2CC8">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F2CC8">
        <w:t>.</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18646BD0" w14:textId="2E398364" w:rsidR="00575CD5" w:rsidRPr="00575CD5" w:rsidRDefault="000A51A6" w:rsidP="00575CD5">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575CD5" w:rsidRPr="00575CD5">
        <w:rPr>
          <w:rFonts w:ascii="Cambria" w:hAnsi="Cambria"/>
          <w:noProof/>
        </w:rPr>
        <w:t>1</w:t>
      </w:r>
      <w:r w:rsidR="00575CD5" w:rsidRPr="00575CD5">
        <w:rPr>
          <w:rFonts w:ascii="Cambria" w:hAnsi="Cambria"/>
          <w:noProof/>
        </w:rPr>
        <w:tab/>
        <w:t xml:space="preserve">Fine PE. Herd immunity: history, theory, practice. </w:t>
      </w:r>
      <w:r w:rsidR="00575CD5" w:rsidRPr="00575CD5">
        <w:rPr>
          <w:rFonts w:ascii="Cambria" w:hAnsi="Cambria"/>
          <w:i/>
          <w:iCs/>
          <w:noProof/>
        </w:rPr>
        <w:t>Epidemiol Rev</w:t>
      </w:r>
      <w:r w:rsidR="00575CD5" w:rsidRPr="00575CD5">
        <w:rPr>
          <w:rFonts w:ascii="Cambria" w:hAnsi="Cambria"/>
          <w:noProof/>
        </w:rPr>
        <w:t xml:space="preserve"> 1993; </w:t>
      </w:r>
      <w:r w:rsidR="00575CD5" w:rsidRPr="00575CD5">
        <w:rPr>
          <w:rFonts w:ascii="Cambria" w:hAnsi="Cambria"/>
          <w:b/>
          <w:bCs/>
          <w:noProof/>
        </w:rPr>
        <w:t>15</w:t>
      </w:r>
      <w:r w:rsidR="00575CD5" w:rsidRPr="00575CD5">
        <w:rPr>
          <w:rFonts w:ascii="Cambria" w:hAnsi="Cambria"/>
          <w:noProof/>
        </w:rPr>
        <w:t>: 265–302.</w:t>
      </w:r>
    </w:p>
    <w:p w14:paraId="5F88CE12"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2</w:t>
      </w:r>
      <w:r w:rsidRPr="00575CD5">
        <w:rPr>
          <w:rFonts w:ascii="Cambria" w:hAnsi="Cambria"/>
          <w:noProof/>
        </w:rPr>
        <w:tab/>
        <w:t xml:space="preserve">Ali M, Emch M, von Seidlein L, </w:t>
      </w:r>
      <w:r w:rsidRPr="00575CD5">
        <w:rPr>
          <w:rFonts w:ascii="Cambria" w:hAnsi="Cambria"/>
          <w:i/>
          <w:iCs/>
          <w:noProof/>
        </w:rPr>
        <w:t>et al.</w:t>
      </w:r>
      <w:r w:rsidRPr="00575CD5">
        <w:rPr>
          <w:rFonts w:ascii="Cambria" w:hAnsi="Cambria"/>
          <w:noProof/>
        </w:rPr>
        <w:t xml:space="preserve"> Herd immunity conferred by killed oral cholera vaccines in Bangladesh: a reanalysis. </w:t>
      </w:r>
      <w:r w:rsidRPr="00575CD5">
        <w:rPr>
          <w:rFonts w:ascii="Cambria" w:hAnsi="Cambria"/>
          <w:i/>
          <w:iCs/>
          <w:noProof/>
        </w:rPr>
        <w:t>Lancet</w:t>
      </w:r>
      <w:r w:rsidRPr="00575CD5">
        <w:rPr>
          <w:rFonts w:ascii="Cambria" w:hAnsi="Cambria"/>
          <w:noProof/>
        </w:rPr>
        <w:t xml:space="preserve"> 2005; </w:t>
      </w:r>
      <w:r w:rsidRPr="00575CD5">
        <w:rPr>
          <w:rFonts w:ascii="Cambria" w:hAnsi="Cambria"/>
          <w:b/>
          <w:bCs/>
          <w:noProof/>
        </w:rPr>
        <w:t>366</w:t>
      </w:r>
      <w:r w:rsidRPr="00575CD5">
        <w:rPr>
          <w:rFonts w:ascii="Cambria" w:hAnsi="Cambria"/>
          <w:noProof/>
        </w:rPr>
        <w:t>: 44–9.</w:t>
      </w:r>
    </w:p>
    <w:p w14:paraId="1E567BA2"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3</w:t>
      </w:r>
      <w:r w:rsidRPr="00575CD5">
        <w:rPr>
          <w:rFonts w:ascii="Cambria" w:hAnsi="Cambria"/>
          <w:noProof/>
        </w:rPr>
        <w:tab/>
        <w:t xml:space="preserve">World Health Organization. Cholera, 2015. </w:t>
      </w:r>
      <w:r w:rsidRPr="00575CD5">
        <w:rPr>
          <w:rFonts w:ascii="Cambria" w:hAnsi="Cambria"/>
          <w:i/>
          <w:iCs/>
          <w:noProof/>
        </w:rPr>
        <w:t>Wkly Epidemiol Rec</w:t>
      </w:r>
      <w:r w:rsidRPr="00575CD5">
        <w:rPr>
          <w:rFonts w:ascii="Cambria" w:hAnsi="Cambria"/>
          <w:noProof/>
        </w:rPr>
        <w:t xml:space="preserve"> 2016; </w:t>
      </w:r>
      <w:r w:rsidRPr="00575CD5">
        <w:rPr>
          <w:rFonts w:ascii="Cambria" w:hAnsi="Cambria"/>
          <w:b/>
          <w:bCs/>
          <w:noProof/>
        </w:rPr>
        <w:t>38</w:t>
      </w:r>
      <w:r w:rsidRPr="00575CD5">
        <w:rPr>
          <w:rFonts w:ascii="Cambria" w:hAnsi="Cambria"/>
          <w:noProof/>
        </w:rPr>
        <w:t>: 433–40.</w:t>
      </w:r>
    </w:p>
    <w:p w14:paraId="76D1A953"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4</w:t>
      </w:r>
      <w:r w:rsidRPr="00575CD5">
        <w:rPr>
          <w:rFonts w:ascii="Cambria" w:hAnsi="Cambria"/>
          <w:noProof/>
        </w:rPr>
        <w:tab/>
        <w:t xml:space="preserve">Clemens J, Holmgren J. When, How, and Where can Oral Cholera Vaccines be Used to Interrupt Cholera Outbreaks? </w:t>
      </w:r>
      <w:r w:rsidRPr="00575CD5">
        <w:rPr>
          <w:rFonts w:ascii="Cambria" w:hAnsi="Cambria"/>
          <w:i/>
          <w:iCs/>
          <w:noProof/>
        </w:rPr>
        <w:t>Curr Top Microbiol Immunol</w:t>
      </w:r>
      <w:r w:rsidRPr="00575CD5">
        <w:rPr>
          <w:rFonts w:ascii="Cambria" w:hAnsi="Cambria"/>
          <w:noProof/>
        </w:rPr>
        <w:t xml:space="preserve"> 2014; : 231–58.</w:t>
      </w:r>
    </w:p>
    <w:p w14:paraId="6459CD30"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5</w:t>
      </w:r>
      <w:r w:rsidRPr="00575CD5">
        <w:rPr>
          <w:rFonts w:ascii="Cambria" w:hAnsi="Cambria"/>
          <w:noProof/>
        </w:rPr>
        <w:tab/>
        <w:t>Ministry of Health. Situation Report #93 on Cholera in South Sudan As at 23:59 Hours , 3 November 2016. 2016.</w:t>
      </w:r>
    </w:p>
    <w:p w14:paraId="642183FA"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6</w:t>
      </w:r>
      <w:r w:rsidRPr="00575CD5">
        <w:rPr>
          <w:rFonts w:ascii="Cambria" w:hAnsi="Cambria"/>
          <w:noProof/>
        </w:rPr>
        <w:tab/>
        <w:t xml:space="preserve">Sur D, Kanungo S, Sah B, </w:t>
      </w:r>
      <w:r w:rsidRPr="00575CD5">
        <w:rPr>
          <w:rFonts w:ascii="Cambria" w:hAnsi="Cambria"/>
          <w:i/>
          <w:iCs/>
          <w:noProof/>
        </w:rPr>
        <w:t>et al.</w:t>
      </w:r>
      <w:r w:rsidRPr="00575CD5">
        <w:rPr>
          <w:rFonts w:ascii="Cambria" w:hAnsi="Cambria"/>
          <w:noProof/>
        </w:rPr>
        <w:t xml:space="preserve"> Efficacy of a Low-Cost, inactivated Whole-Cell oral cholera vaccine: Results from 3 years of Follow-Up of a randomized, controlled trial. </w:t>
      </w:r>
      <w:r w:rsidRPr="00575CD5">
        <w:rPr>
          <w:rFonts w:ascii="Cambria" w:hAnsi="Cambria"/>
          <w:i/>
          <w:iCs/>
          <w:noProof/>
        </w:rPr>
        <w:t>PLoS Negl Trop Dis</w:t>
      </w:r>
      <w:r w:rsidRPr="00575CD5">
        <w:rPr>
          <w:rFonts w:ascii="Cambria" w:hAnsi="Cambria"/>
          <w:noProof/>
        </w:rPr>
        <w:t xml:space="preserve"> 2011; </w:t>
      </w:r>
      <w:r w:rsidRPr="00575CD5">
        <w:rPr>
          <w:rFonts w:ascii="Cambria" w:hAnsi="Cambria"/>
          <w:b/>
          <w:bCs/>
          <w:noProof/>
        </w:rPr>
        <w:t>5</w:t>
      </w:r>
      <w:r w:rsidRPr="00575CD5">
        <w:rPr>
          <w:rFonts w:ascii="Cambria" w:hAnsi="Cambria"/>
          <w:noProof/>
        </w:rPr>
        <w:t>: 1–6.</w:t>
      </w:r>
    </w:p>
    <w:p w14:paraId="74D0E9FB"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7</w:t>
      </w:r>
      <w:r w:rsidRPr="00575CD5">
        <w:rPr>
          <w:rFonts w:ascii="Cambria" w:hAnsi="Cambria"/>
          <w:noProof/>
        </w:rPr>
        <w:tab/>
        <w:t xml:space="preserve">Qadri F, Ali M, Chowdhury F, </w:t>
      </w:r>
      <w:r w:rsidRPr="00575CD5">
        <w:rPr>
          <w:rFonts w:ascii="Cambria" w:hAnsi="Cambria"/>
          <w:i/>
          <w:iCs/>
          <w:noProof/>
        </w:rPr>
        <w:t>et al.</w:t>
      </w:r>
      <w:r w:rsidRPr="00575CD5">
        <w:rPr>
          <w:rFonts w:ascii="Cambria" w:hAnsi="Cambria"/>
          <w:noProof/>
        </w:rPr>
        <w:t xml:space="preserve"> Feasibility and effectiveness of oral cholera vaccine in an urban endemic setting in Bangladesh: a cluster randomised open-label trial. </w:t>
      </w:r>
      <w:r w:rsidRPr="00575CD5">
        <w:rPr>
          <w:rFonts w:ascii="Cambria" w:hAnsi="Cambria"/>
          <w:i/>
          <w:iCs/>
          <w:noProof/>
        </w:rPr>
        <w:t>Lancet</w:t>
      </w:r>
      <w:r w:rsidRPr="00575CD5">
        <w:rPr>
          <w:rFonts w:ascii="Cambria" w:hAnsi="Cambria"/>
          <w:noProof/>
        </w:rPr>
        <w:t xml:space="preserve"> 2015; </w:t>
      </w:r>
      <w:r w:rsidRPr="00575CD5">
        <w:rPr>
          <w:rFonts w:ascii="Cambria" w:hAnsi="Cambria"/>
          <w:b/>
          <w:bCs/>
          <w:noProof/>
        </w:rPr>
        <w:t>6736</w:t>
      </w:r>
      <w:r w:rsidRPr="00575CD5">
        <w:rPr>
          <w:rFonts w:ascii="Cambria" w:hAnsi="Cambria"/>
          <w:noProof/>
        </w:rPr>
        <w:t>: 1–10.</w:t>
      </w:r>
    </w:p>
    <w:p w14:paraId="0DAD2C10"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8</w:t>
      </w:r>
      <w:r w:rsidRPr="00575CD5">
        <w:rPr>
          <w:rFonts w:ascii="Cambria" w:hAnsi="Cambria"/>
          <w:noProof/>
        </w:rPr>
        <w:tab/>
        <w:t xml:space="preserve">Lloyd AL. Realistic distributions of infectious periods in epidemic models: changing patterns of persistence and dynamics. </w:t>
      </w:r>
      <w:r w:rsidRPr="00575CD5">
        <w:rPr>
          <w:rFonts w:ascii="Cambria" w:hAnsi="Cambria"/>
          <w:i/>
          <w:iCs/>
          <w:noProof/>
        </w:rPr>
        <w:t>Theor Popul Biol</w:t>
      </w:r>
      <w:r w:rsidRPr="00575CD5">
        <w:rPr>
          <w:rFonts w:ascii="Cambria" w:hAnsi="Cambria"/>
          <w:noProof/>
        </w:rPr>
        <w:t xml:space="preserve"> 2001; </w:t>
      </w:r>
      <w:r w:rsidRPr="00575CD5">
        <w:rPr>
          <w:rFonts w:ascii="Cambria" w:hAnsi="Cambria"/>
          <w:b/>
          <w:bCs/>
          <w:noProof/>
        </w:rPr>
        <w:t>60</w:t>
      </w:r>
      <w:r w:rsidRPr="00575CD5">
        <w:rPr>
          <w:rFonts w:ascii="Cambria" w:hAnsi="Cambria"/>
          <w:noProof/>
        </w:rPr>
        <w:t>: 59–71.</w:t>
      </w:r>
    </w:p>
    <w:p w14:paraId="47800840"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9</w:t>
      </w:r>
      <w:r w:rsidRPr="00575CD5">
        <w:rPr>
          <w:rFonts w:ascii="Cambria" w:hAnsi="Cambria"/>
          <w:noProof/>
        </w:rPr>
        <w:tab/>
        <w:t xml:space="preserve">Krylova O, Earn DJD. Effects of the infectious period distribution on predicted transitions in childhood disease dynamics. </w:t>
      </w:r>
      <w:r w:rsidRPr="00575CD5">
        <w:rPr>
          <w:rFonts w:ascii="Cambria" w:hAnsi="Cambria"/>
          <w:i/>
          <w:iCs/>
          <w:noProof/>
        </w:rPr>
        <w:t>J R Soc Interface</w:t>
      </w:r>
      <w:r w:rsidRPr="00575CD5">
        <w:rPr>
          <w:rFonts w:ascii="Cambria" w:hAnsi="Cambria"/>
          <w:noProof/>
        </w:rPr>
        <w:t xml:space="preserve"> 2013; </w:t>
      </w:r>
      <w:r w:rsidRPr="00575CD5">
        <w:rPr>
          <w:rFonts w:ascii="Cambria" w:hAnsi="Cambria"/>
          <w:b/>
          <w:bCs/>
          <w:noProof/>
        </w:rPr>
        <w:t>10</w:t>
      </w:r>
      <w:r w:rsidRPr="00575CD5">
        <w:rPr>
          <w:rFonts w:ascii="Cambria" w:hAnsi="Cambria"/>
          <w:noProof/>
        </w:rPr>
        <w:t>: 20130098.</w:t>
      </w:r>
    </w:p>
    <w:p w14:paraId="15C9600F"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10</w:t>
      </w:r>
      <w:r w:rsidRPr="00575CD5">
        <w:rPr>
          <w:rFonts w:ascii="Cambria" w:hAnsi="Cambria"/>
          <w:noProof/>
        </w:rPr>
        <w:tab/>
        <w:t xml:space="preserve">Clemens JD, Sack D a, Harris JR, </w:t>
      </w:r>
      <w:r w:rsidRPr="00575CD5">
        <w:rPr>
          <w:rFonts w:ascii="Cambria" w:hAnsi="Cambria"/>
          <w:i/>
          <w:iCs/>
          <w:noProof/>
        </w:rPr>
        <w:t>et al.</w:t>
      </w:r>
      <w:r w:rsidRPr="00575CD5">
        <w:rPr>
          <w:rFonts w:ascii="Cambria" w:hAnsi="Cambria"/>
          <w:noProof/>
        </w:rPr>
        <w:t xml:space="preserve"> Field trial of oral cholera vaccines in Bangladesh: results from three-year follow-up. </w:t>
      </w:r>
      <w:r w:rsidRPr="00575CD5">
        <w:rPr>
          <w:rFonts w:ascii="Cambria" w:hAnsi="Cambria"/>
          <w:i/>
          <w:iCs/>
          <w:noProof/>
        </w:rPr>
        <w:t>Lancet</w:t>
      </w:r>
      <w:r w:rsidRPr="00575CD5">
        <w:rPr>
          <w:rFonts w:ascii="Cambria" w:hAnsi="Cambria"/>
          <w:noProof/>
        </w:rPr>
        <w:t xml:space="preserve"> 1990; </w:t>
      </w:r>
      <w:r w:rsidRPr="00575CD5">
        <w:rPr>
          <w:rFonts w:ascii="Cambria" w:hAnsi="Cambria"/>
          <w:b/>
          <w:bCs/>
          <w:noProof/>
        </w:rPr>
        <w:t>335</w:t>
      </w:r>
      <w:r w:rsidRPr="00575CD5">
        <w:rPr>
          <w:rFonts w:ascii="Cambria" w:hAnsi="Cambria"/>
          <w:noProof/>
        </w:rPr>
        <w:t>: 270–3.</w:t>
      </w:r>
    </w:p>
    <w:p w14:paraId="6976ECFF"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11</w:t>
      </w:r>
      <w:r w:rsidRPr="00575CD5">
        <w:rPr>
          <w:rFonts w:ascii="Cambria" w:hAnsi="Cambria"/>
          <w:noProof/>
        </w:rPr>
        <w:tab/>
        <w:t xml:space="preserve">Durham LK, Longini IM, Halloran ME, Clemens JD, Nizam A, Rao M. Estimation of vaccine efficacy in the presence of waning: application to cholera vaccines. </w:t>
      </w:r>
      <w:r w:rsidRPr="00575CD5">
        <w:rPr>
          <w:rFonts w:ascii="Cambria" w:hAnsi="Cambria"/>
          <w:i/>
          <w:iCs/>
          <w:noProof/>
        </w:rPr>
        <w:t>Am J Epidemiol</w:t>
      </w:r>
      <w:r w:rsidRPr="00575CD5">
        <w:rPr>
          <w:rFonts w:ascii="Cambria" w:hAnsi="Cambria"/>
          <w:noProof/>
        </w:rPr>
        <w:t xml:space="preserve"> 1998; </w:t>
      </w:r>
      <w:r w:rsidRPr="00575CD5">
        <w:rPr>
          <w:rFonts w:ascii="Cambria" w:hAnsi="Cambria"/>
          <w:b/>
          <w:bCs/>
          <w:noProof/>
        </w:rPr>
        <w:t>147</w:t>
      </w:r>
      <w:r w:rsidRPr="00575CD5">
        <w:rPr>
          <w:rFonts w:ascii="Cambria" w:hAnsi="Cambria"/>
          <w:noProof/>
        </w:rPr>
        <w:t>: 948–59.</w:t>
      </w:r>
    </w:p>
    <w:p w14:paraId="126EF2C4"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12</w:t>
      </w:r>
      <w:r w:rsidRPr="00575CD5">
        <w:rPr>
          <w:rFonts w:ascii="Cambria" w:hAnsi="Cambria"/>
          <w:noProof/>
        </w:rPr>
        <w:tab/>
        <w:t xml:space="preserve">Soetaert K, Petzoldt T, Setzer RW. Package deSolve : Solving Initial Value Differential Equations in R. </w:t>
      </w:r>
      <w:r w:rsidRPr="00575CD5">
        <w:rPr>
          <w:rFonts w:ascii="Cambria" w:hAnsi="Cambria"/>
          <w:i/>
          <w:iCs/>
          <w:noProof/>
        </w:rPr>
        <w:t>J Stat Softw</w:t>
      </w:r>
      <w:r w:rsidRPr="00575CD5">
        <w:rPr>
          <w:rFonts w:ascii="Cambria" w:hAnsi="Cambria"/>
          <w:noProof/>
        </w:rPr>
        <w:t xml:space="preserve"> 2010; </w:t>
      </w:r>
      <w:r w:rsidRPr="00575CD5">
        <w:rPr>
          <w:rFonts w:ascii="Cambria" w:hAnsi="Cambria"/>
          <w:b/>
          <w:bCs/>
          <w:noProof/>
        </w:rPr>
        <w:t>33</w:t>
      </w:r>
      <w:r w:rsidRPr="00575CD5">
        <w:rPr>
          <w:rFonts w:ascii="Cambria" w:hAnsi="Cambria"/>
          <w:noProof/>
        </w:rPr>
        <w:t>: 1–25.</w:t>
      </w:r>
    </w:p>
    <w:p w14:paraId="456413E8"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13</w:t>
      </w:r>
      <w:r w:rsidRPr="00575CD5">
        <w:rPr>
          <w:rFonts w:ascii="Cambria" w:hAnsi="Cambria"/>
          <w:noProof/>
        </w:rPr>
        <w:tab/>
        <w:t>Becker NG. Minor outbreaks when infectives are homogenous. In: Modeling to Inform Infectious Disease Control. 2015: 7–28.</w:t>
      </w:r>
    </w:p>
    <w:p w14:paraId="2B5C88CB"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14</w:t>
      </w:r>
      <w:r w:rsidRPr="00575CD5">
        <w:rPr>
          <w:rFonts w:ascii="Cambria" w:hAnsi="Cambria"/>
          <w:noProof/>
        </w:rPr>
        <w:tab/>
        <w:t xml:space="preserve">Mott J. The Distribution of the Time-to-Emptiness of a Discrete Dam Under Steady Demand. </w:t>
      </w:r>
      <w:r w:rsidRPr="00575CD5">
        <w:rPr>
          <w:rFonts w:ascii="Cambria" w:hAnsi="Cambria"/>
          <w:i/>
          <w:iCs/>
          <w:noProof/>
        </w:rPr>
        <w:t>J R Stat Soc Ser B</w:t>
      </w:r>
      <w:r w:rsidRPr="00575CD5">
        <w:rPr>
          <w:rFonts w:ascii="Cambria" w:hAnsi="Cambria"/>
          <w:noProof/>
        </w:rPr>
        <w:t xml:space="preserve"> 1963; </w:t>
      </w:r>
      <w:r w:rsidRPr="00575CD5">
        <w:rPr>
          <w:rFonts w:ascii="Cambria" w:hAnsi="Cambria"/>
          <w:b/>
          <w:bCs/>
          <w:noProof/>
        </w:rPr>
        <w:t>25</w:t>
      </w:r>
      <w:r w:rsidRPr="00575CD5">
        <w:rPr>
          <w:rFonts w:ascii="Cambria" w:hAnsi="Cambria"/>
          <w:noProof/>
        </w:rPr>
        <w:t>: 137–9.</w:t>
      </w:r>
    </w:p>
    <w:p w14:paraId="17F8A199"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15</w:t>
      </w:r>
      <w:r w:rsidRPr="00575CD5">
        <w:rPr>
          <w:rFonts w:ascii="Cambria" w:hAnsi="Cambria"/>
          <w:noProof/>
        </w:rPr>
        <w:tab/>
        <w:t xml:space="preserve">Azman AS, Luquero FJ, Ciglenecki I, Grais RF, Sack D a., Lessler J. The Impact of a One-Dose versus Two-Dose Oral Cholera Vaccine Regimen in Outbreak Settings: A Modeling Study. </w:t>
      </w:r>
      <w:r w:rsidRPr="00575CD5">
        <w:rPr>
          <w:rFonts w:ascii="Cambria" w:hAnsi="Cambria"/>
          <w:i/>
          <w:iCs/>
          <w:noProof/>
        </w:rPr>
        <w:t>PLOS Med</w:t>
      </w:r>
      <w:r w:rsidRPr="00575CD5">
        <w:rPr>
          <w:rFonts w:ascii="Cambria" w:hAnsi="Cambria"/>
          <w:noProof/>
        </w:rPr>
        <w:t xml:space="preserve"> 2015; </w:t>
      </w:r>
      <w:r w:rsidRPr="00575CD5">
        <w:rPr>
          <w:rFonts w:ascii="Cambria" w:hAnsi="Cambria"/>
          <w:b/>
          <w:bCs/>
          <w:noProof/>
        </w:rPr>
        <w:t>12</w:t>
      </w:r>
      <w:r w:rsidRPr="00575CD5">
        <w:rPr>
          <w:rFonts w:ascii="Cambria" w:hAnsi="Cambria"/>
          <w:noProof/>
        </w:rPr>
        <w:t>: e1001867.</w:t>
      </w:r>
    </w:p>
    <w:p w14:paraId="385C39DB"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16</w:t>
      </w:r>
      <w:r w:rsidRPr="00575CD5">
        <w:rPr>
          <w:rFonts w:ascii="Cambria" w:hAnsi="Cambria"/>
          <w:noProof/>
        </w:rPr>
        <w:tab/>
        <w:t xml:space="preserve">Weil A a, Khan AI, Chowdhury F, </w:t>
      </w:r>
      <w:r w:rsidRPr="00575CD5">
        <w:rPr>
          <w:rFonts w:ascii="Cambria" w:hAnsi="Cambria"/>
          <w:i/>
          <w:iCs/>
          <w:noProof/>
        </w:rPr>
        <w:t>et al.</w:t>
      </w:r>
      <w:r w:rsidRPr="00575CD5">
        <w:rPr>
          <w:rFonts w:ascii="Cambria" w:hAnsi="Cambria"/>
          <w:noProof/>
        </w:rPr>
        <w:t xml:space="preserve"> Clinical outcomes in household contacts of patients with cholera in Bangladesh. </w:t>
      </w:r>
      <w:r w:rsidRPr="00575CD5">
        <w:rPr>
          <w:rFonts w:ascii="Cambria" w:hAnsi="Cambria"/>
          <w:i/>
          <w:iCs/>
          <w:noProof/>
        </w:rPr>
        <w:t>Clin Infect Dis</w:t>
      </w:r>
      <w:r w:rsidRPr="00575CD5">
        <w:rPr>
          <w:rFonts w:ascii="Cambria" w:hAnsi="Cambria"/>
          <w:noProof/>
        </w:rPr>
        <w:t xml:space="preserve"> 2009; </w:t>
      </w:r>
      <w:r w:rsidRPr="00575CD5">
        <w:rPr>
          <w:rFonts w:ascii="Cambria" w:hAnsi="Cambria"/>
          <w:b/>
          <w:bCs/>
          <w:noProof/>
        </w:rPr>
        <w:t>49</w:t>
      </w:r>
      <w:r w:rsidRPr="00575CD5">
        <w:rPr>
          <w:rFonts w:ascii="Cambria" w:hAnsi="Cambria"/>
          <w:noProof/>
        </w:rPr>
        <w:t>: 1473–9.</w:t>
      </w:r>
    </w:p>
    <w:p w14:paraId="45246724"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17</w:t>
      </w:r>
      <w:r w:rsidRPr="00575CD5">
        <w:rPr>
          <w:rFonts w:ascii="Cambria" w:hAnsi="Cambria"/>
          <w:noProof/>
        </w:rPr>
        <w:tab/>
        <w:t xml:space="preserve">Moore S, Lessler J. Optimal allocation of the limited oral cholera vaccine supply between endemic and epidemic settings. </w:t>
      </w:r>
      <w:r w:rsidRPr="00575CD5">
        <w:rPr>
          <w:rFonts w:ascii="Cambria" w:hAnsi="Cambria"/>
          <w:i/>
          <w:iCs/>
          <w:noProof/>
        </w:rPr>
        <w:t>J R Soc …</w:t>
      </w:r>
      <w:r w:rsidRPr="00575CD5">
        <w:rPr>
          <w:rFonts w:ascii="Cambria" w:hAnsi="Cambria"/>
          <w:noProof/>
        </w:rPr>
        <w:t xml:space="preserve"> 2015. http://rsif.royalsocietypublishing.org/content/12/111/20150703 (accessed Oct 3, 2015).</w:t>
      </w:r>
    </w:p>
    <w:p w14:paraId="2095AF17"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18</w:t>
      </w:r>
      <w:r w:rsidRPr="00575CD5">
        <w:rPr>
          <w:rFonts w:ascii="Cambria" w:hAnsi="Cambria"/>
          <w:noProof/>
        </w:rPr>
        <w:tab/>
        <w:t xml:space="preserve">Bhattacharya SK, Sur D, Ali M, </w:t>
      </w:r>
      <w:r w:rsidRPr="00575CD5">
        <w:rPr>
          <w:rFonts w:ascii="Cambria" w:hAnsi="Cambria"/>
          <w:i/>
          <w:iCs/>
          <w:noProof/>
        </w:rPr>
        <w:t>et al.</w:t>
      </w:r>
      <w:r w:rsidRPr="00575CD5">
        <w:rPr>
          <w:rFonts w:ascii="Cambria" w:hAnsi="Cambria"/>
          <w:noProof/>
        </w:rPr>
        <w:t xml:space="preserve"> 5 year efficacy of a bivalent killed whole-cell oral cholera vaccine in Kolkata, India: a cluster-randomised, double-blind, placebo-controlled trial. </w:t>
      </w:r>
      <w:r w:rsidRPr="00575CD5">
        <w:rPr>
          <w:rFonts w:ascii="Cambria" w:hAnsi="Cambria"/>
          <w:i/>
          <w:iCs/>
          <w:noProof/>
        </w:rPr>
        <w:t>Lancet Infect Dis</w:t>
      </w:r>
      <w:r w:rsidRPr="00575CD5">
        <w:rPr>
          <w:rFonts w:ascii="Cambria" w:hAnsi="Cambria"/>
          <w:noProof/>
        </w:rPr>
        <w:t xml:space="preserve"> 2013; </w:t>
      </w:r>
      <w:r w:rsidRPr="00575CD5">
        <w:rPr>
          <w:rFonts w:ascii="Cambria" w:hAnsi="Cambria"/>
          <w:b/>
          <w:bCs/>
          <w:noProof/>
        </w:rPr>
        <w:t>13</w:t>
      </w:r>
      <w:r w:rsidRPr="00575CD5">
        <w:rPr>
          <w:rFonts w:ascii="Cambria" w:hAnsi="Cambria"/>
          <w:noProof/>
        </w:rPr>
        <w:t>: 1050–6.</w:t>
      </w:r>
    </w:p>
    <w:p w14:paraId="296AC51F"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19</w:t>
      </w:r>
      <w:r w:rsidRPr="00575CD5">
        <w:rPr>
          <w:rFonts w:ascii="Cambria" w:hAnsi="Cambria"/>
          <w:noProof/>
        </w:rPr>
        <w:tab/>
        <w:t xml:space="preserve">Van Loon FPL, Clemens JD, Chakraborty J, </w:t>
      </w:r>
      <w:r w:rsidRPr="00575CD5">
        <w:rPr>
          <w:rFonts w:ascii="Cambria" w:hAnsi="Cambria"/>
          <w:i/>
          <w:iCs/>
          <w:noProof/>
        </w:rPr>
        <w:t>et al.</w:t>
      </w:r>
      <w:r w:rsidRPr="00575CD5">
        <w:rPr>
          <w:rFonts w:ascii="Cambria" w:hAnsi="Cambria"/>
          <w:noProof/>
        </w:rPr>
        <w:t xml:space="preserve"> Field trial of inactivated oral cholera vaccines in Bangladesh: Results from 5 years of follow-up. </w:t>
      </w:r>
      <w:r w:rsidRPr="00575CD5">
        <w:rPr>
          <w:rFonts w:ascii="Cambria" w:hAnsi="Cambria"/>
          <w:i/>
          <w:iCs/>
          <w:noProof/>
        </w:rPr>
        <w:t>Vaccine</w:t>
      </w:r>
      <w:r w:rsidRPr="00575CD5">
        <w:rPr>
          <w:rFonts w:ascii="Cambria" w:hAnsi="Cambria"/>
          <w:noProof/>
        </w:rPr>
        <w:t xml:space="preserve"> 1996; </w:t>
      </w:r>
      <w:r w:rsidRPr="00575CD5">
        <w:rPr>
          <w:rFonts w:ascii="Cambria" w:hAnsi="Cambria"/>
          <w:b/>
          <w:bCs/>
          <w:noProof/>
        </w:rPr>
        <w:t>14</w:t>
      </w:r>
      <w:r w:rsidRPr="00575CD5">
        <w:rPr>
          <w:rFonts w:ascii="Cambria" w:hAnsi="Cambria"/>
          <w:noProof/>
        </w:rPr>
        <w:t>: 162–6.</w:t>
      </w:r>
    </w:p>
    <w:p w14:paraId="0018FFD8"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20</w:t>
      </w:r>
      <w:r w:rsidRPr="00575CD5">
        <w:rPr>
          <w:rFonts w:ascii="Cambria" w:hAnsi="Cambria"/>
          <w:noProof/>
        </w:rPr>
        <w:tab/>
        <w:t xml:space="preserve">Fox JP, Elveback L, Scott W, Gatewood L, Ackerman E. Herd Immunity: Basic Concept and Relevance To Public Health Immunization Practices. </w:t>
      </w:r>
      <w:r w:rsidRPr="00575CD5">
        <w:rPr>
          <w:rFonts w:ascii="Cambria" w:hAnsi="Cambria"/>
          <w:i/>
          <w:iCs/>
          <w:noProof/>
        </w:rPr>
        <w:t>Am J Epidemiol</w:t>
      </w:r>
      <w:r w:rsidRPr="00575CD5">
        <w:rPr>
          <w:rFonts w:ascii="Cambria" w:hAnsi="Cambria"/>
          <w:noProof/>
        </w:rPr>
        <w:t xml:space="preserve"> 1971; </w:t>
      </w:r>
      <w:r w:rsidRPr="00575CD5">
        <w:rPr>
          <w:rFonts w:ascii="Cambria" w:hAnsi="Cambria"/>
          <w:b/>
          <w:bCs/>
          <w:noProof/>
        </w:rPr>
        <w:t>94</w:t>
      </w:r>
      <w:r w:rsidRPr="00575CD5">
        <w:rPr>
          <w:rFonts w:ascii="Cambria" w:hAnsi="Cambria"/>
          <w:noProof/>
        </w:rPr>
        <w:t xml:space="preserve">: </w:t>
      </w:r>
      <w:r w:rsidRPr="00575CD5">
        <w:rPr>
          <w:rFonts w:ascii="Cambria" w:hAnsi="Cambria"/>
          <w:noProof/>
        </w:rPr>
        <w:lastRenderedPageBreak/>
        <w:t>187–97.</w:t>
      </w:r>
    </w:p>
    <w:p w14:paraId="5A1BC32E"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21</w:t>
      </w:r>
      <w:r w:rsidRPr="00575CD5">
        <w:rPr>
          <w:rFonts w:ascii="Cambria" w:hAnsi="Cambria"/>
          <w:noProof/>
        </w:rPr>
        <w:tab/>
        <w:t xml:space="preserve">Lessler J, Metcalf CJE, Cutts FT, Grenfell BT. Impact on Epidemic Measles of Vaccination Campaigns Triggered by Disease Outbreaks or Serosurveys: A Modeling Study. </w:t>
      </w:r>
      <w:r w:rsidRPr="00575CD5">
        <w:rPr>
          <w:rFonts w:ascii="Cambria" w:hAnsi="Cambria"/>
          <w:i/>
          <w:iCs/>
          <w:noProof/>
        </w:rPr>
        <w:t>PLoS Med</w:t>
      </w:r>
      <w:r w:rsidRPr="00575CD5">
        <w:rPr>
          <w:rFonts w:ascii="Cambria" w:hAnsi="Cambria"/>
          <w:noProof/>
        </w:rPr>
        <w:t xml:space="preserve"> 2016; </w:t>
      </w:r>
      <w:r w:rsidRPr="00575CD5">
        <w:rPr>
          <w:rFonts w:ascii="Cambria" w:hAnsi="Cambria"/>
          <w:b/>
          <w:bCs/>
          <w:noProof/>
        </w:rPr>
        <w:t>13</w:t>
      </w:r>
      <w:r w:rsidRPr="00575CD5">
        <w:rPr>
          <w:rFonts w:ascii="Cambria" w:hAnsi="Cambria"/>
          <w:noProof/>
        </w:rPr>
        <w:t>: e1002144.</w:t>
      </w:r>
    </w:p>
    <w:p w14:paraId="761BA103"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22</w:t>
      </w:r>
      <w:r w:rsidRPr="00575CD5">
        <w:rPr>
          <w:rFonts w:ascii="Cambria" w:hAnsi="Cambria"/>
          <w:noProof/>
        </w:rPr>
        <w:tab/>
        <w:t xml:space="preserve">Azman AS, Lessler J. Reactive vaccination in the presence of disease hotspots. </w:t>
      </w:r>
      <w:r w:rsidRPr="00575CD5">
        <w:rPr>
          <w:rFonts w:ascii="Cambria" w:hAnsi="Cambria"/>
          <w:i/>
          <w:iCs/>
          <w:noProof/>
        </w:rPr>
        <w:t>Proc R Soc B Biol Sci</w:t>
      </w:r>
      <w:r w:rsidRPr="00575CD5">
        <w:rPr>
          <w:rFonts w:ascii="Cambria" w:hAnsi="Cambria"/>
          <w:noProof/>
        </w:rPr>
        <w:t xml:space="preserve"> 2015; </w:t>
      </w:r>
      <w:r w:rsidRPr="00575CD5">
        <w:rPr>
          <w:rFonts w:ascii="Cambria" w:hAnsi="Cambria"/>
          <w:b/>
          <w:bCs/>
          <w:noProof/>
        </w:rPr>
        <w:t>282</w:t>
      </w:r>
      <w:r w:rsidRPr="00575CD5">
        <w:rPr>
          <w:rFonts w:ascii="Cambria" w:hAnsi="Cambria"/>
          <w:noProof/>
        </w:rPr>
        <w:t>: 20141341–20141341.</w:t>
      </w:r>
    </w:p>
    <w:p w14:paraId="1CFCEDBF" w14:textId="77777777" w:rsidR="00575CD5" w:rsidRPr="00575CD5" w:rsidRDefault="00575CD5" w:rsidP="00575CD5">
      <w:pPr>
        <w:widowControl w:val="0"/>
        <w:autoSpaceDE w:val="0"/>
        <w:autoSpaceDN w:val="0"/>
        <w:adjustRightInd w:val="0"/>
        <w:ind w:left="640" w:hanging="640"/>
        <w:rPr>
          <w:rFonts w:ascii="Cambria" w:hAnsi="Cambria"/>
          <w:noProof/>
        </w:rPr>
      </w:pPr>
      <w:r w:rsidRPr="00575CD5">
        <w:rPr>
          <w:rFonts w:ascii="Cambria" w:hAnsi="Cambria"/>
          <w:noProof/>
        </w:rPr>
        <w:t>23</w:t>
      </w:r>
      <w:r w:rsidRPr="00575CD5">
        <w:rPr>
          <w:rFonts w:ascii="Cambria" w:hAnsi="Cambria"/>
          <w:noProof/>
        </w:rPr>
        <w:tab/>
        <w:t xml:space="preserve">Wu JT, Peak CM, Leung GM, Lipsitch M. Fractional dosing of yellow fever vaccine to extend supply: a modelling study. </w:t>
      </w:r>
      <w:r w:rsidRPr="00575CD5">
        <w:rPr>
          <w:rFonts w:ascii="Cambria" w:hAnsi="Cambria"/>
          <w:i/>
          <w:iCs/>
          <w:noProof/>
        </w:rPr>
        <w:t>Lancet</w:t>
      </w:r>
      <w:r w:rsidRPr="00575CD5">
        <w:rPr>
          <w:rFonts w:ascii="Cambria" w:hAnsi="Cambria"/>
          <w:noProof/>
        </w:rPr>
        <w:t xml:space="preserve"> 2016; </w:t>
      </w:r>
      <w:r w:rsidRPr="00575CD5">
        <w:rPr>
          <w:rFonts w:ascii="Cambria" w:hAnsi="Cambria"/>
          <w:b/>
          <w:bCs/>
          <w:noProof/>
        </w:rPr>
        <w:t>6736</w:t>
      </w:r>
      <w:r w:rsidRPr="00575CD5">
        <w:rPr>
          <w:rFonts w:ascii="Cambria" w:hAnsi="Cambria"/>
          <w:noProof/>
        </w:rPr>
        <w:t>: 53421.</w:t>
      </w:r>
    </w:p>
    <w:p w14:paraId="6F3B41A3" w14:textId="5D53843D" w:rsidR="00D77E67" w:rsidRDefault="000A51A6" w:rsidP="00575CD5">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1BA0ABB8" w14:textId="77777777" w:rsidR="00D77E67" w:rsidRDefault="00D77E67" w:rsidP="00D77E67">
      <w:pPr>
        <w:ind w:left="720"/>
      </w:pPr>
    </w:p>
    <w:p w14:paraId="47A1C8BA" w14:textId="2CAF0E0D" w:rsidR="0077266E" w:rsidRDefault="0077266E" w:rsidP="0077266E">
      <w:r>
        <w:t xml:space="preserve">{ Preliminary: </w:t>
      </w:r>
    </w:p>
    <w:p w14:paraId="32E7B8B3" w14:textId="6A9FDB2C" w:rsidR="00D77E67" w:rsidRDefault="00D77E67" w:rsidP="0077266E">
      <w:pPr>
        <w:ind w:left="720"/>
      </w:pPr>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57407319" w14:textId="24F125E3" w:rsidR="00D552F7" w:rsidRDefault="00D552F7" w:rsidP="0077266E">
      <w:pPr>
        <w:ind w:left="720"/>
        <w:rPr>
          <w:b/>
        </w:rPr>
      </w:pPr>
    </w:p>
    <w:p w14:paraId="7ED8BC3F" w14:textId="2C44CC0E" w:rsidR="00754E2D" w:rsidRPr="001850C4" w:rsidRDefault="00754E2D" w:rsidP="0077266E">
      <w:pPr>
        <w:ind w:left="720"/>
      </w:pPr>
      <w:r>
        <w:t>Our primary results assume a “leaky” vaccine mode of action, but analysis using an “all or none” mode of action was repeated using a time-invariant VE estimate and creating paths from each vaccine compartment back to the S compartment so that the duration of time in the V</w:t>
      </w:r>
      <w:r>
        <w:softHyphen/>
      </w:r>
      <w:r>
        <w:rPr>
          <w:vertAlign w:val="subscript"/>
        </w:rPr>
        <w:t>n</w:t>
      </w:r>
      <w:r>
        <w:t xml:space="preserve"> ensemble is variable (????).</w:t>
      </w:r>
      <w:r w:rsidR="0077266E">
        <w:t xml:space="preserve"> </w:t>
      </w:r>
      <w:r>
        <w:t>In summary, the results presented in the main text were robust to the assumed mode of vaccine action.</w:t>
      </w:r>
    </w:p>
    <w:p w14:paraId="0850F5C4" w14:textId="3D68F701" w:rsidR="00D77E67" w:rsidRDefault="00D77E67" w:rsidP="0077266E">
      <w:pPr>
        <w:ind w:left="720"/>
        <w:rPr>
          <w:b/>
        </w:rPr>
      </w:pPr>
    </w:p>
    <w:p w14:paraId="1AC6E964" w14:textId="77777777" w:rsidR="00754E2D" w:rsidRDefault="00754E2D" w:rsidP="0077266E">
      <w:pPr>
        <w:ind w:left="720"/>
      </w:pPr>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50ADE887" w14:textId="53F8214B" w:rsidR="0077266E" w:rsidRDefault="0077266E" w:rsidP="0077266E">
      <w:r>
        <w:t>}</w:t>
      </w:r>
    </w:p>
    <w:p w14:paraId="376B8A44" w14:textId="77777777" w:rsidR="00055B77" w:rsidRDefault="00055B77" w:rsidP="00754E2D"/>
    <w:p w14:paraId="08FA7EE1" w14:textId="05696261" w:rsidR="00055B77" w:rsidRPr="00055B77" w:rsidRDefault="00055B77" w:rsidP="00754E2D">
      <w:r>
        <w:rPr>
          <w:b/>
        </w:rPr>
        <w:t xml:space="preserve">Supplemental Figure AA. </w:t>
      </w:r>
      <w:r w:rsidRPr="00700D43">
        <w:rPr>
          <w:b/>
        </w:rPr>
        <w:t>Changes in the proportion of the population susceptible (X(t)) as a function of years since vaccination</w:t>
      </w:r>
      <w:r>
        <w:rPr>
          <w:b/>
        </w:rPr>
        <w:t>.</w:t>
      </w:r>
      <w:r>
        <w:t xml:space="preserve"> As per Figure </w:t>
      </w:r>
      <w:r w:rsidR="005D6069">
        <w:t>AA</w:t>
      </w:r>
      <w:r>
        <w:t xml:space="preserve">, but </w:t>
      </w:r>
      <w:r w:rsidR="00FE5066">
        <w:t>with the addition of high birth/death rates (1/40 years) and the BS-Whole Cell vaccine profile.</w:t>
      </w:r>
    </w:p>
    <w:p w14:paraId="0B88654A" w14:textId="77777777" w:rsidR="00754E2D" w:rsidRDefault="00754E2D" w:rsidP="00F038DC">
      <w:pPr>
        <w:rPr>
          <w:b/>
        </w:rPr>
      </w:pPr>
    </w:p>
    <w:p w14:paraId="16F47C05" w14:textId="0C8E9B28" w:rsidR="006173F9" w:rsidRDefault="005D6069" w:rsidP="006173F9">
      <w:r>
        <w:rPr>
          <w:b/>
        </w:rPr>
        <w:t>Supplemental Figure BB</w:t>
      </w:r>
      <w:r w:rsidR="006173F9">
        <w:rPr>
          <w:b/>
        </w:rPr>
        <w:t>. Changes in the probability of an outbreak as a function of years since vaccination</w:t>
      </w:r>
      <w:r>
        <w:t>. As per Figure BB including the WS-BC vaccine profile</w:t>
      </w:r>
      <w:r w:rsidR="006173F9">
        <w:t>.</w:t>
      </w:r>
    </w:p>
    <w:p w14:paraId="3929A56A" w14:textId="77777777" w:rsidR="005D6069" w:rsidRDefault="005D6069" w:rsidP="006173F9"/>
    <w:p w14:paraId="13E965AB" w14:textId="15233F46" w:rsidR="005D6069" w:rsidRPr="005D6069" w:rsidRDefault="005D6069" w:rsidP="006173F9">
      <w:r>
        <w:rPr>
          <w:b/>
        </w:rPr>
        <w:t>Supplemental Figure DD</w:t>
      </w:r>
      <w:r>
        <w:t>.</w:t>
      </w:r>
      <w:r w:rsidR="00E10120">
        <w:t xml:space="preserve"> </w:t>
      </w:r>
      <w:r w:rsidR="00E10120">
        <w:rPr>
          <w:b/>
        </w:rPr>
        <w:t>Vaccine targeting optimized in settings with intermediate rates of migration</w:t>
      </w:r>
      <w:r w:rsidR="00E10120">
        <w:rPr>
          <w:b/>
        </w:rPr>
        <w:t xml:space="preserve">. </w:t>
      </w:r>
      <w:r w:rsidR="00E10120">
        <w:t>As per Figure DD, except for a perfect vaccine (VE=1 indefinitely).</w:t>
      </w:r>
      <w:bookmarkStart w:id="0" w:name="_GoBack"/>
      <w:bookmarkEnd w:id="0"/>
    </w:p>
    <w:p w14:paraId="213DDF6A" w14:textId="77777777" w:rsidR="006173F9" w:rsidRDefault="006173F9" w:rsidP="00F038DC">
      <w:pPr>
        <w:rPr>
          <w:b/>
        </w:rPr>
      </w:pPr>
    </w:p>
    <w:p w14:paraId="1F66DE70" w14:textId="77777777" w:rsidR="006173F9" w:rsidRPr="004203D1" w:rsidRDefault="006173F9" w:rsidP="006173F9">
      <w:r>
        <w:rPr>
          <w:b/>
        </w:rPr>
        <w:t>Supplemental Figure VC</w:t>
      </w:r>
      <w:r>
        <w:t>.</w:t>
      </w:r>
      <w:r>
        <w:rPr>
          <w:b/>
        </w:rPr>
        <w:t xml:space="preserve"> Duration of Herd Immunity (DHI) as a function of vaccine coverage and basic reproductive number.</w:t>
      </w:r>
      <w:r>
        <w:t xml:space="preserve"> 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w:t>
      </w:r>
    </w:p>
    <w:p w14:paraId="03BBD42D" w14:textId="77777777" w:rsidR="006173F9" w:rsidRPr="00D77E67" w:rsidRDefault="006173F9" w:rsidP="00F038DC">
      <w:pPr>
        <w:rPr>
          <w:b/>
        </w:rPr>
      </w:pPr>
    </w:p>
    <w:sectPr w:rsidR="006173F9" w:rsidRPr="00D77E67" w:rsidSect="0033354D">
      <w:footerReference w:type="even" r:id="rId12"/>
      <w:footerReference w:type="default" r:id="rId13"/>
      <w:pgSz w:w="12240" w:h="15840"/>
      <w:pgMar w:top="1440" w:right="1440" w:bottom="1440" w:left="1440" w:header="720" w:footer="720" w:gutter="0"/>
      <w:lnNumType w:countBy="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90C55" w15:done="0"/>
  <w15:commentEx w15:paraId="62B7D79F" w15:done="0"/>
  <w15:commentEx w15:paraId="6D6C759A" w15:done="0"/>
  <w15:commentEx w15:paraId="6E1AC469" w15:done="0"/>
  <w15:commentEx w15:paraId="5344B31F" w15:done="0"/>
  <w15:commentEx w15:paraId="555BFD24" w15:done="0"/>
  <w15:commentEx w15:paraId="39A2F5C8" w15:done="0"/>
  <w15:commentEx w15:paraId="590B7338" w15:done="0"/>
  <w15:commentEx w15:paraId="60CD9C3A" w15:done="0"/>
  <w15:commentEx w15:paraId="66469A45" w15:done="0"/>
  <w15:commentEx w15:paraId="25552CA4" w15:done="0"/>
  <w15:commentEx w15:paraId="4B324C12" w15:done="0"/>
  <w15:commentEx w15:paraId="54DFF85C" w15:done="0"/>
  <w15:commentEx w15:paraId="4BFAC228" w15:done="0"/>
  <w15:commentEx w15:paraId="48A16A73" w15:done="0"/>
  <w15:commentEx w15:paraId="12A35662" w15:done="0"/>
  <w15:commentEx w15:paraId="5C5E413B" w15:done="0"/>
  <w15:commentEx w15:paraId="30BFD9FD" w15:done="0"/>
  <w15:commentEx w15:paraId="7A7A4068" w15:done="0"/>
  <w15:commentEx w15:paraId="20ABE2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EDABA" w14:textId="77777777" w:rsidR="00D5161A" w:rsidRDefault="00D5161A" w:rsidP="001850C4">
      <w:r>
        <w:separator/>
      </w:r>
    </w:p>
  </w:endnote>
  <w:endnote w:type="continuationSeparator" w:id="0">
    <w:p w14:paraId="1E887071" w14:textId="77777777" w:rsidR="00D5161A" w:rsidRDefault="00D5161A"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D5161A" w:rsidRDefault="00D5161A"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D5161A" w:rsidRDefault="00D5161A"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349D747E" w:rsidR="00D5161A" w:rsidRDefault="00D5161A"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3BF3">
      <w:rPr>
        <w:rStyle w:val="PageNumber"/>
        <w:noProof/>
      </w:rPr>
      <w:t>14</w:t>
    </w:r>
    <w:r>
      <w:rPr>
        <w:rStyle w:val="PageNumber"/>
      </w:rPr>
      <w:fldChar w:fldCharType="end"/>
    </w:r>
  </w:p>
  <w:p w14:paraId="08A4DC5F" w14:textId="77777777" w:rsidR="00D5161A" w:rsidRDefault="00D5161A"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788BC" w14:textId="77777777" w:rsidR="00D5161A" w:rsidRDefault="00D5161A" w:rsidP="001850C4">
      <w:r>
        <w:separator/>
      </w:r>
    </w:p>
  </w:footnote>
  <w:footnote w:type="continuationSeparator" w:id="0">
    <w:p w14:paraId="58BAF1B2" w14:textId="77777777" w:rsidR="00D5161A" w:rsidRDefault="00D5161A" w:rsidP="001850C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Reilly">
    <w15:presenceInfo w15:providerId="Windows Live" w15:userId="70a7013732180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06508"/>
    <w:rsid w:val="00014111"/>
    <w:rsid w:val="0001538B"/>
    <w:rsid w:val="00023E37"/>
    <w:rsid w:val="00033542"/>
    <w:rsid w:val="0003435B"/>
    <w:rsid w:val="00044C95"/>
    <w:rsid w:val="00046565"/>
    <w:rsid w:val="00055B77"/>
    <w:rsid w:val="000626DE"/>
    <w:rsid w:val="000630EB"/>
    <w:rsid w:val="00077B6C"/>
    <w:rsid w:val="00092D82"/>
    <w:rsid w:val="00097E51"/>
    <w:rsid w:val="000A06E9"/>
    <w:rsid w:val="000A51A6"/>
    <w:rsid w:val="000D43E0"/>
    <w:rsid w:val="000D703C"/>
    <w:rsid w:val="000E5266"/>
    <w:rsid w:val="000E5D49"/>
    <w:rsid w:val="000E73B9"/>
    <w:rsid w:val="000E7967"/>
    <w:rsid w:val="00101669"/>
    <w:rsid w:val="00103784"/>
    <w:rsid w:val="00135EB3"/>
    <w:rsid w:val="00142B0A"/>
    <w:rsid w:val="001602F5"/>
    <w:rsid w:val="0016567C"/>
    <w:rsid w:val="0017181D"/>
    <w:rsid w:val="00173AD3"/>
    <w:rsid w:val="00183BEB"/>
    <w:rsid w:val="001850C4"/>
    <w:rsid w:val="00194DF1"/>
    <w:rsid w:val="001A3E37"/>
    <w:rsid w:val="001B4288"/>
    <w:rsid w:val="001D4990"/>
    <w:rsid w:val="001E0C33"/>
    <w:rsid w:val="001E7E1A"/>
    <w:rsid w:val="001F435D"/>
    <w:rsid w:val="00202A22"/>
    <w:rsid w:val="00212835"/>
    <w:rsid w:val="002222F4"/>
    <w:rsid w:val="002347AA"/>
    <w:rsid w:val="00246BDD"/>
    <w:rsid w:val="0026554C"/>
    <w:rsid w:val="0028276D"/>
    <w:rsid w:val="00287B54"/>
    <w:rsid w:val="00290EDB"/>
    <w:rsid w:val="002A1306"/>
    <w:rsid w:val="002B3E01"/>
    <w:rsid w:val="002B44C8"/>
    <w:rsid w:val="002C24BA"/>
    <w:rsid w:val="002C409D"/>
    <w:rsid w:val="002E6C5E"/>
    <w:rsid w:val="002E6F64"/>
    <w:rsid w:val="002F0050"/>
    <w:rsid w:val="002F22F3"/>
    <w:rsid w:val="002F2F2F"/>
    <w:rsid w:val="00321F30"/>
    <w:rsid w:val="0033354D"/>
    <w:rsid w:val="00334DB8"/>
    <w:rsid w:val="00334E92"/>
    <w:rsid w:val="0034238E"/>
    <w:rsid w:val="003542BB"/>
    <w:rsid w:val="003956CB"/>
    <w:rsid w:val="003B3505"/>
    <w:rsid w:val="003D3BBD"/>
    <w:rsid w:val="003E13B5"/>
    <w:rsid w:val="0040245D"/>
    <w:rsid w:val="0040551F"/>
    <w:rsid w:val="00410998"/>
    <w:rsid w:val="00410A03"/>
    <w:rsid w:val="00413510"/>
    <w:rsid w:val="004203D1"/>
    <w:rsid w:val="0042502C"/>
    <w:rsid w:val="00437A54"/>
    <w:rsid w:val="00456D57"/>
    <w:rsid w:val="00463D05"/>
    <w:rsid w:val="004711D7"/>
    <w:rsid w:val="004737E0"/>
    <w:rsid w:val="00493178"/>
    <w:rsid w:val="004F4FF7"/>
    <w:rsid w:val="004F60A8"/>
    <w:rsid w:val="004F662A"/>
    <w:rsid w:val="004F7D02"/>
    <w:rsid w:val="00501B43"/>
    <w:rsid w:val="00503E17"/>
    <w:rsid w:val="00516F76"/>
    <w:rsid w:val="00517478"/>
    <w:rsid w:val="00527DCB"/>
    <w:rsid w:val="00532C52"/>
    <w:rsid w:val="005367F3"/>
    <w:rsid w:val="00537BAE"/>
    <w:rsid w:val="00541512"/>
    <w:rsid w:val="0054259D"/>
    <w:rsid w:val="00545E7A"/>
    <w:rsid w:val="00546529"/>
    <w:rsid w:val="00551453"/>
    <w:rsid w:val="00561BAD"/>
    <w:rsid w:val="00564BE0"/>
    <w:rsid w:val="00575CD5"/>
    <w:rsid w:val="00586F75"/>
    <w:rsid w:val="00596D3C"/>
    <w:rsid w:val="005A7770"/>
    <w:rsid w:val="005B3DD3"/>
    <w:rsid w:val="005C033C"/>
    <w:rsid w:val="005C0BCB"/>
    <w:rsid w:val="005C0C25"/>
    <w:rsid w:val="005C7B32"/>
    <w:rsid w:val="005D6069"/>
    <w:rsid w:val="005E298F"/>
    <w:rsid w:val="005E48B4"/>
    <w:rsid w:val="005E6674"/>
    <w:rsid w:val="00611687"/>
    <w:rsid w:val="006118CA"/>
    <w:rsid w:val="0061359D"/>
    <w:rsid w:val="00613778"/>
    <w:rsid w:val="00613B08"/>
    <w:rsid w:val="0061434F"/>
    <w:rsid w:val="006173F9"/>
    <w:rsid w:val="00647480"/>
    <w:rsid w:val="0065101F"/>
    <w:rsid w:val="00665521"/>
    <w:rsid w:val="0069321D"/>
    <w:rsid w:val="00693926"/>
    <w:rsid w:val="006B4B6A"/>
    <w:rsid w:val="006D4CD9"/>
    <w:rsid w:val="006D6B6D"/>
    <w:rsid w:val="006F2CC8"/>
    <w:rsid w:val="006F7535"/>
    <w:rsid w:val="00700D43"/>
    <w:rsid w:val="00702948"/>
    <w:rsid w:val="007059D1"/>
    <w:rsid w:val="0071157B"/>
    <w:rsid w:val="007353D3"/>
    <w:rsid w:val="00742212"/>
    <w:rsid w:val="007520A1"/>
    <w:rsid w:val="00754E2D"/>
    <w:rsid w:val="00755E78"/>
    <w:rsid w:val="0077266E"/>
    <w:rsid w:val="00773DF1"/>
    <w:rsid w:val="008218F0"/>
    <w:rsid w:val="00831DED"/>
    <w:rsid w:val="00837827"/>
    <w:rsid w:val="00841525"/>
    <w:rsid w:val="00874653"/>
    <w:rsid w:val="008861F0"/>
    <w:rsid w:val="00890B56"/>
    <w:rsid w:val="008B07D1"/>
    <w:rsid w:val="008B1462"/>
    <w:rsid w:val="008B1E11"/>
    <w:rsid w:val="008C2A63"/>
    <w:rsid w:val="008C332F"/>
    <w:rsid w:val="008D533B"/>
    <w:rsid w:val="00933BF3"/>
    <w:rsid w:val="0094157E"/>
    <w:rsid w:val="009549C9"/>
    <w:rsid w:val="0096229A"/>
    <w:rsid w:val="00982F70"/>
    <w:rsid w:val="009863E5"/>
    <w:rsid w:val="009A3CE6"/>
    <w:rsid w:val="009D2EF0"/>
    <w:rsid w:val="009D356C"/>
    <w:rsid w:val="009E526A"/>
    <w:rsid w:val="009F48AA"/>
    <w:rsid w:val="00A065FB"/>
    <w:rsid w:val="00A11F23"/>
    <w:rsid w:val="00A12181"/>
    <w:rsid w:val="00A12927"/>
    <w:rsid w:val="00A13B26"/>
    <w:rsid w:val="00A16E22"/>
    <w:rsid w:val="00A22B93"/>
    <w:rsid w:val="00A33106"/>
    <w:rsid w:val="00A50D8B"/>
    <w:rsid w:val="00A57411"/>
    <w:rsid w:val="00A61C71"/>
    <w:rsid w:val="00A72B69"/>
    <w:rsid w:val="00A76FDB"/>
    <w:rsid w:val="00AD2DC7"/>
    <w:rsid w:val="00AD63AF"/>
    <w:rsid w:val="00AE249C"/>
    <w:rsid w:val="00AF22DD"/>
    <w:rsid w:val="00B23DD8"/>
    <w:rsid w:val="00B259C1"/>
    <w:rsid w:val="00B41222"/>
    <w:rsid w:val="00B611B1"/>
    <w:rsid w:val="00B61F25"/>
    <w:rsid w:val="00B62E25"/>
    <w:rsid w:val="00B862CB"/>
    <w:rsid w:val="00B92EF6"/>
    <w:rsid w:val="00BA6E7B"/>
    <w:rsid w:val="00BB6260"/>
    <w:rsid w:val="00BC1235"/>
    <w:rsid w:val="00BC2050"/>
    <w:rsid w:val="00BC7511"/>
    <w:rsid w:val="00BE11BA"/>
    <w:rsid w:val="00BE4FAD"/>
    <w:rsid w:val="00BE6A6A"/>
    <w:rsid w:val="00C023C4"/>
    <w:rsid w:val="00C032C9"/>
    <w:rsid w:val="00C04090"/>
    <w:rsid w:val="00C041CB"/>
    <w:rsid w:val="00C07693"/>
    <w:rsid w:val="00C23884"/>
    <w:rsid w:val="00C345A8"/>
    <w:rsid w:val="00C346FB"/>
    <w:rsid w:val="00C42528"/>
    <w:rsid w:val="00C45E9F"/>
    <w:rsid w:val="00C51EE8"/>
    <w:rsid w:val="00C657FD"/>
    <w:rsid w:val="00C8087F"/>
    <w:rsid w:val="00C90B55"/>
    <w:rsid w:val="00C92837"/>
    <w:rsid w:val="00C93ED8"/>
    <w:rsid w:val="00C9645E"/>
    <w:rsid w:val="00CB0E9D"/>
    <w:rsid w:val="00CF00A4"/>
    <w:rsid w:val="00CF37BB"/>
    <w:rsid w:val="00CF47B8"/>
    <w:rsid w:val="00D17AC2"/>
    <w:rsid w:val="00D32E9A"/>
    <w:rsid w:val="00D33102"/>
    <w:rsid w:val="00D5161A"/>
    <w:rsid w:val="00D552A1"/>
    <w:rsid w:val="00D552F7"/>
    <w:rsid w:val="00D72DDD"/>
    <w:rsid w:val="00D74EBF"/>
    <w:rsid w:val="00D77E67"/>
    <w:rsid w:val="00D8164E"/>
    <w:rsid w:val="00D82C50"/>
    <w:rsid w:val="00DB4165"/>
    <w:rsid w:val="00DB4852"/>
    <w:rsid w:val="00DB674F"/>
    <w:rsid w:val="00DC2C74"/>
    <w:rsid w:val="00DC6A61"/>
    <w:rsid w:val="00DD0BE4"/>
    <w:rsid w:val="00DE34FB"/>
    <w:rsid w:val="00E0256B"/>
    <w:rsid w:val="00E10120"/>
    <w:rsid w:val="00E3037F"/>
    <w:rsid w:val="00E355A3"/>
    <w:rsid w:val="00E45923"/>
    <w:rsid w:val="00E45C5B"/>
    <w:rsid w:val="00E64649"/>
    <w:rsid w:val="00E86EA7"/>
    <w:rsid w:val="00E87CB3"/>
    <w:rsid w:val="00EB221D"/>
    <w:rsid w:val="00EC7A20"/>
    <w:rsid w:val="00EF7D04"/>
    <w:rsid w:val="00F0071E"/>
    <w:rsid w:val="00F038DC"/>
    <w:rsid w:val="00F145A7"/>
    <w:rsid w:val="00F423C7"/>
    <w:rsid w:val="00F537E7"/>
    <w:rsid w:val="00F539C6"/>
    <w:rsid w:val="00F83CD8"/>
    <w:rsid w:val="00FA4C65"/>
    <w:rsid w:val="00FA75B1"/>
    <w:rsid w:val="00FB25E1"/>
    <w:rsid w:val="00FE5066"/>
    <w:rsid w:val="00FE63D9"/>
    <w:rsid w:val="00FF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reypeak.shinyapps.io/herd_protection_estimator/"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reypeak.shinyapps.io/herd_protection_estimator/" TargetMode="External"/><Relationship Id="rId9" Type="http://schemas.openxmlformats.org/officeDocument/2006/relationships/hyperlink" Target="https://github.com/peakcm/cholera" TargetMode="External"/><Relationship Id="rId10" Type="http://schemas.openxmlformats.org/officeDocument/2006/relationships/hyperlink" Target="http://www.iomsouthsudan.org/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4593A-6AA0-524E-883C-CCE3FD773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14</Pages>
  <Words>16317</Words>
  <Characters>93008</Characters>
  <Application>Microsoft Macintosh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10</cp:revision>
  <cp:lastPrinted>2016-10-19T21:00:00Z</cp:lastPrinted>
  <dcterms:created xsi:type="dcterms:W3CDTF">2016-12-03T12:56:00Z</dcterms:created>
  <dcterms:modified xsi:type="dcterms:W3CDTF">2016-12-05T22:14:00Z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ies>
</file>