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311A9B86" w:rsidR="00E45923" w:rsidRPr="00E45923" w:rsidRDefault="00E45923">
      <w:pPr>
        <w:rPr>
          <w:b/>
        </w:rPr>
      </w:pPr>
      <w:r w:rsidRPr="00E45923">
        <w:rPr>
          <w:b/>
        </w:rPr>
        <w:t>Title</w:t>
      </w:r>
      <w:r w:rsidR="0076479C">
        <w:rPr>
          <w:b/>
        </w:rPr>
        <w:t xml:space="preserve"> A</w:t>
      </w:r>
      <w:r w:rsidRPr="00E45923">
        <w:rPr>
          <w:b/>
        </w:rPr>
        <w:t xml:space="preserve">: </w:t>
      </w:r>
    </w:p>
    <w:p w14:paraId="61C26025" w14:textId="10555512" w:rsidR="002E1A5F" w:rsidRDefault="00D314D4" w:rsidP="002E1A5F">
      <w:pPr>
        <w:rPr>
          <w:sz w:val="32"/>
          <w:szCs w:val="32"/>
        </w:rPr>
      </w:pPr>
      <w:r w:rsidRPr="00B215BD">
        <w:rPr>
          <w:rStyle w:val="CommentReference"/>
          <w:sz w:val="32"/>
          <w:szCs w:val="32"/>
        </w:rPr>
        <w:annotationRef/>
      </w:r>
      <w:r w:rsidR="00F33301">
        <w:rPr>
          <w:sz w:val="32"/>
          <w:szCs w:val="32"/>
        </w:rPr>
        <w:t>T</w:t>
      </w:r>
      <w:r w:rsidRPr="00B215BD">
        <w:rPr>
          <w:sz w:val="32"/>
          <w:szCs w:val="32"/>
        </w:rPr>
        <w:t>he Impact of Human Mobility and Imperfect Vaccines on Waning Herd Immunity</w:t>
      </w:r>
      <w:r w:rsidR="00F33301">
        <w:rPr>
          <w:sz w:val="32"/>
          <w:szCs w:val="32"/>
        </w:rPr>
        <w:t xml:space="preserve"> to Cholera</w:t>
      </w:r>
    </w:p>
    <w:p w14:paraId="6757A697" w14:textId="77777777" w:rsidR="0076479C" w:rsidRDefault="0076479C" w:rsidP="002E1A5F">
      <w:pPr>
        <w:rPr>
          <w:b/>
        </w:rPr>
      </w:pPr>
    </w:p>
    <w:p w14:paraId="75351D0F" w14:textId="349205B0" w:rsidR="00F33301" w:rsidRDefault="00F33301" w:rsidP="002E1A5F">
      <w:pPr>
        <w:rPr>
          <w:b/>
        </w:rPr>
      </w:pPr>
      <w:r w:rsidRPr="00E45923">
        <w:rPr>
          <w:b/>
        </w:rPr>
        <w:t>Title</w:t>
      </w:r>
      <w:r>
        <w:rPr>
          <w:b/>
        </w:rPr>
        <w:t xml:space="preserve"> B</w:t>
      </w:r>
      <w:r w:rsidRPr="00E45923">
        <w:rPr>
          <w:b/>
        </w:rPr>
        <w:t xml:space="preserve">: </w:t>
      </w:r>
    </w:p>
    <w:p w14:paraId="1785E4D9" w14:textId="02C464D3"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del w:id="0" w:author="Corey Peak" w:date="2017-02-03T07:37:00Z">
        <w:r w:rsidRPr="007C7CCC" w:rsidDel="00F33301">
          <w:rPr>
            <w:sz w:val="32"/>
            <w:szCs w:val="32"/>
          </w:rPr>
          <w:delText xml:space="preserve">waning </w:delText>
        </w:r>
      </w:del>
      <w:del w:id="1" w:author="Corey Peak" w:date="2017-02-03T07:36:00Z">
        <w:r w:rsidRPr="007C7CCC" w:rsidDel="00F33301">
          <w:rPr>
            <w:sz w:val="32"/>
            <w:szCs w:val="32"/>
          </w:rPr>
          <w:delText xml:space="preserve">immunity  </w:delText>
        </w:r>
      </w:del>
      <w:ins w:id="2" w:author="Corey Peak" w:date="2017-02-03T07:37:00Z">
        <w:r w:rsidR="007C7CCC">
          <w:rPr>
            <w:sz w:val="32"/>
            <w:szCs w:val="32"/>
          </w:rPr>
          <w:t>V</w:t>
        </w:r>
        <w:r w:rsidR="00F33301" w:rsidRPr="007C7CCC">
          <w:rPr>
            <w:sz w:val="32"/>
            <w:szCs w:val="32"/>
          </w:rPr>
          <w:t xml:space="preserve">accine </w:t>
        </w:r>
      </w:ins>
      <w:ins w:id="3" w:author="Corey Peak" w:date="2017-02-03T09:41:00Z">
        <w:r w:rsidR="007C7CCC">
          <w:rPr>
            <w:sz w:val="32"/>
            <w:szCs w:val="32"/>
          </w:rPr>
          <w:t>W</w:t>
        </w:r>
      </w:ins>
      <w:ins w:id="4" w:author="Corey Peak" w:date="2017-02-03T07:37:00Z">
        <w:r w:rsidR="00F33301" w:rsidRPr="007C7CCC">
          <w:rPr>
            <w:sz w:val="32"/>
            <w:szCs w:val="32"/>
          </w:rPr>
          <w:t>aning</w:t>
        </w:r>
      </w:ins>
      <w:ins w:id="5" w:author="Corey Peak" w:date="2017-02-03T07:36:00Z">
        <w:r w:rsidR="00F33301" w:rsidRPr="007C7CCC">
          <w:rPr>
            <w:sz w:val="32"/>
            <w:szCs w:val="32"/>
          </w:rPr>
          <w:t xml:space="preserve">  </w:t>
        </w:r>
      </w:ins>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Department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Human Mobility</w:t>
      </w:r>
    </w:p>
    <w:p w14:paraId="419F9F77" w14:textId="77777777" w:rsidR="00E90A82" w:rsidRDefault="00E90A82" w:rsidP="00B215BD"/>
    <w:p w14:paraId="7578E801" w14:textId="36F0551C" w:rsidR="000E73B9" w:rsidRPr="00E45923" w:rsidRDefault="00E90A82" w:rsidP="00B215BD">
      <w:commentRangeStart w:id="6"/>
      <w:r>
        <w:t>To Do</w:t>
      </w:r>
      <w:commentRangeEnd w:id="6"/>
      <w:r>
        <w:rPr>
          <w:rStyle w:val="CommentReference"/>
        </w:rPr>
        <w:commentReference w:id="6"/>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373E18E9" w:rsidR="00417BC4" w:rsidRDefault="00785CDE" w:rsidP="00FB0C1C">
      <w:r>
        <w:t>Oral cholera v</w:t>
      </w:r>
      <w:r w:rsidR="00B215BD">
        <w:t xml:space="preserve">accination </w:t>
      </w:r>
      <w:r w:rsidR="00B16C77">
        <w:t>is being considered</w:t>
      </w:r>
      <w:r w:rsidR="00995706">
        <w:t xml:space="preserve"> as 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 xml:space="preserve">may be short-lived, rendering the </w:t>
      </w:r>
      <w:r w:rsidR="00AA4A1D">
        <w:t xml:space="preserve">population susceptible to outbreaks in the absence of complementary interventions or revaccination.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693DF7C8" w:rsidR="00417BC4" w:rsidRDefault="00FB0C1C" w:rsidP="00A22B93">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w:t>
      </w:r>
      <w:r w:rsidR="000D19EC">
        <w:t xml:space="preserve">population-level, </w:t>
      </w:r>
      <w:r w:rsidR="00B215BD">
        <w:t xml:space="preserve">herd immunity </w:t>
      </w:r>
      <w:r w:rsidR="0040551F">
        <w:t xml:space="preserve">while birth/death processes have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r w:rsidR="000D19EC">
        <w:t>We analyze</w:t>
      </w:r>
      <w:r w:rsidR="00B17E22">
        <w:t xml:space="preserve">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xml:space="preserve">, </w:t>
      </w:r>
      <w:r w:rsidR="000D19EC">
        <w:t xml:space="preserve">and </w:t>
      </w:r>
      <w:r w:rsidR="00B17E22">
        <w:t xml:space="preserve">estimate </w:t>
      </w:r>
      <w:r w:rsidR="000D19EC">
        <w:t xml:space="preserve">that </w:t>
      </w:r>
      <w:r w:rsidR="00B17E22">
        <w:t>the camp population was</w:t>
      </w:r>
      <w:r w:rsidR="00B4283C">
        <w:t xml:space="preserve"> over</w:t>
      </w:r>
      <w:r w:rsidR="00B17E22">
        <w:t xml:space="preserve"> 80% susceptible </w:t>
      </w:r>
      <w:r w:rsidR="005258AD">
        <w:t>at the beginning of an</w:t>
      </w:r>
      <w:r w:rsidR="00B17E22">
        <w:t xml:space="preserve"> outbr</w:t>
      </w:r>
      <w:r w:rsidR="007F3DC4">
        <w:t>eak</w:t>
      </w:r>
      <w:r w:rsidR="005258AD">
        <w:t>,</w:t>
      </w:r>
      <w:r w:rsidR="000D19EC">
        <w:t xml:space="preserve"> despite two high-coverage vaccination campaigns </w:t>
      </w:r>
      <w:r w:rsidR="00F33301">
        <w:t>in the two previous</w:t>
      </w:r>
      <w:r w:rsidR="000D19EC">
        <w:t xml:space="preserve"> years</w:t>
      </w:r>
      <w:r w:rsidR="007F3DC4">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664B315E" w14:textId="756FDEB8" w:rsidR="00CC7D37" w:rsidRDefault="00785CDE" w:rsidP="00ED4FA3">
      <w:r>
        <w:t>V</w:t>
      </w:r>
      <w:r w:rsidR="00A22B93">
        <w:t xml:space="preserve">accination campaigns </w:t>
      </w:r>
      <w:r w:rsidR="009E6CA0">
        <w:t>are designed</w:t>
      </w:r>
      <w:r w:rsidR="00A22B93">
        <w:t xml:space="preserve"> to </w:t>
      </w:r>
      <w:r w:rsidR="002112FC">
        <w:t xml:space="preserve">ideally </w:t>
      </w:r>
      <w:r w:rsidR="00A22B93">
        <w:t xml:space="preserve">achieve </w:t>
      </w:r>
      <w:r w:rsidR="00D5161A">
        <w:t>herd immunity</w:t>
      </w:r>
      <w:r w:rsidR="009E6CA0">
        <w:t xml:space="preserve"> in a population</w:t>
      </w:r>
      <w:r w:rsidR="00D5161A">
        <w:t xml:space="preserve">, </w:t>
      </w:r>
      <w:r w:rsidR="00800616">
        <w:t xml:space="preserve">which </w:t>
      </w:r>
      <w:r w:rsidR="002112FC">
        <w:t xml:space="preserve">emerges when </w:t>
      </w:r>
      <w:r w:rsidR="00D5161A">
        <w:t>vaccine coverage and vaccine effica</w:t>
      </w:r>
      <w:r w:rsidR="00575CD5">
        <w:t>cy</w:t>
      </w:r>
      <w:r w:rsidR="007F460D">
        <w:t xml:space="preserve"> </w:t>
      </w:r>
      <w:r w:rsidR="00575CD5">
        <w:t>are sufficiently high</w:t>
      </w:r>
      <w:r w:rsidR="002112FC">
        <w:t xml:space="preserve"> such that</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can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the killed oral cholera vaccine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T</w:t>
      </w:r>
      <w:r w:rsidR="00ED4FA3">
        <w:t xml:space="preserve">he </w:t>
      </w:r>
      <w:r w:rsidR="000F175B">
        <w:t>World Health Organization (</w:t>
      </w:r>
      <w:r w:rsidR="00ED4FA3">
        <w:t>WHO</w:t>
      </w:r>
      <w:r w:rsidR="000F175B">
        <w:t>)</w:t>
      </w:r>
      <w:r w:rsidR="00ED4FA3">
        <w:t xml:space="preserve"> </w:t>
      </w:r>
      <w:r w:rsidR="00BB4544">
        <w:t xml:space="preserve">recently 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high-risk humanitarian crises</w:t>
      </w:r>
      <w:r w:rsidR="00052949">
        <w:t>;</w:t>
      </w:r>
      <w:r w:rsidR="009611BC">
        <w:t xml:space="preserve"> (2) </w:t>
      </w:r>
      <w:r w:rsidR="00CC7D37">
        <w:t>high-endemicity “hot spots”</w:t>
      </w:r>
      <w:r w:rsidR="00052949">
        <w:t>;</w:t>
      </w:r>
      <w:r w:rsidR="00ED4FA3">
        <w:t xml:space="preserve"> and</w:t>
      </w:r>
      <w:r w:rsidR="009611BC">
        <w:t xml:space="preserve"> (3) </w:t>
      </w:r>
      <w:r w:rsidR="00CC7D37">
        <w:t>outbreak response</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3B00BBB9" w:rsidR="00CC7D37" w:rsidRDefault="00CC7D37" w:rsidP="00ED4FA3">
      <w:r>
        <w:t xml:space="preserve">First, </w:t>
      </w:r>
      <w:proofErr w:type="spellStart"/>
      <w:r>
        <w:t>kOCVs</w:t>
      </w:r>
      <w:proofErr w:type="spellEnd"/>
      <w:r>
        <w:t xml:space="preserve"> can be a quick stopgap measure to protect cholera-prone dynamic populations such as refugee camps,</w:t>
      </w:r>
      <w:r w:rsidR="006721EF">
        <w:fldChar w:fldCharType="begin" w:fldLock="1"/>
      </w:r>
      <w:r w:rsidR="00DF40CD">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"[8]", "plainTextFormattedCitation" : "[8]", "previouslyFormattedCitation" : "[8]" }, "properties" : { "noteIndex" : 0 }, "schema" : "https://github.com/citation-style-language/schema/raw/master/csl-citation.json" }</w:instrText>
      </w:r>
      <w:r w:rsidR="006721EF">
        <w:fldChar w:fldCharType="separate"/>
      </w:r>
      <w:r w:rsidR="006721EF" w:rsidRPr="006721EF">
        <w:rPr>
          <w:noProof/>
        </w:rPr>
        <w:t>[8]</w:t>
      </w:r>
      <w:r w:rsidR="006721EF">
        <w:fldChar w:fldCharType="end"/>
      </w:r>
      <w:r>
        <w:t xml:space="preserve"> but </w:t>
      </w:r>
      <w:r w:rsidR="0092522A">
        <w:t>it remains unclear</w:t>
      </w:r>
      <w:r>
        <w:t xml:space="preserve"> how much time is “bought” by vaccination before longer-term solutions such as </w:t>
      </w:r>
      <w:r w:rsidR="00E74EA3">
        <w:t>water, sanitation, and hygiene promotion</w:t>
      </w:r>
      <w:r w:rsidR="00BB4544">
        <w:t xml:space="preserve"> are necessary</w:t>
      </w:r>
      <w:r>
        <w:t xml:space="preserve">. Second, economic and feasibility analyses of routine vaccination are strongly influenced by </w:t>
      </w:r>
      <w:r w:rsidR="008E58D5">
        <w:t>the frequency of revaccination</w:t>
      </w:r>
      <w:r>
        <w:t>.</w:t>
      </w:r>
      <w:r w:rsidR="008E58D5">
        <w:fldChar w:fldCharType="begin" w:fldLock="1"/>
      </w:r>
      <w:r w:rsidR="00990BB5">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"[9]", "plainTextFormattedCitation" : "[9]", "previouslyFormattedCitation" : "[9]" }, "properties" : { "noteIndex" : 0 }, "schema" : "https://github.com/citation-style-language/schema/raw/master/csl-citation.json" }</w:instrText>
      </w:r>
      <w:r w:rsidR="008E58D5">
        <w:fldChar w:fldCharType="separate"/>
      </w:r>
      <w:r w:rsidR="008E58D5" w:rsidRPr="008E58D5">
        <w:rPr>
          <w:noProof/>
        </w:rPr>
        <w:t>[9]</w:t>
      </w:r>
      <w:r w:rsidR="008E58D5">
        <w:fldChar w:fldCharType="end"/>
      </w:r>
      <w:r>
        <w:t xml:space="preserve"> Third, </w:t>
      </w:r>
      <w:r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224B5EA3" w:rsidR="003542BB" w:rsidRDefault="003542BB" w:rsidP="00767EE4">
      <w:r>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mass vaccination</w:t>
      </w:r>
      <w:r w:rsidR="00767EE4">
        <w:t xml:space="preserve"> campaigns</w:t>
      </w:r>
      <w:r w:rsidR="0099479A">
        <w:t xml:space="preserve"> with high </w:t>
      </w:r>
      <w:r w:rsidR="00B177F6">
        <w:t>coverage</w:t>
      </w:r>
      <w:r>
        <w:t xml:space="preserve"> in </w:t>
      </w:r>
      <w:r w:rsidR="00B177F6">
        <w:t xml:space="preserve">both </w:t>
      </w:r>
      <w:r>
        <w:t>2014 and 2015</w:t>
      </w:r>
      <w:r w:rsidR="00B177F6">
        <w:t>.</w:t>
      </w:r>
      <w:r w:rsidR="00990BB5">
        <w:fldChar w:fldCharType="begin" w:fldLock="1"/>
      </w:r>
      <w:r w:rsidR="007B0B58">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"[10,11]", "plainTextFormattedCitation" : "[10,11]", "previouslyFormattedCitation" : "[10,11]" }, "properties" : { "noteIndex" : 0 }, "schema" : "https://github.com/citation-style-language/schema/raw/master/csl-citation.json" }</w:instrText>
      </w:r>
      <w:r w:rsidR="00990BB5">
        <w:fldChar w:fldCharType="separate"/>
      </w:r>
      <w:r w:rsidR="00990BB5" w:rsidRPr="00990BB5">
        <w:rPr>
          <w:noProof/>
        </w:rPr>
        <w:t>[10,11]</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7B0B58">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"[12]", "plainTextFormattedCitation" : "[12]", "previouslyFormattedCitation" : "[12]" }, "properties" : { "noteIndex" : 0 }, "schema" : "https://github.com/citation-style-language/schema/raw/master/csl-citation.json" }</w:instrText>
      </w:r>
      <w:r>
        <w:fldChar w:fldCharType="separate"/>
      </w:r>
      <w:r w:rsidR="00990BB5" w:rsidRPr="00990BB5">
        <w:rPr>
          <w:noProof/>
        </w:rPr>
        <w:t>[12]</w:t>
      </w:r>
      <w:r>
        <w:fldChar w:fldCharType="end"/>
      </w:r>
      <w:r>
        <w:t xml:space="preserve"> </w:t>
      </w:r>
      <w:r w:rsidR="003C643A">
        <w:t>Previous modeling studies of other diseases</w:t>
      </w:r>
      <w:r w:rsidR="003A0477">
        <w:t xml:space="preserve"> (e.g., </w:t>
      </w:r>
      <w:r w:rsidR="003C643A">
        <w:fldChar w:fldCharType="begin" w:fldLock="1"/>
      </w:r>
      <w:r w:rsidR="00BB4544">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"[13\u201317]", "plainTextFormattedCitation" : "[13\u201317]", "previouslyFormattedCitation" : "[13\u201317]" }, "properties" : { "noteIndex" : 0 }, "schema" : "https://github.com/citation-style-language/schema/raw/master/csl-citation.json" }</w:instrText>
      </w:r>
      <w:r w:rsidR="003C643A">
        <w:fldChar w:fldCharType="separate"/>
      </w:r>
      <w:r w:rsidR="00990BB5" w:rsidRPr="00990BB5">
        <w:rPr>
          <w:noProof/>
        </w:rPr>
        <w:t>[13–17]</w:t>
      </w:r>
      <w:r w:rsidR="003C643A">
        <w:fldChar w:fldCharType="end"/>
      </w:r>
      <w:r w:rsidR="003A0477">
        <w:t>)</w:t>
      </w:r>
      <w:r w:rsidR="003C643A">
        <w:t xml:space="preserve"> </w:t>
      </w:r>
      <w:r w:rsidR="0056395C">
        <w:t>suggest</w:t>
      </w:r>
      <w:r w:rsidR="003C643A">
        <w:t xml:space="preserve"> a</w:t>
      </w:r>
      <w:r w:rsidR="00DE04D8">
        <w:t xml:space="preserve"> suite of factors may have contributed to the c</w:t>
      </w:r>
      <w:r w:rsidR="00023416">
        <w:t xml:space="preserve">amp’s susceptibility to an </w:t>
      </w:r>
      <w:r w:rsidR="0099479A">
        <w:t>outbreak</w:t>
      </w:r>
      <w:r w:rsidR="00DE04D8">
        <w:t xml:space="preserve"> </w:t>
      </w:r>
      <w:r w:rsidR="00023416">
        <w:t>includ</w:t>
      </w:r>
      <w:r w:rsidR="00E03C9B">
        <w:t>ing</w:t>
      </w:r>
      <w:r w:rsidR="00023416">
        <w:t xml:space="preserve"> 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p w14:paraId="23645639" w14:textId="618C2BD4" w:rsidR="00623DA9" w:rsidRDefault="00623DA9" w:rsidP="009E3002">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t xml:space="preserve">We analyze the 2016 outbreak in </w:t>
      </w:r>
      <w:proofErr w:type="spellStart"/>
      <w:r>
        <w:t>Bentiu</w:t>
      </w:r>
      <w:proofErr w:type="spellEnd"/>
      <w:r>
        <w:t xml:space="preserve">, and show that despite repeated vaccination, the population was approximately 80% susceptible just before the epidemic. Our results suggest that the optimal vaccination strategy will depend on </w:t>
      </w:r>
      <w:r w:rsidR="0020319A">
        <w:t>the interaction between vaccine and population characteristics</w:t>
      </w:r>
      <w:r>
        <w:t>, and that a “</w:t>
      </w:r>
      <w:r w:rsidR="0020319A">
        <w:t>Mass and Maintain</w:t>
      </w:r>
      <w:r>
        <w:t>”</w:t>
      </w:r>
      <w:r w:rsidR="0020319A">
        <w:t xml:space="preserve"> vaccination</w:t>
      </w:r>
      <w:r>
        <w:t xml:space="preserve"> approach is likely to provide the longest duration of herd immunity in many cases.  </w:t>
      </w:r>
    </w:p>
    <w:p w14:paraId="4637698C" w14:textId="77777777" w:rsidR="00BE5DF4" w:rsidRDefault="00BE5DF4" w:rsidP="009E3002">
      <w:pPr>
        <w:rPr>
          <w:b/>
        </w:rPr>
      </w:pPr>
    </w:p>
    <w:p w14:paraId="79087810" w14:textId="5B4C8DB7" w:rsidR="0099479A" w:rsidRPr="00E701DB" w:rsidRDefault="0099479A" w:rsidP="009E3002">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60E27B28" w:rsidR="003B3505" w:rsidRDefault="005C7B32" w:rsidP="001107BD">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7B0B5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"[18]", "plainTextFormattedCitation" : "[18]", "previouslyFormattedCitation" : "[18]" }, "properties" : { "noteIndex" : 0 }, "schema" : "https://github.com/citation-style-language/schema/raw/master/csl-citation.json" }</w:instrText>
      </w:r>
      <w:r w:rsidR="005426F4">
        <w:fldChar w:fldCharType="separate"/>
      </w:r>
      <w:r w:rsidR="00990BB5" w:rsidRPr="00990BB5">
        <w:rPr>
          <w:noProof/>
        </w:rPr>
        <w:t>[18]</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7B0B58">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"[19,20]", "plainTextFormattedCitation" : "[19,20]", "previouslyFormattedCitation" : "[19,20]" }, "properties" : { "noteIndex" : 0 }, "schema" : "https://github.com/citation-style-language/schema/raw/master/csl-citation.json" }</w:instrText>
      </w:r>
      <w:r w:rsidR="003542BB">
        <w:fldChar w:fldCharType="separate"/>
      </w:r>
      <w:r w:rsidR="00990BB5" w:rsidRPr="00990BB5">
        <w:rPr>
          <w:noProof/>
        </w:rPr>
        <w:t>[19,20]</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48, at which point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3DAAA99A"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7B0B58">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"[21]", "plainTextFormattedCitation" : "[21]", "previouslyFormattedCitation" : "[21]" }, "properties" : { "noteIndex" : 0 }, "schema" : "https://github.com/citation-style-language/schema/raw/master/csl-citation.json" }</w:instrText>
      </w:r>
      <w:r>
        <w:fldChar w:fldCharType="separate"/>
      </w:r>
      <w:r w:rsidR="00990BB5" w:rsidRPr="00990BB5">
        <w:rPr>
          <w:noProof/>
        </w:rPr>
        <w:t>[21]</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2980CA4A"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7" w:name="OLE_LINK1"/>
      <w:bookmarkStart w:id="8" w:name="OLE_LINK2"/>
      <m:oMath>
        <m:r>
          <w:rPr>
            <w:rFonts w:ascii="Cambria Math" w:hAnsi="Cambria Math"/>
          </w:rPr>
          <m:t>0.8∙N</m:t>
        </m:r>
        <m:d>
          <m:dPr>
            <m:ctrlPr>
              <w:rPr>
                <w:rFonts w:ascii="Cambria Math" w:hAnsi="Cambria Math"/>
                <w:i/>
              </w:rPr>
            </m:ctrlPr>
          </m:dPr>
          <m:e>
            <m:r>
              <w:rPr>
                <w:rFonts w:ascii="Cambria Math" w:hAnsi="Cambria Math"/>
              </w:rPr>
              <m:t>t</m:t>
            </m:r>
          </m:e>
        </m:d>
      </m:oMath>
      <w:bookmarkEnd w:id="7"/>
      <w:bookmarkEnd w:id="8"/>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In each strategy,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See Supplemental Text</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E717A8"/>
    <w:p w14:paraId="23834CC5" w14:textId="62318F6E" w:rsidR="00E717A8" w:rsidRDefault="00E717A8" w:rsidP="00E717A8">
      <w:r>
        <w:t xml:space="preserve">Currently, a complete vaccine course of </w:t>
      </w:r>
      <w:proofErr w:type="spellStart"/>
      <w:r>
        <w:t>kOCVs</w:t>
      </w:r>
      <w:proofErr w:type="spellEnd"/>
      <w:r>
        <w:t xml:space="preserv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we focus on the number of vaccine courses rather than the number of actual vaccines per course for generalizability across disease systems.</w:t>
      </w:r>
    </w:p>
    <w:p w14:paraId="1483C9F6" w14:textId="77777777" w:rsidR="002603D6" w:rsidRDefault="002603D6" w:rsidP="00D46AAE">
      <w:pPr>
        <w:rPr>
          <w:i/>
        </w:rPr>
      </w:pPr>
    </w:p>
    <w:p w14:paraId="50E2C944" w14:textId="2384BB4E" w:rsidR="005C7B32" w:rsidRDefault="00C346FB" w:rsidP="00D46AAE">
      <w:r>
        <w:t xml:space="preserve">We parameterized the time-varying </w:t>
      </w:r>
      <w:r w:rsidR="00B577D9">
        <w:t>vaccine efficacy,</w:t>
      </w:r>
      <w:r>
        <w:t xml:space="preserve"> </w:t>
      </w:r>
      <m:oMath>
        <m:r>
          <w:rPr>
            <w:rFonts w:ascii="Cambria Math" w:hAnsi="Cambria Math"/>
          </w:rPr>
          <m:t>VE(t)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7B0B5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"[18,22]", "plainTextFormattedCitation" : "[18,22]", "previouslyFormattedCitation" : "[18,22]" }, "properties" : { "noteIndex" : 0 }, "schema" : "https://github.com/citation-style-language/schema/raw/master/csl-citation.json" }</w:instrText>
      </w:r>
      <w:r w:rsidR="003542BB">
        <w:fldChar w:fldCharType="separate"/>
      </w:r>
      <w:r w:rsidR="00990BB5" w:rsidRPr="00990BB5">
        <w:rPr>
          <w:noProof/>
        </w:rPr>
        <w:t>[18,22]</w:t>
      </w:r>
      <w:r w:rsidR="003542BB">
        <w:fldChar w:fldCharType="end"/>
      </w:r>
      <w:r w:rsidR="00570BE7">
        <w:t xml:space="preserve"> To provide monthly estimates of</w:t>
      </w:r>
      <w:r w:rsidR="007B1C07">
        <w:t xml:space="preserve"> vaccine efficacy,</w:t>
      </w:r>
      <w:r w:rsidR="00570BE7">
        <w:t xml:space="preserve"> </w:t>
      </w:r>
      <m:oMath>
        <m:r>
          <w:rPr>
            <w:rFonts w:ascii="Cambria Math" w:hAnsi="Cambria Math"/>
          </w:rPr>
          <m:t>VE(t)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7CEF5150" w:rsidR="002603D6" w:rsidRDefault="002603D6" w:rsidP="002603D6">
      <w:r>
        <w:lastRenderedPageBreak/>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with an equal rate of immigration, unless otherwise noted. Our main results assume that incoming migrants bring neither vaccine-derived nor naturally acquired immunity into the population. </w:t>
      </w:r>
    </w:p>
    <w:p w14:paraId="539D0BBB" w14:textId="77777777" w:rsidR="002603D6" w:rsidRDefault="002603D6" w:rsidP="00C11B42"/>
    <w:p w14:paraId="10DBF619" w14:textId="417BB7B0"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7B0B58">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"[23]", "plainTextFormattedCitation" : "[23]", "previouslyFormattedCitation" : "[23]" }, "properties" : { "noteIndex" : 0 }, "schema" : "https://github.com/citation-style-language/schema/raw/master/csl-citation.json" }</w:instrText>
      </w:r>
      <w:r w:rsidR="00046565">
        <w:fldChar w:fldCharType="separate"/>
      </w:r>
      <w:r w:rsidR="00990BB5" w:rsidRPr="00990BB5">
        <w:rPr>
          <w:noProof/>
        </w:rPr>
        <w:t>[23]</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7B0B58">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"[24]", "plainTextFormattedCitation" : "[24]", "previouslyFormattedCitation" : "[24]" }, "properties" : { "noteIndex" : 0 }, "schema" : "https://github.com/citation-style-language/schema/raw/master/csl-citation.json" }</w:instrText>
      </w:r>
      <w:r w:rsidR="00046565">
        <w:fldChar w:fldCharType="separate"/>
      </w:r>
      <w:r w:rsidR="00990BB5" w:rsidRPr="00990BB5">
        <w:rPr>
          <w:noProof/>
        </w:rPr>
        <w:t>[24]</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w:t>
      </w:r>
      <w:proofErr w:type="spellStart"/>
      <w:r w:rsidR="002C409D">
        <w:t>Bentiu</w:t>
      </w:r>
      <w:proofErr w:type="spellEnd"/>
      <w:r w:rsidR="002C409D">
        <w:t xml:space="preserve">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6D65C85C" w:rsidR="005C7B32" w:rsidRDefault="007059D1" w:rsidP="005C7B32">
      <w:r>
        <w:t>We define</w:t>
      </w:r>
      <w:r w:rsidR="006A691F">
        <w:t xml:space="preserve"> the duration of herd immunity</w:t>
      </w:r>
      <w:r w:rsidR="00B64451">
        <w:t xml:space="preserve"> </w:t>
      </w:r>
      <w:r w:rsidR="006A691F">
        <w:t>(</w:t>
      </w:r>
      <w:r w:rsidR="00B64451">
        <w:t>DHI</w:t>
      </w:r>
      <w:r w:rsidR="006A691F">
        <w:t>)</w:t>
      </w:r>
      <w:r w:rsidR="00541512">
        <w:t xml:space="preserve"> </w:t>
      </w:r>
      <w:r>
        <w:t>as the time 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7A8AD168" w14:textId="3B577C7A" w:rsidR="00ED3E82"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0D3636CD" w14:textId="77777777" w:rsidR="00341AFC" w:rsidRDefault="00341AFC" w:rsidP="005C7B32"/>
    <w:p w14:paraId="4434E0F7" w14:textId="058AFED3" w:rsidR="005C7B32" w:rsidRDefault="00F20C7C" w:rsidP="005C7B32">
      <w:r>
        <w:t xml:space="preserve">Using the </w:t>
      </w:r>
      <w:r w:rsidR="001A43F0">
        <w:t xml:space="preserve">time-dependent </w:t>
      </w:r>
      <w:r>
        <w:t>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7B0B58">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"[25]", "plainTextFormattedCitation" : "[25]", "previouslyFormattedCitation" : "[25]" }, "properties" : { "noteIndex" : 0 }, "schema" : "https://github.com/citation-style-language/schema/raw/master/csl-citation.json" }</w:instrText>
      </w:r>
      <w:r w:rsidR="001C0256">
        <w:fldChar w:fldCharType="separate"/>
      </w:r>
      <w:r w:rsidR="00990BB5" w:rsidRPr="00990BB5">
        <w:rPr>
          <w:noProof/>
        </w:rPr>
        <w:t>[25]</w:t>
      </w:r>
      <w:r w:rsidR="001C0256">
        <w:fldChar w:fldCharType="end"/>
      </w:r>
      <w:r w:rsidR="001C0256">
        <w:t xml:space="preserve"> w</w:t>
      </w:r>
      <w:r w:rsidR="00FE2817">
        <w:t>e find the threshold of 10 cases is a reasonable cutoff size such that a large outbreak is henceforth very likely (</w:t>
      </w:r>
      <w:r w:rsidR="00C61019" w:rsidRPr="006A691F">
        <w:t>Fig S</w:t>
      </w:r>
      <w:r w:rsidR="003B5A74">
        <w:t>1</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we can calculate the probability of a</w:t>
      </w:r>
      <w:r w:rsidR="003264EE">
        <w:t xml:space="preserve">n </w:t>
      </w:r>
      <w:r w:rsidR="00C346FB">
        <w:lastRenderedPageBreak/>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7B0B58">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"[26,27]", "plainTextFormattedCitation" : "[26,27]", "previouslyFormattedCitation" : "[26,27]" }, "properties" : { "noteIndex" : 0 }, "schema" : "https://github.com/citation-style-language/schema/raw/master/csl-citation.json" }</w:instrText>
      </w:r>
      <w:r w:rsidR="00046565">
        <w:fldChar w:fldCharType="separate"/>
      </w:r>
      <w:r w:rsidR="00990BB5" w:rsidRPr="00990BB5">
        <w:rPr>
          <w:noProof/>
        </w:rPr>
        <w:t>[26,27]</w:t>
      </w:r>
      <w:r w:rsidR="00046565">
        <w:fldChar w:fldCharType="end"/>
      </w:r>
    </w:p>
    <w:p w14:paraId="3C8B3559" w14:textId="77777777" w:rsidR="00C346FB" w:rsidRDefault="00C346FB" w:rsidP="005C7B32"/>
    <w:p w14:paraId="64A3833B" w14:textId="5071ECA1" w:rsidR="00D77E67" w:rsidRDefault="006C5E7F" w:rsidP="005C7B32">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2CF301BB"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of </w:t>
      </w:r>
      <w:r w:rsidR="007203E9">
        <w:t>more than</w:t>
      </w:r>
      <w:r w:rsidR="00B0783B">
        <w:t xml:space="preserve"> </w:t>
      </w:r>
      <m:oMath>
        <m:r>
          <w:rPr>
            <w:rFonts w:ascii="Cambria Math" w:hAnsi="Cambria Math"/>
          </w:rPr>
          <m:t>y</m:t>
        </m:r>
      </m:oMath>
      <w:r w:rsidR="007203E9">
        <w:t xml:space="preserve"> cases</w:t>
      </w:r>
      <w:r w:rsidR="00807B3E">
        <w:t xml:space="preserve"> that</w:t>
      </w:r>
      <w:r w:rsidR="00F03D33">
        <w:t xml:space="preserve"> was seeded by an imported case, calculated by:</w:t>
      </w:r>
    </w:p>
    <w:p w14:paraId="69EC1C3A" w14:textId="77777777" w:rsidR="006B2078" w:rsidRDefault="006B2078" w:rsidP="005C7B32"/>
    <w:p w14:paraId="59BBAAB0" w14:textId="32F1ADAE"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sup>
                </m:sSup>
              </m:e>
            </m:d>
          </m:e>
        </m:nary>
      </m:oMath>
    </w:p>
    <w:p w14:paraId="5AE75B40" w14:textId="77777777" w:rsidR="006B2078" w:rsidRPr="00F03D33" w:rsidRDefault="006B2078" w:rsidP="005C7B32"/>
    <w:p w14:paraId="51948384" w14:textId="3014372F" w:rsidR="00F03D33" w:rsidRDefault="00F03D33" w:rsidP="005C7B32">
      <w:r>
        <w:t xml:space="preserve">where D is the duration of follow-up time in days, </w:t>
      </w:r>
      <m:oMath>
        <m:r>
          <w:rPr>
            <w:rFonts w:ascii="Cambria Math" w:hAnsi="Cambria Math"/>
          </w:rPr>
          <m:t>y</m:t>
        </m:r>
      </m:oMath>
      <w:r>
        <w:t xml:space="preserve"> is the</w:t>
      </w:r>
      <w:r w:rsidR="00B0783B">
        <w:t xml:space="preserve"> minimum</w:t>
      </w:r>
      <w:r>
        <w:t xml:space="preserve"> outbreak size, and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the expected number of infected individuals who migrate into the population in one day</w:t>
      </w:r>
      <w:r w:rsidR="006B2078">
        <w:t>.</w:t>
      </w:r>
      <w:r>
        <w:t xml:space="preserve">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calculated by:</w:t>
      </w:r>
    </w:p>
    <w:p w14:paraId="5FDF418B" w14:textId="77777777" w:rsidR="006B2078" w:rsidRDefault="006B2078" w:rsidP="005C7B32"/>
    <w:p w14:paraId="04643F63" w14:textId="478155E3" w:rsidR="00F03D33" w:rsidRPr="006B2078" w:rsidRDefault="006C5E7F" w:rsidP="005C7B32">
      <w:r>
        <w:t>[5]</w:t>
      </w:r>
      <w:r>
        <w:tab/>
      </w:r>
      <w:r>
        <w:tab/>
      </w:r>
      <w:r>
        <w:tab/>
      </w: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=πN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A033702" w14:textId="77777777" w:rsidR="006B2078" w:rsidRPr="006B2078" w:rsidRDefault="006B2078" w:rsidP="005C7B32"/>
    <w:p w14:paraId="61A5274D" w14:textId="34E55FE7" w:rsidR="006B2078" w:rsidRDefault="006B2078" w:rsidP="005C7B32">
      <w:r>
        <w:t xml:space="preserve">where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population size, and </w:t>
      </w:r>
      <m:oMath>
        <m:r>
          <w:rPr>
            <w:rFonts w:ascii="Cambria Math" w:hAnsi="Cambria Math"/>
          </w:rPr>
          <m:t>m</m:t>
        </m:r>
      </m:oMath>
      <w:r>
        <w:t xml:space="preserve"> is the daily migration rate. Essentially, we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The probability of sustaining an outbreak</w:t>
      </w:r>
      <w:r w:rsidR="001C0256">
        <w:t xml:space="preserve"> greater than</w:t>
      </w:r>
      <w:r>
        <w:t xml:space="preserve"> </w:t>
      </w:r>
      <m:oMath>
        <m:r>
          <w:rPr>
            <w:rFonts w:ascii="Cambria Math" w:hAnsi="Cambria Math"/>
          </w:rPr>
          <m:t>y</m:t>
        </m:r>
      </m:oMath>
      <w:r w:rsidR="001C0256">
        <w:t xml:space="preserve"> cases</w:t>
      </w:r>
      <w:r>
        <w:t xml:space="preserve"> </w:t>
      </w:r>
      <w:r w:rsidR="001C0256">
        <w:t xml:space="preserve">by </w:t>
      </w:r>
      <w:r>
        <w:t xml:space="preserve">day </w:t>
      </w:r>
      <m:oMath>
        <m:r>
          <w:rPr>
            <w:rFonts w:ascii="Cambria Math" w:hAnsi="Cambria Math"/>
          </w:rPr>
          <m:t>D</m:t>
        </m:r>
      </m:oMath>
      <w:r>
        <w:t xml:space="preserve"> is therefore equal to one minus the probability of </w:t>
      </w:r>
      <w:r w:rsidR="00AA2A96">
        <w:t xml:space="preserve">having no outbreaks </w:t>
      </w:r>
      <w:r w:rsidR="001C0256">
        <w:t>greater than</w:t>
      </w:r>
      <w:r w:rsidR="00AA2A96">
        <w:t xml:space="preserve"> </w:t>
      </w:r>
      <m:oMath>
        <m:r>
          <w:rPr>
            <w:rFonts w:ascii="Cambria Math" w:hAnsi="Cambria Math"/>
          </w:rPr>
          <m:t>y</m:t>
        </m:r>
      </m:oMath>
      <w:r w:rsidR="00AA2A96">
        <w:t xml:space="preserve"> </w:t>
      </w:r>
      <w:r w:rsidR="001C0256">
        <w:t>cases</w:t>
      </w:r>
      <w:r w:rsidR="00AA2A96">
        <w:t>.</w:t>
      </w:r>
    </w:p>
    <w:p w14:paraId="111ACC10" w14:textId="77777777" w:rsidR="006B2078" w:rsidRDefault="006B2078" w:rsidP="005C7B32"/>
    <w:p w14:paraId="67BA1D20" w14:textId="7087F7B2" w:rsidR="00DA1BA0" w:rsidRDefault="004F17B6" w:rsidP="005C7B32">
      <w:r>
        <w:t>We measure the difference b</w:t>
      </w:r>
      <w:r w:rsidR="00DA1BA0">
        <w:t>etween the cumulative outbreak probability</w:t>
      </w:r>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(R</w:t>
      </w:r>
      <w:r>
        <w:rPr>
          <w:vertAlign w:val="subscript"/>
        </w:rPr>
        <w:t>0</w:t>
      </w:r>
      <w:r w:rsidR="00AA2A96">
        <w:t xml:space="preserve">=1.5)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574B9D3D" w:rsidR="0083178D" w:rsidRDefault="00961AF5" w:rsidP="001A3411">
      <w:r>
        <w:t xml:space="preserve">We examine these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AA2A96">
        <w:t>We estimate</w:t>
      </w:r>
      <w:r w:rsidR="00B64451">
        <w:t xml:space="preserve"> the camp population size between February 2014 and December 2016 using </w:t>
      </w:r>
      <w:r w:rsidR="00AA2A96">
        <w:t>reports</w:t>
      </w:r>
      <w:r w:rsidR="00B64451">
        <w:t xml:space="preserve"> from IOM (Fig S</w:t>
      </w:r>
      <w:r w:rsidR="003B5A74">
        <w:t>2</w:t>
      </w:r>
      <w:r w:rsidR="00B64451">
        <w:t>)[</w:t>
      </w:r>
      <w:hyperlink r:id="rId13" w:history="1">
        <w:r w:rsidR="00B64451" w:rsidRPr="00046565">
          <w:rPr>
            <w:rStyle w:val="Hyperlink"/>
          </w:rPr>
          <w:t>http://www.iomsouthsudan.org/tracking/</w:t>
        </w:r>
      </w:hyperlink>
      <w:r w:rsidR="00B64451">
        <w:rPr>
          <w:rStyle w:val="Hyperlink"/>
        </w:rPr>
        <w:t>]</w:t>
      </w:r>
      <w:r w:rsidR="004E0107">
        <w:t>.</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7B0B58">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"[28]", "plainTextFormattedCitation" : "[28]", "previouslyFormattedCitation" : "[28]" }, "properties" : { "noteIndex" : 0 }, "schema" : "https://github.com/citation-style-language/schema/raw/master/csl-citation.json" }</w:instrText>
      </w:r>
      <w:r w:rsidR="00E601F2">
        <w:fldChar w:fldCharType="separate"/>
      </w:r>
      <w:r w:rsidR="00990BB5" w:rsidRPr="00990BB5">
        <w:rPr>
          <w:noProof/>
        </w:rPr>
        <w:t>[28]</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039DD1B0" w:rsidR="00CF2EF3" w:rsidRDefault="00FB1466" w:rsidP="007665E7">
      <w:r>
        <w:lastRenderedPageBreak/>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EF0ACAE"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attributable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234649">
        <w:t xml:space="preserve">“observed” </w:t>
      </w:r>
      <w:r w:rsidR="00AF416E">
        <w:t>scenario,</w:t>
      </w:r>
    </w:p>
    <w:p w14:paraId="07EA9815" w14:textId="77777777" w:rsidR="00AF416E" w:rsidRDefault="00AF416E" w:rsidP="00AF416E"/>
    <w:p w14:paraId="2C4CA501" w14:textId="08BE299D" w:rsidR="00AF416E" w:rsidRDefault="0020319A"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59509F89" w14:textId="6CCE4CC3"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7B0B58">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"[29,30]", "plainTextFormattedCitation" : "[29,30]", "previouslyFormattedCitation" : "[29,30]" }, "properties" : { "noteIndex" : 0 }, "schema" : "https://github.com/citation-style-language/schema/raw/master/csl-citation.json" }</w:instrText>
      </w:r>
      <w:r w:rsidR="00F0072A">
        <w:fldChar w:fldCharType="separate"/>
      </w:r>
      <w:r w:rsidR="00990BB5" w:rsidRPr="00990BB5">
        <w:rPr>
          <w:noProof/>
        </w:rPr>
        <w:t>[29,30]</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7B0B58">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"[31]", "plainTextFormattedCitation" : "[31]", "previouslyFormattedCitation" : "[31]" }, "properties" : { "noteIndex" : 0 }, "schema" : "https://github.com/citation-style-language/schema/raw/master/csl-citation.json" }</w:instrText>
      </w:r>
      <w:r w:rsidR="00CE22BA">
        <w:fldChar w:fldCharType="separate"/>
      </w:r>
      <w:r w:rsidR="00990BB5" w:rsidRPr="00990BB5">
        <w:rPr>
          <w:noProof/>
        </w:rPr>
        <w:t>[31]</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7B0B58">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"[32]", "plainTextFormattedCitation" : "[32]", "previouslyFormattedCitation" : "[32]" }, "properties" : { "noteIndex" : 0 }, "schema" : "https://github.com/citation-style-language/schema/raw/master/csl-citation.json" }</w:instrText>
      </w:r>
      <w:r w:rsidR="00CA6B5D">
        <w:fldChar w:fldCharType="separate"/>
      </w:r>
      <w:r w:rsidR="00990BB5" w:rsidRPr="00990BB5">
        <w:rPr>
          <w:noProof/>
        </w:rPr>
        <w:t>[32]</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7B0B58">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"[31]", "plainTextFormattedCitation" : "[31]", "previouslyFormattedCitation" : "[31]" }, "properties" : { "noteIndex" : 0 }, "schema" : "https://github.com/citation-style-language/schema/raw/master/csl-citation.json" }</w:instrText>
      </w:r>
      <w:r w:rsidR="00CA6B5D">
        <w:fldChar w:fldCharType="separate"/>
      </w:r>
      <w:r w:rsidR="00990BB5" w:rsidRPr="00990BB5">
        <w:rPr>
          <w:noProof/>
        </w:rPr>
        <w:t>[31]</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7B0B58">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"[33]", "plainTextFormattedCitation" : "[33]", "previouslyFormattedCitation" : "[33]" }, "properties" : { "noteIndex" : 0 }, "schema" : "https://github.com/citation-style-language/schema/raw/master/csl-citation.json" }</w:instrText>
      </w:r>
      <w:r w:rsidR="00DF1D39">
        <w:fldChar w:fldCharType="separate"/>
      </w:r>
      <w:r w:rsidR="00990BB5" w:rsidRPr="00990BB5">
        <w:rPr>
          <w:noProof/>
        </w:rPr>
        <w:t>[33]</w:t>
      </w:r>
      <w:r w:rsidR="00DF1D39">
        <w:fldChar w:fldCharType="end"/>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5D44004A" w:rsidR="0055665B" w:rsidRDefault="002A4FEA" w:rsidP="003A5593">
      <w:r>
        <w:t>F</w:t>
      </w:r>
      <w:r w:rsidR="00E24E0B">
        <w:t xml:space="preserve">ollowing mass vaccination with 100% coverage, population susceptibility, </w:t>
      </w:r>
      <m:oMath>
        <m:r>
          <w:rPr>
            <w:rFonts w:ascii="Cambria Math" w:hAnsi="Cambria Math"/>
          </w:rPr>
          <m:t>X(t)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E7286">
        <w:t>return</w:t>
      </w:r>
      <w:r w:rsidR="00A21E90">
        <w:t xml:space="preserve"> population susceptibility near 100% within 9-10 years (Fig 2B, solid line).</w:t>
      </w:r>
      <w:r w:rsidR="0055665B">
        <w:t xml:space="preserve"> </w:t>
      </w:r>
      <w:r w:rsidR="00575CD5">
        <w:t>Between the three primary forces 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m:oMath>
        <m:r>
          <w:rPr>
            <w:rFonts w:ascii="Cambria Math" w:hAnsi="Cambria Math"/>
          </w:rPr>
          <m:t>X(</m:t>
        </m:r>
        <w:proofErr w:type="gramEnd"/>
        <m:r>
          <w:rPr>
            <w:rFonts w:ascii="Cambria Math" w:hAnsi="Cambria Math"/>
          </w:rPr>
          <m:t>t)</m:t>
        </m:r>
      </m:oMath>
      <w:r w:rsidR="0055665B">
        <w:t xml:space="preserve"> </w:t>
      </w:r>
      <w:r w:rsidR="0028276D">
        <w:t>(</w:t>
      </w:r>
      <w:r w:rsidR="00D60633">
        <w:t>Fig S</w:t>
      </w:r>
      <w:r w:rsidR="003B5A74">
        <w:t>3</w:t>
      </w:r>
      <w:r w:rsidR="0028276D">
        <w:t>)</w:t>
      </w:r>
      <w:r w:rsidR="008B07D1">
        <w:t>.</w:t>
      </w:r>
      <w:r w:rsidR="0055665B">
        <w:t xml:space="preserve"> </w:t>
      </w:r>
      <w:r w:rsidR="00C7026D">
        <w:t xml:space="preserve"> </w:t>
      </w:r>
    </w:p>
    <w:p w14:paraId="6A94A772" w14:textId="77777777" w:rsidR="005E7286" w:rsidRDefault="005E7286" w:rsidP="003A5593"/>
    <w:p w14:paraId="4111FE2A" w14:textId="6E833F37"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R</w:t>
      </w:r>
      <w:r w:rsidR="00234583">
        <w:rPr>
          <w:vertAlign w:val="subscript"/>
        </w:rPr>
        <w:t>0</w:t>
      </w:r>
      <w:r w:rsidR="00234583">
        <w:t xml:space="preserve">=2, </w:t>
      </w:r>
      <w:r w:rsidR="004D6579">
        <w:t>0.98</w:t>
      </w:r>
      <w:r w:rsidR="00234583">
        <w:t xml:space="preserve"> years when R</w:t>
      </w:r>
      <w:r w:rsidR="00234583">
        <w:rPr>
          <w:vertAlign w:val="subscript"/>
        </w:rPr>
        <w:t>0</w:t>
      </w:r>
      <w:r w:rsidR="00234583">
        <w:t xml:space="preserve">=1.5, and </w:t>
      </w:r>
      <w:r w:rsidR="004D6579">
        <w:t>3.90</w:t>
      </w:r>
      <w:r w:rsidR="00234583">
        <w:t xml:space="preserve"> years when R</w:t>
      </w:r>
      <w:r w:rsidR="00234583">
        <w:rPr>
          <w:vertAlign w:val="subscript"/>
        </w:rPr>
        <w:t>0</w:t>
      </w:r>
      <w:r w:rsidR="00234583">
        <w:t>=1 (Fig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depending on both the coverage and R</w:t>
      </w:r>
      <w:r w:rsidR="00AA143C">
        <w:rPr>
          <w:vertAlign w:val="subscript"/>
        </w:rPr>
        <w:t>0</w:t>
      </w:r>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3A5593"/>
    <w:p w14:paraId="390EB1C5" w14:textId="1A77DF45" w:rsidR="007B13B2" w:rsidRPr="009A4537" w:rsidRDefault="004312B8" w:rsidP="009A4537">
      <w:r>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7B0B58">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"[34]", "plainTextFormattedCitation" : "[34]", "previouslyFormattedCitation" : "[34]" }, "properties" : { "noteIndex" : 0 }, "schema" : "https://github.com/citation-style-language/schema/raw/master/csl-citation.json" }</w:instrText>
      </w:r>
      <w:r w:rsidR="00F02F56">
        <w:fldChar w:fldCharType="separate"/>
      </w:r>
      <w:r w:rsidR="00990BB5" w:rsidRPr="00990BB5">
        <w:rPr>
          <w:noProof/>
        </w:rPr>
        <w:t>[34]</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 how the vaccine efficacy wanes over time and migration rate (Fig 2E-F).</w:t>
      </w:r>
      <w:r w:rsidR="009A4537">
        <w:t xml:space="preserve"> For example,</w:t>
      </w:r>
      <w:r>
        <w:t xml:space="preserve"> in a setting where R</w:t>
      </w:r>
      <w:r>
        <w:rPr>
          <w:vertAlign w:val="subscript"/>
        </w:rPr>
        <w:t>0</w:t>
      </w:r>
      <w:r>
        <w:t xml:space="preserve">=2, </w:t>
      </w:r>
      <w:r w:rsidR="009A4537">
        <w:t xml:space="preserve">the </w:t>
      </w:r>
      <w:r>
        <w:t>probability an importe</w:t>
      </w:r>
      <w:r w:rsidR="00AC3BC6">
        <w:t xml:space="preserve">d case sparks an outbreak of more than </w:t>
      </w:r>
      <w:r>
        <w:t>10 cases</w:t>
      </w:r>
      <w:r w:rsidR="009A4537">
        <w:t xml:space="preserve"> approaches 0.</w:t>
      </w:r>
      <w:r>
        <w:t>80 in the absence of vaccination</w:t>
      </w:r>
      <w:r w:rsidR="009A4537">
        <w:t xml:space="preserve">. Even though herd immunity is lost within </w:t>
      </w:r>
      <w:r w:rsidR="00AC36AF">
        <w:t xml:space="preserve">just </w:t>
      </w:r>
      <w:r w:rsidR="009A4537">
        <w:t>0.47 years in a high migration setting when R</w:t>
      </w:r>
      <w:r w:rsidR="009A4537">
        <w:rPr>
          <w:vertAlign w:val="subscript"/>
        </w:rPr>
        <w:t>0</w:t>
      </w:r>
      <w:r w:rsidR="009A4537">
        <w:t>=2</w:t>
      </w:r>
      <w:r>
        <w:t xml:space="preserve"> (Fig 2C, solid red line)</w:t>
      </w:r>
      <w:r w:rsidR="009A4537">
        <w:t xml:space="preserve">, the outbreak probability only </w:t>
      </w:r>
      <w:r w:rsidR="00AC36AF">
        <w:t>exceeds</w:t>
      </w:r>
      <w:r w:rsidR="009A4537">
        <w:t xml:space="preserve"> 0.50 one year after vaccination with 100% coverage</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37BF39CC" w:rsidR="0042502C" w:rsidRPr="009F6BC4" w:rsidRDefault="0034238E" w:rsidP="0094157E">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R</w:t>
      </w:r>
      <w:r w:rsidR="0064247B">
        <w:rPr>
          <w:vertAlign w:val="subscript"/>
        </w:rPr>
        <w:t>0</w:t>
      </w:r>
      <w:r w:rsidR="0064247B">
        <w:t>=1.5</w:t>
      </w:r>
      <w:r w:rsidR="00FA5FFF">
        <w:t xml:space="preserve"> 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75% coverage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in this example</w:t>
      </w:r>
      <w:r w:rsidR="00316672">
        <w:t xml:space="preserve"> (Fig 3</w:t>
      </w:r>
      <w:r w:rsidR="00AC3BC6">
        <w:t>C)</w:t>
      </w:r>
      <w:r w:rsidR="004D5C37">
        <w:t>, and in a wide range of settings with various migration rates and R</w:t>
      </w:r>
      <w:r w:rsidR="004D5C37">
        <w:rPr>
          <w:vertAlign w:val="subscript"/>
        </w:rPr>
        <w:t>0</w:t>
      </w:r>
      <w:r w:rsidR="004D5C37">
        <w:t xml:space="preserve"> values (Table S1)</w:t>
      </w:r>
      <w:r w:rsidR="00014111">
        <w:t>.</w:t>
      </w:r>
      <w:r w:rsidR="00A06C37">
        <w:t xml:space="preserve"> </w:t>
      </w:r>
      <w:r w:rsidR="00493178">
        <w:t>The intuition behind this co</w:t>
      </w:r>
      <w:bookmarkStart w:id="9" w:name="_GoBack"/>
      <w:bookmarkEnd w:id="9"/>
      <w:r w:rsidR="00493178">
        <w:t xml:space="preserve">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p>
    <w:p w14:paraId="65FE2004" w14:textId="77777777" w:rsidR="006F7535" w:rsidRDefault="006F7535"/>
    <w:p w14:paraId="6CFAFD32" w14:textId="011B0674" w:rsidR="006B582E" w:rsidRPr="006B582E" w:rsidRDefault="006B582E">
      <w:pPr>
        <w:rPr>
          <w:i/>
        </w:rPr>
      </w:pPr>
      <w:r>
        <w:rPr>
          <w:i/>
        </w:rPr>
        <w:t xml:space="preserve">Optimizing </w:t>
      </w:r>
      <w:r w:rsidR="00AA143C">
        <w:rPr>
          <w:i/>
        </w:rPr>
        <w:t xml:space="preserve">pre-emptive </w:t>
      </w:r>
      <w:r>
        <w:rPr>
          <w:i/>
        </w:rPr>
        <w:t>mass vaccination by targeting intermediate mobility</w:t>
      </w:r>
      <w:r w:rsidR="00167FD3">
        <w:rPr>
          <w:i/>
        </w:rPr>
        <w:t xml:space="preserve"> settings</w:t>
      </w:r>
    </w:p>
    <w:p w14:paraId="4B4F63B2" w14:textId="74B8C83F" w:rsidR="00966387" w:rsidRDefault="004203D1" w:rsidP="00041293">
      <w:r>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r w:rsidR="00C04090">
        <w:t>OCV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introduced via migration</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assuming R</w:t>
      </w:r>
      <w:r w:rsidR="007B280D">
        <w:rPr>
          <w:vertAlign w:val="subscript"/>
        </w:rPr>
        <w:t>0</w:t>
      </w:r>
      <w:r w:rsidR="007B280D">
        <w:t>=1.5</w:t>
      </w:r>
      <w:r w:rsidR="002C24BA">
        <w:t>.</w:t>
      </w:r>
      <w:r w:rsidR="002C24BA" w:rsidRPr="002C24BA">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7B0B58">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"[24]", "plainTextFormattedCitation" : "[24]", "previouslyFormattedCitation" : "[24]" }, "properties" : { "noteIndex" : 0 }, "schema" : "https://github.com/citation-style-language/schema/raw/master/csl-citation.json" }</w:instrText>
      </w:r>
      <w:r w:rsidR="00046565">
        <w:fldChar w:fldCharType="separate"/>
      </w:r>
      <w:r w:rsidR="00990BB5" w:rsidRPr="00990BB5">
        <w:rPr>
          <w:noProof/>
        </w:rPr>
        <w:t>[24]</w:t>
      </w:r>
      <w:r w:rsidR="00046565">
        <w:fldChar w:fldCharType="end"/>
      </w:r>
      <w:r w:rsidR="00503E17">
        <w:t xml:space="preserve"> </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5DA0F94A"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104461">
        <w:t>increased</w:t>
      </w:r>
      <w:r w:rsidR="00316672">
        <w:t xml:space="preserve"> from a low of</w:t>
      </w:r>
      <w:r w:rsidR="00F338E4">
        <w:t xml:space="preserve"> 0.3</w:t>
      </w:r>
      <w:r w:rsidR="00EF2973">
        <w:t>7</w:t>
      </w:r>
      <w:r w:rsidR="00F338E4">
        <w:t xml:space="preserve"> after the second mass vaccination campaign</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90BB5">
        <w:t>at which time</w:t>
      </w:r>
      <w:r w:rsidR="00966387">
        <w:t xml:space="preserve"> the first cholera case of the outbreak was detected (</w:t>
      </w:r>
      <w:r w:rsidR="00A93414">
        <w:t>Fig 5</w:t>
      </w:r>
      <w:r w:rsidR="00002C0D">
        <w:t>B</w:t>
      </w:r>
      <w:r w:rsidR="00966387">
        <w:t>).</w:t>
      </w:r>
      <w:r w:rsidR="00F338E4">
        <w:t xml:space="preserve"> Using a “Mass and Maintain” strategy </w:t>
      </w:r>
      <w:r w:rsidR="00F66B41">
        <w:t>including vaccination of</w:t>
      </w:r>
      <w:r w:rsidR="00F338E4">
        <w:t xml:space="preserve"> </w:t>
      </w:r>
      <w:r w:rsidR="00F66B41">
        <w:t>100% of</w:t>
      </w:r>
      <w:r w:rsidR="00F338E4">
        <w:t xml:space="preserve"> individuals migrating into the camp after</w:t>
      </w:r>
      <w:r w:rsidR="00F66B41">
        <w:t xml:space="preserve"> the second mass vaccination campaign, we estimate the proportion susceptible on October 16, 2016 would have b</w:t>
      </w:r>
      <w:r w:rsidR="003E2D6F">
        <w:t>een 0.</w:t>
      </w:r>
      <w:r w:rsidR="00AB35E2">
        <w:t xml:space="preserve">52 </w:t>
      </w:r>
      <w:r w:rsidR="003E2D6F">
        <w:t>instead of 0.81</w:t>
      </w:r>
      <w:r w:rsidR="00AA143C">
        <w:t xml:space="preserve"> (Fig S</w:t>
      </w:r>
      <w:r w:rsidR="003B5A74">
        <w:t>5</w:t>
      </w:r>
      <w:r w:rsidR="00F66B41">
        <w:t>).</w:t>
      </w:r>
    </w:p>
    <w:p w14:paraId="2FE6C57A" w14:textId="77777777" w:rsidR="007B280D" w:rsidRDefault="007B280D" w:rsidP="00647CD9"/>
    <w:p w14:paraId="5CCF5D4C" w14:textId="1FF4A41E"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w:proofErr w:type="gramStart"/>
      <w:r w:rsidR="00686822">
        <w:t>R</w:t>
      </w:r>
      <w:r w:rsidR="00686822">
        <w:rPr>
          <w:vertAlign w:val="subscript"/>
        </w:rPr>
        <w:t>e</w:t>
      </w:r>
      <w:r w:rsidR="00DF1D39">
        <w:t>(</w:t>
      </w:r>
      <w:proofErr w:type="gramEnd"/>
      <w:r w:rsidR="00DF1D39">
        <w:t>t), exceeded unity for nearly two months, with a maximum likelihood estimate of 1.4</w:t>
      </w:r>
      <w:r w:rsidR="00D44ED7">
        <w:t>5 (1.18-1.75</w:t>
      </w:r>
      <w:r w:rsidR="00DF1D39">
        <w:t>)</w:t>
      </w:r>
      <w:r w:rsidR="00AA143C">
        <w:t xml:space="preserve"> (Fig S</w:t>
      </w:r>
      <w:r w:rsidR="003B5A74">
        <w:t>6</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R</w:t>
      </w:r>
      <w:r w:rsidR="00D44ED7">
        <w:rPr>
          <w:vertAlign w:val="subscript"/>
        </w:rPr>
        <w:t>0</w:t>
      </w:r>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7B0B58">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"[31]", "plainTextFormattedCitation" : "[31]", "previouslyFormattedCitation" : "[31]" }, "properties" : { "noteIndex" : 0 }, "schema" : "https://github.com/citation-style-language/schema/raw/master/csl-citation.json" }</w:instrText>
      </w:r>
      <w:r w:rsidR="00AB6369">
        <w:fldChar w:fldCharType="separate"/>
      </w:r>
      <w:r w:rsidR="00990BB5" w:rsidRPr="00990BB5">
        <w:rPr>
          <w:noProof/>
        </w:rPr>
        <w:t>[31]</w:t>
      </w:r>
      <w:r w:rsidR="00AB6369">
        <w:fldChar w:fldCharType="end"/>
      </w:r>
      <w:r w:rsidR="00B06F2C">
        <w:t xml:space="preserve"> </w:t>
      </w:r>
      <w:r w:rsidR="00D44ED7">
        <w:t>I</w:t>
      </w:r>
      <w:r w:rsidR="00104461">
        <w:t xml:space="preserve">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w:t>
      </w:r>
      <w:r w:rsidR="00D44ED7">
        <w:t>1.</w:t>
      </w:r>
      <w:r w:rsidR="007F3DC4">
        <w:t>80</w:t>
      </w:r>
      <w:r w:rsidR="00990BB5">
        <w:t xml:space="preserve"> pre-vaccination</w:t>
      </w:r>
      <w:r w:rsidR="009B1E00">
        <w:t>,</w:t>
      </w:r>
      <w:r w:rsidR="001C5C20">
        <w:t xml:space="preserve"> then</w:t>
      </w:r>
      <w:r w:rsidR="00985F21">
        <w:t xml:space="preserve"> the probability of an outbreak</w:t>
      </w:r>
      <w:r w:rsidR="00EF2973">
        <w:t xml:space="preserve"> after vaccination </w:t>
      </w:r>
      <w:r w:rsidR="00985F21">
        <w:t xml:space="preserve">first exceeded </w:t>
      </w:r>
      <w:r w:rsidR="00351361">
        <w:t>0.50</w:t>
      </w:r>
      <w:r w:rsidR="00985F21">
        <w:t xml:space="preserve"> </w:t>
      </w:r>
      <w:r w:rsidR="00EF2973">
        <w:t xml:space="preserve">in </w:t>
      </w:r>
      <w:r w:rsidR="007F3DC4">
        <w:t>May,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351361">
        <w:t xml:space="preserve">By December 1, 2016, we estimate that only 40.5% of camp residents had ever been vaccinated, which </w:t>
      </w:r>
      <w:r w:rsidR="00EF2973">
        <w:t>closely matches</w:t>
      </w:r>
      <w:r w:rsidR="00351361">
        <w:t xml:space="preserve"> a WHO/IOM survey that month showing </w:t>
      </w:r>
      <w:proofErr w:type="spellStart"/>
      <w:r w:rsidR="00351361">
        <w:t>kOCV</w:t>
      </w:r>
      <w:proofErr w:type="spellEnd"/>
      <w:r w:rsidR="00351361">
        <w:t xml:space="preserve"> coverage of 40%.</w:t>
      </w:r>
      <w:r w:rsidR="00351361">
        <w:fldChar w:fldCharType="begin" w:fldLock="1"/>
      </w:r>
      <w:r w:rsidR="007B0B58">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"[32]", "plainTextFormattedCitation" : "[32]", "previouslyFormattedCitation" : "[32]" }, "properties" : { "noteIndex" : 0 }, "schema" : "https://github.com/citation-style-language/schema/raw/master/csl-citation.json" }</w:instrText>
      </w:r>
      <w:r w:rsidR="00351361">
        <w:fldChar w:fldCharType="separate"/>
      </w:r>
      <w:r w:rsidR="00990BB5" w:rsidRPr="00990BB5">
        <w:rPr>
          <w:noProof/>
        </w:rPr>
        <w:t>[32]</w:t>
      </w:r>
      <w:r w:rsidR="00351361">
        <w:fldChar w:fldCharType="end"/>
      </w:r>
    </w:p>
    <w:p w14:paraId="7ECABF59" w14:textId="77777777" w:rsidR="00520DD4" w:rsidRDefault="00520DD4" w:rsidP="00520DD4"/>
    <w:p w14:paraId="4206D01F" w14:textId="392C6AAD" w:rsidR="00624556" w:rsidRPr="00DF6B9D" w:rsidRDefault="00100825" w:rsidP="00C976A5">
      <w:r>
        <w:t xml:space="preserve">The drivers of waning herd immunity in this population, from strongest to weakest, were </w:t>
      </w:r>
      <w:r w:rsidR="0036435E">
        <w:t xml:space="preserve">waning </w:t>
      </w:r>
      <m:oMath>
        <m:r>
          <w:rPr>
            <w:rFonts w:ascii="Cambria Math" w:hAnsi="Cambria Math"/>
          </w:rPr>
          <m:t>VE(t)</m:t>
        </m:r>
      </m:oMath>
      <w:r w:rsidR="0036435E">
        <w:t xml:space="preserve">, </w:t>
      </w:r>
      <w:r>
        <w:t xml:space="preserve">population growth </w:t>
      </w:r>
      <m:oMath>
        <m:r>
          <w:rPr>
            <w:rFonts w:ascii="Cambria Math" w:hAnsi="Cambria Math"/>
          </w:rPr>
          <m:t>N(t)</m:t>
        </m:r>
      </m:oMath>
      <w:r>
        <w:t>,</w:t>
      </w:r>
      <w:r w:rsidR="009D0774">
        <w:t xml:space="preserve"> </w:t>
      </w:r>
      <w:r w:rsidR="007F3DC4">
        <w:t>the population resettlement rate</w:t>
      </w:r>
      <w:r w:rsidR="009D0774">
        <w:t xml:space="preserve">, </w:t>
      </w:r>
      <w:r>
        <w:t>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0.34</m:t>
        </m:r>
      </m:oMath>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07742BCA" w14:textId="06B89473" w:rsidR="00403CC2" w:rsidRPr="00403CC2" w:rsidRDefault="00403CC2" w:rsidP="00403CC2">
      <w:pPr>
        <w:rPr>
          <w:b/>
        </w:rPr>
      </w:pPr>
      <w:r w:rsidRPr="00403CC2">
        <w:rPr>
          <w:b/>
        </w:rPr>
        <w:lastRenderedPageBreak/>
        <w:t xml:space="preserve">Table 1. </w:t>
      </w:r>
      <w:r w:rsidR="00D22BC8">
        <w:rPr>
          <w:b/>
        </w:rPr>
        <w:t xml:space="preserve">Magnitude of potential drivers of waning herd immunity in </w:t>
      </w:r>
      <w:proofErr w:type="spellStart"/>
      <w:r w:rsidR="00D22BC8">
        <w:rPr>
          <w:b/>
        </w:rPr>
        <w:t>Bentiu</w:t>
      </w:r>
      <w:proofErr w:type="spellEnd"/>
      <w:r w:rsidR="00D22BC8">
        <w:rPr>
          <w:b/>
        </w:rPr>
        <w:t xml:space="preserve"> </w:t>
      </w:r>
      <w:proofErr w:type="spellStart"/>
      <w:r w:rsidR="00D22BC8">
        <w:rPr>
          <w:b/>
        </w:rPr>
        <w:t>PoC</w:t>
      </w:r>
      <w:proofErr w:type="spellEnd"/>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D22BC8" w:rsidRPr="009D0774" w14:paraId="3ED90BCB" w14:textId="552522B7" w:rsidTr="00D22BC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122CE1E8" w14:textId="77777777" w:rsidR="00043F86" w:rsidRDefault="00043F86" w:rsidP="00D22BC8">
            <w:pPr>
              <w:jc w:val="center"/>
              <w:rPr>
                <w:b/>
                <w:sz w:val="20"/>
                <w:szCs w:val="20"/>
              </w:rPr>
            </w:pPr>
            <w:r>
              <w:rPr>
                <w:b/>
                <w:sz w:val="20"/>
                <w:szCs w:val="20"/>
              </w:rPr>
              <w:t>Vaccine Efficacy</w:t>
            </w:r>
          </w:p>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7F562F8A" w14:textId="77777777" w:rsidR="00722B8E" w:rsidRDefault="00722B8E" w:rsidP="00D65AB7">
            <w:pPr>
              <w:jc w:val="center"/>
              <w:rPr>
                <w:b/>
                <w:sz w:val="20"/>
                <w:szCs w:val="20"/>
              </w:rPr>
            </w:pPr>
            <w:r>
              <w:rPr>
                <w:b/>
                <w:sz w:val="20"/>
                <w:szCs w:val="20"/>
              </w:rPr>
              <w:t>Population Size</w:t>
            </w:r>
          </w:p>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514941D3" w14:textId="7E656737" w:rsidR="00A26E68" w:rsidRDefault="00A26E68" w:rsidP="00D65AB7">
            <w:pPr>
              <w:jc w:val="center"/>
              <w:rPr>
                <w:b/>
                <w:sz w:val="20"/>
                <w:szCs w:val="20"/>
              </w:rPr>
            </w:pPr>
            <w:r>
              <w:rPr>
                <w:b/>
                <w:sz w:val="20"/>
                <w:szCs w:val="20"/>
              </w:rPr>
              <w:t>Birth &amp;</w:t>
            </w:r>
          </w:p>
          <w:p w14:paraId="1ACFC1AA" w14:textId="21AF7EA6" w:rsidR="007C15E6" w:rsidRPr="009D0774" w:rsidRDefault="007C15E6" w:rsidP="00D65AB7">
            <w:pPr>
              <w:jc w:val="center"/>
              <w:rPr>
                <w:b/>
                <w:sz w:val="20"/>
                <w:szCs w:val="20"/>
              </w:rPr>
            </w:pPr>
            <w:r w:rsidRPr="009D0774">
              <w:rPr>
                <w:b/>
                <w:sz w:val="20"/>
                <w:szCs w:val="20"/>
              </w:rPr>
              <w:t>Death</w:t>
            </w:r>
            <w:r w:rsidR="00043F86">
              <w:rPr>
                <w:b/>
                <w:sz w:val="20"/>
                <w:szCs w:val="20"/>
              </w:rPr>
              <w:t xml:space="preserve"> Rate</w:t>
            </w:r>
          </w:p>
        </w:tc>
        <w:tc>
          <w:tcPr>
            <w:tcW w:w="1080" w:type="dxa"/>
            <w:vAlign w:val="center"/>
          </w:tcPr>
          <w:p w14:paraId="2F456309" w14:textId="2E3C6631" w:rsidR="007C15E6" w:rsidRPr="009D0774" w:rsidRDefault="00043F86" w:rsidP="00D65AB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78548E1" w14:textId="3FF7D5CB" w:rsidR="00D22BC8" w:rsidRDefault="00D22BC8" w:rsidP="00A26E68">
            <w:pPr>
              <w:jc w:val="center"/>
              <w:rPr>
                <w:b/>
                <w:sz w:val="20"/>
                <w:szCs w:val="20"/>
              </w:rPr>
            </w:pPr>
            <w:r>
              <w:rPr>
                <w:b/>
                <w:sz w:val="20"/>
                <w:szCs w:val="20"/>
              </w:rPr>
              <w:t>Percent Susceptible on Oct 16, 2016</w:t>
            </w:r>
          </w:p>
          <w:p w14:paraId="13F526AA" w14:textId="487EEB8B" w:rsidR="00A26E68" w:rsidRPr="00A26E68" w:rsidRDefault="00D22BC8" w:rsidP="00D22BC8">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D22BC8" w:rsidRPr="009D0774" w14:paraId="75941E69" w14:textId="77777777" w:rsidTr="00D22BC8">
        <w:tc>
          <w:tcPr>
            <w:tcW w:w="1620" w:type="dxa"/>
            <w:shd w:val="clear" w:color="auto" w:fill="auto"/>
            <w:vAlign w:val="center"/>
          </w:tcPr>
          <w:p w14:paraId="3F663B80" w14:textId="30A56F5D"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3C738495" w:rsidR="007C15E6" w:rsidRPr="009D0774" w:rsidRDefault="00722B8E" w:rsidP="00D65AB7">
            <w:pPr>
              <w:jc w:val="center"/>
              <w:rPr>
                <w:sz w:val="20"/>
                <w:szCs w:val="20"/>
              </w:rPr>
            </w:pPr>
            <w:r>
              <w:rPr>
                <w:sz w:val="20"/>
                <w:szCs w:val="20"/>
              </w:rPr>
              <w:t>70.3%</w:t>
            </w:r>
          </w:p>
        </w:tc>
        <w:tc>
          <w:tcPr>
            <w:tcW w:w="1260" w:type="dxa"/>
            <w:shd w:val="clear" w:color="auto" w:fill="D9D9D9" w:themeFill="background1" w:themeFillShade="D9"/>
            <w:vAlign w:val="center"/>
          </w:tcPr>
          <w:p w14:paraId="7B786504" w14:textId="5BC8FE06"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7291B587" w14:textId="791329C3" w:rsidR="007C15E6" w:rsidRPr="009D0774" w:rsidRDefault="00944310" w:rsidP="00722B8E">
            <w:pPr>
              <w:jc w:val="center"/>
              <w:rPr>
                <w:sz w:val="20"/>
                <w:szCs w:val="20"/>
              </w:rPr>
            </w:pPr>
            <w:r>
              <w:rPr>
                <w:sz w:val="20"/>
                <w:szCs w:val="20"/>
              </w:rPr>
              <w:t>34.4</w:t>
            </w:r>
            <w:r w:rsidR="00722B8E">
              <w:rPr>
                <w:sz w:val="20"/>
                <w:szCs w:val="20"/>
              </w:rPr>
              <w:t>%</w:t>
            </w:r>
          </w:p>
        </w:tc>
        <w:tc>
          <w:tcPr>
            <w:tcW w:w="81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D22BC8" w:rsidRPr="009D0774" w14:paraId="35D323DB" w14:textId="13FB3E72" w:rsidTr="00D22BC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m:oMath>
              <m:r>
                <m:rPr>
                  <m:sty m:val="bi"/>
                </m:rPr>
                <w:rPr>
                  <w:rFonts w:ascii="Cambria Math" w:hAnsi="Cambria Math"/>
                  <w:sz w:val="20"/>
                  <w:szCs w:val="20"/>
                </w:rPr>
                <m:t>VE(t)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011020CF" w14:textId="275256FB" w:rsidR="007C15E6" w:rsidRPr="009D0774" w:rsidRDefault="007C15E6" w:rsidP="00642CB4">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987B263" w14:textId="660C6189" w:rsidR="007C15E6" w:rsidRPr="009D0774" w:rsidRDefault="00D56582" w:rsidP="00D65AB7">
            <w:pPr>
              <w:jc w:val="center"/>
              <w:rPr>
                <w:sz w:val="20"/>
                <w:szCs w:val="20"/>
              </w:rPr>
            </w:pPr>
            <w:r>
              <w:rPr>
                <w:sz w:val="20"/>
                <w:szCs w:val="20"/>
              </w:rPr>
              <w:t>58.2</w:t>
            </w:r>
            <w:r w:rsidR="00722B8E">
              <w:rPr>
                <w:sz w:val="20"/>
                <w:szCs w:val="20"/>
              </w:rPr>
              <w:t>%</w:t>
            </w:r>
          </w:p>
        </w:tc>
        <w:tc>
          <w:tcPr>
            <w:tcW w:w="810" w:type="dxa"/>
            <w:vAlign w:val="center"/>
          </w:tcPr>
          <w:p w14:paraId="42B31062" w14:textId="32CB0133" w:rsidR="007C15E6" w:rsidRPr="009D0774" w:rsidRDefault="003E2D6F" w:rsidP="007C15E6">
            <w:pPr>
              <w:jc w:val="center"/>
              <w:rPr>
                <w:sz w:val="20"/>
                <w:szCs w:val="20"/>
              </w:rPr>
            </w:pPr>
            <w:r>
              <w:rPr>
                <w:sz w:val="20"/>
                <w:szCs w:val="20"/>
              </w:rPr>
              <w:t>23.8</w:t>
            </w:r>
            <w:r w:rsidR="00F20348">
              <w:rPr>
                <w:sz w:val="20"/>
                <w:szCs w:val="20"/>
              </w:rPr>
              <w:t>%</w:t>
            </w:r>
          </w:p>
        </w:tc>
        <w:tc>
          <w:tcPr>
            <w:tcW w:w="1440" w:type="dxa"/>
            <w:vAlign w:val="center"/>
          </w:tcPr>
          <w:p w14:paraId="289769CA" w14:textId="5FC29712" w:rsidR="007C15E6" w:rsidRPr="009D0774" w:rsidRDefault="003E2D6F" w:rsidP="009D0774">
            <w:pPr>
              <w:jc w:val="center"/>
              <w:rPr>
                <w:sz w:val="20"/>
                <w:szCs w:val="20"/>
              </w:rPr>
            </w:pPr>
            <w:r>
              <w:rPr>
                <w:sz w:val="20"/>
                <w:szCs w:val="20"/>
              </w:rPr>
              <w:t>35.9</w:t>
            </w:r>
            <w:r w:rsidR="007C15E6" w:rsidRPr="009D0774">
              <w:rPr>
                <w:sz w:val="20"/>
                <w:szCs w:val="20"/>
              </w:rPr>
              <w:t>%</w:t>
            </w:r>
          </w:p>
        </w:tc>
      </w:tr>
      <w:tr w:rsidR="00D22BC8" w:rsidRPr="009D0774" w14:paraId="23694327" w14:textId="53C24412" w:rsidTr="00D22BC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m:oMath>
              <m:r>
                <m:rPr>
                  <m:sty m:val="bi"/>
                </m:rPr>
                <w:rPr>
                  <w:rFonts w:ascii="Cambria Math" w:hAnsi="Cambria Math"/>
                  <w:sz w:val="20"/>
                  <w:szCs w:val="20"/>
                </w:rPr>
                <m:t>N(t)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02FC7312" w:rsidR="007C15E6" w:rsidRPr="009D0774" w:rsidRDefault="00722B8E" w:rsidP="00642CB4">
            <w:pPr>
              <w:jc w:val="center"/>
              <w:rPr>
                <w:sz w:val="20"/>
                <w:szCs w:val="20"/>
              </w:rPr>
            </w:pPr>
            <w:r>
              <w:rPr>
                <w:sz w:val="20"/>
                <w:szCs w:val="20"/>
              </w:rPr>
              <w:t>70.3%</w:t>
            </w:r>
            <w:r w:rsidR="007C15E6" w:rsidRPr="009D0774">
              <w:rPr>
                <w:sz w:val="20"/>
                <w:szCs w:val="20"/>
              </w:rPr>
              <w:t xml:space="preserve"> </w:t>
            </w:r>
          </w:p>
        </w:tc>
        <w:tc>
          <w:tcPr>
            <w:tcW w:w="126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4DB7E8C2" w14:textId="0506A65D" w:rsidR="007C15E6" w:rsidRPr="009D0774" w:rsidRDefault="00D56582" w:rsidP="00D65AB7">
            <w:pPr>
              <w:jc w:val="center"/>
              <w:rPr>
                <w:sz w:val="20"/>
                <w:szCs w:val="20"/>
              </w:rPr>
            </w:pPr>
            <w:r>
              <w:rPr>
                <w:sz w:val="20"/>
                <w:szCs w:val="20"/>
              </w:rPr>
              <w:t>56.6</w:t>
            </w:r>
            <w:r w:rsidR="00722B8E">
              <w:rPr>
                <w:sz w:val="20"/>
                <w:szCs w:val="20"/>
              </w:rPr>
              <w:t>%</w:t>
            </w:r>
          </w:p>
        </w:tc>
        <w:tc>
          <w:tcPr>
            <w:tcW w:w="810" w:type="dxa"/>
            <w:vAlign w:val="center"/>
          </w:tcPr>
          <w:p w14:paraId="0D858296" w14:textId="31B47957" w:rsidR="007C15E6" w:rsidRPr="009D0774" w:rsidRDefault="003E2D6F" w:rsidP="007C15E6">
            <w:pPr>
              <w:jc w:val="center"/>
              <w:rPr>
                <w:sz w:val="20"/>
                <w:szCs w:val="20"/>
              </w:rPr>
            </w:pPr>
            <w:r>
              <w:rPr>
                <w:sz w:val="20"/>
                <w:szCs w:val="20"/>
              </w:rPr>
              <w:t>22.2</w:t>
            </w:r>
            <w:r w:rsidR="00F20348">
              <w:rPr>
                <w:sz w:val="20"/>
                <w:szCs w:val="20"/>
              </w:rPr>
              <w:t>%</w:t>
            </w:r>
          </w:p>
        </w:tc>
        <w:tc>
          <w:tcPr>
            <w:tcW w:w="1440" w:type="dxa"/>
            <w:vAlign w:val="center"/>
          </w:tcPr>
          <w:p w14:paraId="5EBA50A3" w14:textId="40950B40" w:rsidR="007C15E6" w:rsidRPr="009D0774" w:rsidRDefault="003E2D6F" w:rsidP="009D0774">
            <w:pPr>
              <w:jc w:val="center"/>
              <w:rPr>
                <w:sz w:val="20"/>
                <w:szCs w:val="20"/>
              </w:rPr>
            </w:pPr>
            <w:r>
              <w:rPr>
                <w:sz w:val="20"/>
                <w:szCs w:val="20"/>
              </w:rPr>
              <w:t>32.6</w:t>
            </w:r>
            <w:r w:rsidR="007C15E6" w:rsidRPr="009D0774">
              <w:rPr>
                <w:sz w:val="20"/>
                <w:szCs w:val="20"/>
              </w:rPr>
              <w:t>%</w:t>
            </w:r>
          </w:p>
        </w:tc>
      </w:tr>
      <w:tr w:rsidR="00D22BC8" w:rsidRPr="009D0774" w14:paraId="685635D3" w14:textId="2CB45ED9" w:rsidTr="00D22BC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6659F470"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2FE39155" w14:textId="6EBF554E"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4B2EE3" w14:textId="3EA30C4A" w:rsidR="007C15E6" w:rsidRPr="009D0774" w:rsidRDefault="0020319A"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7BC92BE" w14:textId="428E900D" w:rsidR="007C15E6" w:rsidRPr="009D0774" w:rsidRDefault="005157F8" w:rsidP="00D56582">
            <w:pPr>
              <w:jc w:val="center"/>
              <w:rPr>
                <w:sz w:val="20"/>
                <w:szCs w:val="20"/>
              </w:rPr>
            </w:pPr>
            <w:r>
              <w:rPr>
                <w:sz w:val="20"/>
                <w:szCs w:val="20"/>
              </w:rPr>
              <w:t>38.</w:t>
            </w:r>
            <w:r w:rsidR="00D56582">
              <w:rPr>
                <w:sz w:val="20"/>
                <w:szCs w:val="20"/>
              </w:rPr>
              <w:t>1</w:t>
            </w:r>
            <w:r w:rsidR="00722B8E">
              <w:rPr>
                <w:sz w:val="20"/>
                <w:szCs w:val="20"/>
              </w:rPr>
              <w:t>%</w:t>
            </w:r>
          </w:p>
        </w:tc>
        <w:tc>
          <w:tcPr>
            <w:tcW w:w="810" w:type="dxa"/>
            <w:vAlign w:val="center"/>
          </w:tcPr>
          <w:p w14:paraId="5CF8A0D1" w14:textId="28CD42A9" w:rsidR="007C15E6" w:rsidRPr="009D0774" w:rsidRDefault="003E2D6F" w:rsidP="007C15E6">
            <w:pPr>
              <w:jc w:val="center"/>
              <w:rPr>
                <w:sz w:val="20"/>
                <w:szCs w:val="20"/>
              </w:rPr>
            </w:pPr>
            <w:r>
              <w:rPr>
                <w:sz w:val="20"/>
                <w:szCs w:val="20"/>
              </w:rPr>
              <w:t>3.7</w:t>
            </w:r>
            <w:r w:rsidR="00F20348">
              <w:rPr>
                <w:sz w:val="20"/>
                <w:szCs w:val="20"/>
              </w:rPr>
              <w:t>%</w:t>
            </w:r>
          </w:p>
        </w:tc>
        <w:tc>
          <w:tcPr>
            <w:tcW w:w="1440" w:type="dxa"/>
            <w:vAlign w:val="center"/>
          </w:tcPr>
          <w:p w14:paraId="1EA7784F" w14:textId="336AB139" w:rsidR="007C15E6" w:rsidRPr="009D0774" w:rsidRDefault="003E2D6F" w:rsidP="009D0774">
            <w:pPr>
              <w:jc w:val="center"/>
              <w:rPr>
                <w:sz w:val="20"/>
                <w:szCs w:val="20"/>
              </w:rPr>
            </w:pPr>
            <w:r>
              <w:rPr>
                <w:sz w:val="20"/>
                <w:szCs w:val="20"/>
              </w:rPr>
              <w:t>5.4</w:t>
            </w:r>
            <w:r w:rsidR="007C15E6" w:rsidRPr="009D0774">
              <w:rPr>
                <w:sz w:val="20"/>
                <w:szCs w:val="20"/>
              </w:rPr>
              <w:t>%</w:t>
            </w:r>
          </w:p>
        </w:tc>
      </w:tr>
      <w:tr w:rsidR="00D22BC8" w:rsidRPr="009D0774" w14:paraId="767B0A44" w14:textId="19BF417F" w:rsidTr="00D22BC8">
        <w:tc>
          <w:tcPr>
            <w:tcW w:w="1620" w:type="dxa"/>
            <w:shd w:val="clear" w:color="auto" w:fill="auto"/>
            <w:vAlign w:val="center"/>
          </w:tcPr>
          <w:p w14:paraId="6C8AA8F7" w14:textId="2986F5FF" w:rsidR="007C15E6" w:rsidRPr="009D0774" w:rsidRDefault="00D22BC8" w:rsidP="00D65AB7">
            <w:pPr>
              <w:jc w:val="center"/>
              <w:rPr>
                <w:b/>
                <w:sz w:val="20"/>
                <w:szCs w:val="20"/>
              </w:rPr>
            </w:pPr>
            <w:r>
              <w:rPr>
                <w:b/>
                <w:sz w:val="20"/>
                <w:szCs w:val="20"/>
              </w:rPr>
              <w:t>Only Net-Zero Resettlement</w:t>
            </w:r>
          </w:p>
        </w:tc>
        <w:tc>
          <w:tcPr>
            <w:tcW w:w="1080" w:type="dxa"/>
            <w:shd w:val="clear" w:color="auto" w:fill="D9D9D9" w:themeFill="background1" w:themeFillShade="D9"/>
            <w:vAlign w:val="center"/>
          </w:tcPr>
          <w:p w14:paraId="1E80FDF6" w14:textId="670D2031"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559B89BA" w14:textId="5BD8B41C"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080" w:type="dxa"/>
            <w:shd w:val="clear" w:color="auto" w:fill="C6D9F1" w:themeFill="text2" w:themeFillTint="33"/>
            <w:vAlign w:val="center"/>
          </w:tcPr>
          <w:p w14:paraId="4853604A" w14:textId="438E514F" w:rsidR="007C15E6" w:rsidRPr="009D0774" w:rsidRDefault="0020319A"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41A1C7CE" w14:textId="5C61049F" w:rsidR="007C15E6" w:rsidRPr="009D0774" w:rsidRDefault="003E2D6F" w:rsidP="00D65AB7">
            <w:pPr>
              <w:jc w:val="center"/>
              <w:rPr>
                <w:sz w:val="20"/>
                <w:szCs w:val="20"/>
              </w:rPr>
            </w:pPr>
            <w:r>
              <w:rPr>
                <w:sz w:val="20"/>
                <w:szCs w:val="20"/>
              </w:rPr>
              <w:t>52.9</w:t>
            </w:r>
            <w:r w:rsidR="00722B8E">
              <w:rPr>
                <w:sz w:val="20"/>
                <w:szCs w:val="20"/>
              </w:rPr>
              <w:t>%</w:t>
            </w:r>
          </w:p>
        </w:tc>
        <w:tc>
          <w:tcPr>
            <w:tcW w:w="810" w:type="dxa"/>
            <w:vAlign w:val="center"/>
          </w:tcPr>
          <w:p w14:paraId="76326CC5" w14:textId="266AF877" w:rsidR="007C15E6" w:rsidRPr="009D0774" w:rsidRDefault="003E2D6F" w:rsidP="007C15E6">
            <w:pPr>
              <w:jc w:val="center"/>
              <w:rPr>
                <w:sz w:val="20"/>
                <w:szCs w:val="20"/>
              </w:rPr>
            </w:pPr>
            <w:r>
              <w:rPr>
                <w:sz w:val="20"/>
                <w:szCs w:val="20"/>
              </w:rPr>
              <w:t>18.5</w:t>
            </w:r>
            <w:r w:rsidR="00F20348">
              <w:rPr>
                <w:sz w:val="20"/>
                <w:szCs w:val="20"/>
              </w:rPr>
              <w:t>%</w:t>
            </w:r>
          </w:p>
        </w:tc>
        <w:tc>
          <w:tcPr>
            <w:tcW w:w="1440" w:type="dxa"/>
            <w:vAlign w:val="center"/>
          </w:tcPr>
          <w:p w14:paraId="594073F6" w14:textId="259B5AB0" w:rsidR="007C15E6" w:rsidRPr="009D0774" w:rsidRDefault="003E2D6F" w:rsidP="009D0774">
            <w:pPr>
              <w:jc w:val="center"/>
              <w:rPr>
                <w:sz w:val="20"/>
                <w:szCs w:val="20"/>
              </w:rPr>
            </w:pPr>
            <w:r>
              <w:rPr>
                <w:sz w:val="20"/>
                <w:szCs w:val="20"/>
              </w:rPr>
              <w:t>27.1</w:t>
            </w:r>
            <w:r w:rsidR="007C15E6" w:rsidRPr="009D0774">
              <w:rPr>
                <w:sz w:val="20"/>
                <w:szCs w:val="20"/>
              </w:rPr>
              <w:t>%</w:t>
            </w:r>
          </w:p>
        </w:tc>
      </w:tr>
      <w:tr w:rsidR="00D22BC8" w:rsidRPr="009D0774" w14:paraId="11F1D063" w14:textId="77777777" w:rsidTr="00D22BC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26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4B273664" w14:textId="62B9A9B9" w:rsidR="00B160BF" w:rsidRPr="009D0774" w:rsidRDefault="0020319A"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A5E82EE" w14:textId="4CE3018B" w:rsidR="00B160BF" w:rsidRPr="009D0774" w:rsidRDefault="0020319A"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D1ADD1" w14:textId="31AE9B03" w:rsidR="00B160BF" w:rsidRPr="009D0774" w:rsidRDefault="005157F8" w:rsidP="003E2D6F">
            <w:pPr>
              <w:jc w:val="center"/>
              <w:rPr>
                <w:sz w:val="20"/>
                <w:szCs w:val="20"/>
              </w:rPr>
            </w:pPr>
            <w:r>
              <w:rPr>
                <w:sz w:val="20"/>
                <w:szCs w:val="20"/>
              </w:rPr>
              <w:t>8</w:t>
            </w:r>
            <w:r w:rsidR="003E2D6F">
              <w:rPr>
                <w:sz w:val="20"/>
                <w:szCs w:val="20"/>
              </w:rPr>
              <w:t>0.8</w:t>
            </w:r>
            <w:r w:rsidR="00722B8E">
              <w:rPr>
                <w:sz w:val="20"/>
                <w:szCs w:val="20"/>
              </w:rPr>
              <w:t>%</w:t>
            </w:r>
          </w:p>
        </w:tc>
        <w:tc>
          <w:tcPr>
            <w:tcW w:w="810" w:type="dxa"/>
            <w:vAlign w:val="center"/>
          </w:tcPr>
          <w:p w14:paraId="61495B5E" w14:textId="1EBC5232" w:rsidR="00B160BF" w:rsidRPr="00786B9B" w:rsidRDefault="003E2D6F" w:rsidP="00F20348">
            <w:pPr>
              <w:jc w:val="center"/>
              <w:rPr>
                <w:sz w:val="20"/>
                <w:szCs w:val="20"/>
              </w:rPr>
            </w:pPr>
            <w:r>
              <w:rPr>
                <w:sz w:val="20"/>
                <w:szCs w:val="20"/>
              </w:rPr>
              <w:t>46.3</w:t>
            </w:r>
            <w:r w:rsidR="00F20348">
              <w:rPr>
                <w:sz w:val="20"/>
                <w:szCs w:val="20"/>
              </w:rPr>
              <w:t>%</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0A3EFFA7" w14:textId="5E811E04" w:rsidR="00575CD5" w:rsidRDefault="008B0F31" w:rsidP="00894C01">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r>
        <w:t>population</w:t>
      </w:r>
      <w:r w:rsidR="00B4283C">
        <w:t xml:space="preserve"> mobility</w:t>
      </w:r>
      <w:r>
        <w:t xml:space="preserve"> that </w:t>
      </w:r>
      <w:proofErr w:type="gramStart"/>
      <w:r>
        <w:t>drives</w:t>
      </w:r>
      <w:proofErr w:type="gramEnd"/>
      <w:r>
        <w:t xml:space="preserve"> an net influx of susceptible people</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a</w:t>
      </w:r>
      <w:r w:rsidR="00A4567B">
        <w:t xml:space="preserve"> re-emergence</w:t>
      </w:r>
      <w:r w:rsidR="0036435E">
        <w:t xml:space="preserve"> </w:t>
      </w:r>
      <w:r w:rsidR="004C2699">
        <w:t xml:space="preserve">of disease </w:t>
      </w:r>
      <w:r w:rsidR="00A4567B">
        <w:t>does not imply vaccine failure</w:t>
      </w:r>
      <w:r>
        <w:t xml:space="preserve"> and can be avoided by data-driven revaccination strategies or by scaling-up long-term solutions while vaccine protection remains</w:t>
      </w:r>
      <w:r w:rsidR="00A4567B">
        <w:t xml:space="preserve">. </w:t>
      </w:r>
      <w:r>
        <w:t xml:space="preserve">Our results provide key </w:t>
      </w:r>
      <w:r w:rsidR="00575CD5">
        <w:t>time window</w:t>
      </w:r>
      <w:r w:rsidR="00956C4C">
        <w:t>s during which policy-makers</w:t>
      </w:r>
      <w:r w:rsidR="00575CD5">
        <w:t xml:space="preserve"> can expect a population to resist a cholera outbreak even if the pathogen were to be introduced. We developed an interactive tool to facilitate implementation of these results for a user-defined setting (</w:t>
      </w:r>
      <w:hyperlink r:id="rId14"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575CD5"/>
    <w:p w14:paraId="7AB15C96" w14:textId="367068EF"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990BB5">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"[35]", "plainTextFormattedCitation" : "[35]", "previouslyFormattedCitation" : "[35]" }, "properties" : { "noteIndex" : 0 }, "schema" : "https://github.com/citation-style-language/schema/raw/master/csl-citation.json" }</w:instrText>
      </w:r>
      <w:r w:rsidR="00DF40CD">
        <w:fldChar w:fldCharType="separate"/>
      </w:r>
      <w:r w:rsidR="008E58D5" w:rsidRPr="008E58D5">
        <w:rPr>
          <w:noProof/>
        </w:rPr>
        <w:t>[35]</w:t>
      </w:r>
      <w:r w:rsidR="00DF40CD">
        <w:fldChar w:fldCharType="end"/>
      </w:r>
      <w:r w:rsidR="00811CA3">
        <w:t xml:space="preserve"> </w:t>
      </w:r>
      <w:r>
        <w:t>Recent work has also shown serological triggers for periodic mass v</w:t>
      </w:r>
      <w:r w:rsidR="003B6D69">
        <w:t>accination can be an effective and efficient</w:t>
      </w:r>
      <w:r>
        <w:t xml:space="preserve"> method to maintain herd immunity.</w:t>
      </w:r>
      <w:r>
        <w:fldChar w:fldCharType="begin" w:fldLock="1"/>
      </w:r>
      <w:r w:rsidR="00990BB5">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"[36]", "plainTextFormattedCitation" : "[36]", "previouslyFormattedCitation" : "[36]" }, "properties" : { "noteIndex" : 0 }, "schema" : "https://github.com/citation-style-language/schema/raw/master/csl-citation.json" }</w:instrText>
      </w:r>
      <w:r>
        <w:fldChar w:fldCharType="separate"/>
      </w:r>
      <w:r w:rsidR="008E58D5" w:rsidRPr="008E58D5">
        <w:rPr>
          <w:noProof/>
        </w:rPr>
        <w:t>[36]</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990BB5">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"[37]", "plainTextFormattedCitation" : "[37]", "previouslyFormattedCitation" : "[37]" }, "properties" : { "noteIndex" : 0 }, "schema" : "https://github.com/citation-style-language/schema/raw/master/csl-citation.json" }</w:instrText>
      </w:r>
      <w:r w:rsidR="00226BF1">
        <w:fldChar w:fldCharType="separate"/>
      </w:r>
      <w:r w:rsidR="008E58D5" w:rsidRPr="008E58D5">
        <w:rPr>
          <w:noProof/>
        </w:rPr>
        <w:t>[37]</w:t>
      </w:r>
      <w:r w:rsidR="00226BF1">
        <w:fldChar w:fldCharType="end"/>
      </w:r>
    </w:p>
    <w:p w14:paraId="08682F25" w14:textId="77777777" w:rsidR="00575CD5" w:rsidRDefault="00575CD5" w:rsidP="00575CD5"/>
    <w:p w14:paraId="2A4B6D18" w14:textId="2CAA85AB" w:rsidR="00F100C2" w:rsidRDefault="00575CD5" w:rsidP="004938BA">
      <w:r>
        <w:t>Current guidelines for the optimal use of the OCV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990BB5">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"[38]", "plainTextFormattedCitation" : "[38]", "previouslyFormattedCitation" : "[38]" }, "properties" : { "noteIndex" : 0 }, "schema" : "https://github.com/citation-style-language/schema/raw/master/csl-citation.json" }</w:instrText>
      </w:r>
      <w:r w:rsidR="007A6AEE">
        <w:fldChar w:fldCharType="separate"/>
      </w:r>
      <w:r w:rsidR="008E58D5" w:rsidRPr="008E58D5">
        <w:rPr>
          <w:noProof/>
        </w:rPr>
        <w:t>[38]</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990BB5">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"[39]", "plainTextFormattedCitation" : "[39]", "previouslyFormattedCitation" : "[39]" }, "properties" : { "noteIndex" : 0 }, "schema" : "https://github.com/citation-style-language/schema/raw/master/csl-citation.json" }</w:instrText>
      </w:r>
      <w:r>
        <w:fldChar w:fldCharType="separate"/>
      </w:r>
      <w:r w:rsidR="008E58D5" w:rsidRPr="008E58D5">
        <w:rPr>
          <w:noProof/>
        </w:rPr>
        <w:t>[39]</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990BB5">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"[40]", "plainTextFormattedCitation" : "[40]", "previouslyFormattedCitation" : "[40]" }, "properties" : { "noteIndex" : 0 }, "schema" : "https://github.com/citation-style-language/schema/raw/master/csl-citation.json" }</w:instrText>
      </w:r>
      <w:r w:rsidR="007E20EF">
        <w:fldChar w:fldCharType="separate"/>
      </w:r>
      <w:r w:rsidR="008E58D5" w:rsidRPr="008E58D5">
        <w:rPr>
          <w:noProof/>
        </w:rPr>
        <w:t>[40]</w:t>
      </w:r>
      <w:r w:rsidR="007E20EF">
        <w:fldChar w:fldCharType="end"/>
      </w:r>
      <w:r>
        <w:t xml:space="preserve"> We find that the optimal migration rate shifts lower (i.e., preferring less mobile populations) in settings with a high average R</w:t>
      </w:r>
      <w:r>
        <w:rPr>
          <w:vertAlign w:val="subscript"/>
        </w:rPr>
        <w:t>0</w:t>
      </w:r>
      <w:r>
        <w:t xml:space="preserve">. </w:t>
      </w:r>
    </w:p>
    <w:p w14:paraId="743C88F4" w14:textId="77777777" w:rsidR="00F100C2" w:rsidRDefault="00F100C2" w:rsidP="004938BA"/>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w:t>
      </w:r>
      <w:r w:rsidR="00596D3C">
        <w:lastRenderedPageBreak/>
        <w:t xml:space="preserve">infrastructures. In that case, we would expect the routine vaccination of migrants to be even more crucial. </w:t>
      </w:r>
    </w:p>
    <w:p w14:paraId="548768E1" w14:textId="1B8A4450" w:rsidR="006F3BBC" w:rsidRDefault="006F3BBC" w:rsidP="00596D3C"/>
    <w:p w14:paraId="210EF96A" w14:textId="34377B6C" w:rsidR="00C06A72" w:rsidRPr="00C06A72" w:rsidRDefault="00CB5408" w:rsidP="002C5E5F">
      <w:r>
        <w:t>Our model assumes a leaky</w:t>
      </w:r>
      <w:r w:rsidR="0088685D">
        <w:t xml:space="preserve"> mode of vaccine action, </w:t>
      </w:r>
      <w:r w:rsidR="002C5E5F">
        <w:t>whereby vaccination reduces the disease susceptibility of each recipient to a non-zero level</w:t>
      </w:r>
      <w:r w:rsidR="0088685D">
        <w:t>. However, our calculation of proportion susceptible</w:t>
      </w:r>
      <w:r w:rsidR="00170538">
        <w:t xml:space="preserve">, </w:t>
      </w:r>
      <w:proofErr w:type="gramStart"/>
      <w:r w:rsidR="0088685D">
        <w:t>X(</w:t>
      </w:r>
      <w:proofErr w:type="gramEnd"/>
      <w:r w:rsidR="0088685D">
        <w:t>t)</w:t>
      </w:r>
      <w:r w:rsidR="00170538">
        <w:t>,</w:t>
      </w:r>
      <w:r w:rsidR="0088685D">
        <w:t xml:space="preserve"> is robust to other assumptions</w:t>
      </w:r>
      <w:r w:rsidR="007B0B58">
        <w:t xml:space="preserve"> regarding the method by which vaccine efficacy waning occurs: time-dependent failure in “take,” corresponding to an all or nothing response; and time-dependent failure in “degree,” corresponding to a leaky vaccine response</w:t>
      </w:r>
      <w:r w:rsidR="00AA143C">
        <w:t xml:space="preserve"> (Fig S</w:t>
      </w:r>
      <w:r w:rsidR="003B5A74">
        <w:t>7</w:t>
      </w:r>
      <w:r w:rsidR="00146272">
        <w:t>).</w:t>
      </w:r>
      <w:r w:rsidR="007B0B58">
        <w:fldChar w:fldCharType="begin" w:fldLock="1"/>
      </w:r>
      <w:r w:rsidR="00BB4544">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"[41]", "plainTextFormattedCitation" : "[41]", "previouslyFormattedCitation" : "[41]" }, "properties" : { "noteIndex" : 0 }, "schema" : "https://github.com/citation-style-language/schema/raw/master/csl-citation.json" }</w:instrText>
      </w:r>
      <w:r w:rsidR="007B0B58">
        <w:fldChar w:fldCharType="separate"/>
      </w:r>
      <w:r w:rsidR="007B0B58" w:rsidRPr="007B0B58">
        <w:rPr>
          <w:noProof/>
        </w:rPr>
        <w:t>[41]</w:t>
      </w:r>
      <w:r w:rsidR="007B0B58">
        <w:fldChar w:fldCharType="end"/>
      </w:r>
      <w:r w:rsidR="00146272">
        <w:t xml:space="preserve"> </w:t>
      </w:r>
      <w:r w:rsidR="003210F2">
        <w:t>Our parameterization of a leaky, waning vaccine aligns with prevailing interpretations</w:t>
      </w:r>
      <w:r w:rsidR="007E20EF">
        <w:fldChar w:fldCharType="begin" w:fldLock="1"/>
      </w:r>
      <w:r w:rsidR="007B0B5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"[18]", "plainTextFormattedCitation" : "[18]", "previouslyFormattedCitation" : "[18]" }, "properties" : { "noteIndex" : 0 }, "schema" : "https://github.com/citation-style-language/schema/raw/master/csl-citation.json" }</w:instrText>
      </w:r>
      <w:r w:rsidR="007E20EF">
        <w:fldChar w:fldCharType="separate"/>
      </w:r>
      <w:r w:rsidR="00990BB5" w:rsidRPr="00990BB5">
        <w:rPr>
          <w:noProof/>
        </w:rPr>
        <w:t>[18]</w:t>
      </w:r>
      <w:r w:rsidR="007E20EF">
        <w:fldChar w:fldCharType="end"/>
      </w:r>
      <w:r w:rsidR="003210F2">
        <w:t xml:space="preserve"> of the clinical trial data,</w:t>
      </w:r>
      <w:r w:rsidR="007E20EF">
        <w:fldChar w:fldCharType="begin" w:fldLock="1"/>
      </w:r>
      <w:r w:rsidR="007B0B58">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"[22]", "plainTextFormattedCitation" : "[22]", "previouslyFormattedCitation" : "[22]" }, "properties" : { "noteIndex" : 0 }, "schema" : "https://github.com/citation-style-language/schema/raw/master/csl-citation.json" }</w:instrText>
      </w:r>
      <w:r w:rsidR="007E20EF">
        <w:fldChar w:fldCharType="separate"/>
      </w:r>
      <w:r w:rsidR="00990BB5" w:rsidRPr="00990BB5">
        <w:rPr>
          <w:noProof/>
        </w:rPr>
        <w:t>[22]</w:t>
      </w:r>
      <w:r w:rsidR="007E20EF">
        <w:fldChar w:fldCharType="end"/>
      </w:r>
      <w:r w:rsidR="003210F2">
        <w:t xml:space="preserve"> as opposed to alternative possible explanations for changes in VE(t) over time in an RCT, such as frailty, loss to follow up, </w:t>
      </w:r>
      <w:r w:rsidR="008E5ADF">
        <w:t xml:space="preserve">and </w:t>
      </w:r>
      <w:r w:rsidR="003210F2">
        <w:t>random variability</w:t>
      </w:r>
      <w:r w:rsidR="008E5ADF">
        <w:t>.</w:t>
      </w:r>
      <w:r w:rsidR="003210F2">
        <w:fldChar w:fldCharType="begin" w:fldLock="1"/>
      </w:r>
      <w:r w:rsidR="00BB4544">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"[42]", "plainTextFormattedCitation" : "[42]", "previouslyFormattedCitation" : "[42]" }, "properties" : { "noteIndex" : 0 }, "schema" : "https://github.com/citation-style-language/schema/raw/master/csl-citation.json" }</w:instrText>
      </w:r>
      <w:r w:rsidR="003210F2">
        <w:fldChar w:fldCharType="separate"/>
      </w:r>
      <w:r w:rsidR="007B0B58" w:rsidRPr="007B0B58">
        <w:rPr>
          <w:noProof/>
        </w:rPr>
        <w:t>[42]</w:t>
      </w:r>
      <w:r w:rsidR="003210F2">
        <w:fldChar w:fldCharType="end"/>
      </w:r>
    </w:p>
    <w:p w14:paraId="28EB1FBB" w14:textId="66A2E4D3" w:rsidR="0071157B" w:rsidRDefault="0071157B" w:rsidP="00F038DC"/>
    <w:p w14:paraId="762011A8" w14:textId="66ADA94F" w:rsidR="0016567C" w:rsidRDefault="0016567C" w:rsidP="00F038DC">
      <w:r>
        <w:t xml:space="preserve">The migration rates estimated from the three settings are intended for benchmarking and not to imply that these rates are </w:t>
      </w:r>
      <w:r w:rsidR="008E5ADF">
        <w:t xml:space="preserve">either constant or generalizable to the </w:t>
      </w:r>
      <w:r w:rsidR="00596D3C">
        <w:t>whole population</w:t>
      </w:r>
      <w:r>
        <w:t>.</w:t>
      </w:r>
      <w:r w:rsidR="00B41222">
        <w:t xml:space="preserve"> </w:t>
      </w:r>
      <w:r w:rsidR="00F100C2">
        <w:t>Indeed, if within a single population there existed a stable group of permanent residents and a high mobile group of temporary residents, we may expect to retain herd immunity for a long</w:t>
      </w:r>
      <w:r w:rsidR="008E5ADF">
        <w:t>er</w:t>
      </w:r>
      <w:r w:rsidR="00F100C2">
        <w:t xml:space="preserve"> time after vaccination for a given average residence time. T</w:t>
      </w:r>
      <w:r w:rsidR="007353D3">
        <w:t xml:space="preserve">he </w:t>
      </w:r>
      <w:r w:rsidR="00F100C2">
        <w:t>mobility rates we present</w:t>
      </w:r>
      <w:r w:rsidR="007353D3">
        <w:t xml:space="preserve"> exemplify the wide range of human mobility and its possible impact on OCV decision-making.</w:t>
      </w:r>
      <w:r w:rsidR="00F100C2">
        <w:t xml:space="preserve"> </w:t>
      </w:r>
    </w:p>
    <w:p w14:paraId="0EB9B387" w14:textId="77777777" w:rsidR="003D3BBD" w:rsidRDefault="003D3BBD" w:rsidP="00F038DC"/>
    <w:p w14:paraId="0528FD51" w14:textId="6F8DA3EC" w:rsidR="003D3BBD" w:rsidRDefault="003D3BBD" w:rsidP="00F038DC">
      <w:r>
        <w:t>Cholera vaccine efficacy has been shown to vary by age of recipient,</w:t>
      </w:r>
      <w:r w:rsidR="0009137F">
        <w:fldChar w:fldCharType="begin" w:fldLock="1"/>
      </w:r>
      <w:r w:rsidR="007B0B5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"[18,22]", "plainTextFormattedCitation" : "[18,22]", "previouslyFormattedCitation" : "[18,22]" }, "properties" : { "noteIndex" : 0 }, "schema" : "https://github.com/citation-style-language/schema/raw/master/csl-citation.json" }</w:instrText>
      </w:r>
      <w:r w:rsidR="0009137F">
        <w:fldChar w:fldCharType="separate"/>
      </w:r>
      <w:r w:rsidR="00990BB5" w:rsidRPr="00990BB5">
        <w:rPr>
          <w:noProof/>
        </w:rPr>
        <w:t>[18,22]</w:t>
      </w:r>
      <w:r w:rsidR="0009137F">
        <w:fldChar w:fldCharType="end"/>
      </w:r>
      <w:r>
        <w:t xml:space="preserve"> however for simplicity</w:t>
      </w:r>
      <w:r w:rsidR="008E5ADF">
        <w:t xml:space="preserve"> and lack of detailed data</w:t>
      </w:r>
      <w:r>
        <w:t xml:space="preserve">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5C53CB">
        <w:fldChar w:fldCharType="begin" w:fldLock="1"/>
      </w:r>
      <w:r w:rsidR="00BB4544">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"[43]", "plainTextFormattedCitation" : "[43]", "previouslyFormattedCitation" : "[43]" }, "properties" : { "noteIndex" : 0 }, "schema" : "https://github.com/citation-style-language/schema/raw/master/csl-citation.json" }</w:instrText>
      </w:r>
      <w:r w:rsidR="005C53CB">
        <w:fldChar w:fldCharType="separate"/>
      </w:r>
      <w:r w:rsidR="007B0B58" w:rsidRPr="007B0B58">
        <w:rPr>
          <w:noProof/>
        </w:rPr>
        <w:t>[43]</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F038DC"/>
    <w:p w14:paraId="269CD9E9" w14:textId="063D8C7C"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BB4544">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"[44]", "plainTextFormattedCitation" : "[44]", "previouslyFormattedCitation" : "[44]" }, "properties" : { "noteIndex" : 0 }, "schema" : "https://github.com/citation-style-language/schema/raw/master/csl-citation.json" }</w:instrText>
      </w:r>
      <w:r w:rsidR="00601E61">
        <w:fldChar w:fldCharType="separate"/>
      </w:r>
      <w:r w:rsidR="007B0B58" w:rsidRPr="007B0B58">
        <w:rPr>
          <w:noProof/>
        </w:rPr>
        <w:t>[44]</w:t>
      </w:r>
      <w:r w:rsidR="00601E61">
        <w:fldChar w:fldCharType="end"/>
      </w:r>
      <w:r w:rsidR="008E5ADF">
        <w:t xml:space="preserve"> We find the </w:t>
      </w:r>
      <w:r w:rsidR="007353D3">
        <w:t xml:space="preserve">Mass </w:t>
      </w:r>
      <w:r w:rsidR="008E5ADF">
        <w:t>and Maintain</w:t>
      </w:r>
      <w:r w:rsidR="007353D3">
        <w:t xml:space="preserve"> strategy continues to outperform </w:t>
      </w:r>
      <w:r w:rsidR="00E87CB3">
        <w:t>routine vaccination or periodic mass vaccination even when there is a perfect vaccine (i.e., VE=1 indefinitely)</w:t>
      </w:r>
      <w:r w:rsidR="00AA143C">
        <w:t xml:space="preserve"> (Fig S</w:t>
      </w:r>
      <w:r w:rsidR="003B5A74">
        <w:t>8</w:t>
      </w:r>
      <w:r w:rsidR="00CB5408">
        <w:t>)</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8E5ADF">
        <w:t>Fig S</w:t>
      </w:r>
      <w:r w:rsidR="003B5A74">
        <w:t>9</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F02F56">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"[3]", "plainTextFormattedCitation" : "[3]", "previouslyFormattedCitation" : "[3]" }, "properties" : { "noteIndex" : 0 }, "schema" : "https://github.com/citation-style-language/schema/raw/master/csl-citation.json" }</w:instrText>
      </w:r>
      <w:r w:rsidR="00AE6CD2">
        <w:fldChar w:fldCharType="separate"/>
      </w:r>
      <w:r w:rsidR="00F02F56" w:rsidRPr="00F02F56">
        <w:rPr>
          <w:noProof/>
        </w:rPr>
        <w:t>[3]</w:t>
      </w:r>
      <w:r w:rsidR="00AE6CD2">
        <w:fldChar w:fldCharType="end"/>
      </w:r>
    </w:p>
    <w:p w14:paraId="41BC4726" w14:textId="77777777" w:rsidR="00E87CB3" w:rsidRDefault="00E87CB3" w:rsidP="00E87CB3"/>
    <w:p w14:paraId="186343F1" w14:textId="16A403A1"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BB4544">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"[45]", "plainTextFormattedCitation" : "[45]", "previouslyFormattedCitation" : "[45]" }, "properties" : { "noteIndex" : 0 }, "schema" : "https://github.com/citation-style-language/schema/raw/master/csl-citation.json" }</w:instrText>
      </w:r>
      <w:r w:rsidR="00170BC3">
        <w:fldChar w:fldCharType="separate"/>
      </w:r>
      <w:r w:rsidR="007B0B58" w:rsidRPr="007B0B58">
        <w:rPr>
          <w:noProof/>
        </w:rPr>
        <w:t>[45]</w:t>
      </w:r>
      <w:r w:rsidR="00170BC3">
        <w:fldChar w:fldCharType="end"/>
      </w:r>
      <w:r w:rsidR="004B689C">
        <w:t xml:space="preserve"> and yellow fever.</w:t>
      </w:r>
      <w:r w:rsidR="004B689C">
        <w:fldChar w:fldCharType="begin" w:fldLock="1"/>
      </w:r>
      <w:r w:rsidR="00BB4544">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"[46]", "plainTextFormattedCitation" : "[46]", "previouslyFormattedCitation" : "[46]" }, "properties" : { "noteIndex" : 0 }, "schema" : "https://github.com/citation-style-language/schema/raw/master/csl-citation.json" }</w:instrText>
      </w:r>
      <w:r w:rsidR="004B689C">
        <w:fldChar w:fldCharType="separate"/>
      </w:r>
      <w:r w:rsidR="007B0B58" w:rsidRPr="007B0B58">
        <w:rPr>
          <w:noProof/>
        </w:rPr>
        <w:t>[46]</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BB4544">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"[47]", "plainTextFormattedCitation" : "[47]", "previouslyFormattedCitation" : "[47]" }, "properties" : { "noteIndex" : 0 }, "schema" : "https://github.com/citation-style-language/schema/raw/master/csl-citation.json" }</w:instrText>
      </w:r>
      <w:r w:rsidR="00A61C71">
        <w:fldChar w:fldCharType="separate"/>
      </w:r>
      <w:r w:rsidR="007B0B58" w:rsidRPr="007B0B58">
        <w:rPr>
          <w:noProof/>
        </w:rPr>
        <w:t>[47]</w:t>
      </w:r>
      <w:r w:rsidR="00A61C71">
        <w:fldChar w:fldCharType="end"/>
      </w:r>
      <w:r>
        <w:t xml:space="preserve"> </w:t>
      </w:r>
      <w:r w:rsidR="00380776">
        <w:t>Following the mass vaccination of 25 million people in Angola a</w:t>
      </w:r>
      <w:r w:rsidR="008E5ADF">
        <w:t>nd t</w:t>
      </w:r>
      <w:r w:rsidR="00380776">
        <w:t xml:space="preserve">he </w:t>
      </w:r>
      <w:r w:rsidR="00380776">
        <w:lastRenderedPageBreak/>
        <w:t>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4464DA26" w14:textId="5F7FAA0C" w:rsidR="00357465" w:rsidRDefault="001C4B5E">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pPr>
        <w:rPr>
          <w:b/>
        </w:rPr>
      </w:pPr>
      <w:r w:rsidRPr="00357465">
        <w:rPr>
          <w:b/>
        </w:rPr>
        <w:lastRenderedPageBreak/>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58D71D0B" w14:textId="77777777" w:rsidR="00FE4D03" w:rsidRDefault="00894C01" w:rsidP="00894C01">
      <w:proofErr w:type="gramStart"/>
      <w:r>
        <w:t xml:space="preserve">CMP and COB were supported </w:t>
      </w:r>
      <w:r w:rsidRPr="00C879B0">
        <w:t>by Cooperative Agreement U54GM088558 from the National Instit</w:t>
      </w:r>
      <w:r>
        <w:t>ute Of General Medical Sciences</w:t>
      </w:r>
      <w:proofErr w:type="gramEnd"/>
      <w:r>
        <w:t xml:space="preserve">. </w:t>
      </w:r>
      <w:proofErr w:type="gramStart"/>
      <w:r>
        <w:t xml:space="preserve">CMP was also supported by </w:t>
      </w:r>
      <w:r w:rsidRPr="00C879B0">
        <w:t>National Research Service Award T32AI007535-16A1</w:t>
      </w:r>
      <w:proofErr w:type="gramEnd"/>
      <w:r w:rsidRPr="00C879B0">
        <w:t xml:space="preserve">. </w:t>
      </w:r>
      <w:proofErr w:type="gramStart"/>
      <w:r>
        <w:t>ASA was supported by the Bill</w:t>
      </w:r>
      <w:proofErr w:type="gramEnd"/>
      <w:r>
        <w:t xml:space="preserve"> and Melinda Gates Foundation (OPP10</w:t>
      </w:r>
      <w:r w:rsidR="00FE4D03">
        <w:t xml:space="preserve">89243) and the DOVE project (OPP153556). </w:t>
      </w:r>
      <w:r w:rsidRPr="006A2628">
        <w:t>The content is solely the responsibility of the authors and does not necessarily represent the official views of the National Institute Of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894C01"/>
    <w:p w14:paraId="3B9A1387" w14:textId="77777777" w:rsidR="00FE4D03" w:rsidRDefault="00FE4D03" w:rsidP="00894C01">
      <w:pPr>
        <w:rPr>
          <w:b/>
        </w:rPr>
      </w:pPr>
      <w:r>
        <w:rPr>
          <w:b/>
        </w:rPr>
        <w:t>Competing Interests</w:t>
      </w:r>
    </w:p>
    <w:p w14:paraId="63A0B617" w14:textId="77777777" w:rsidR="00FE4D03" w:rsidRDefault="00FE4D03" w:rsidP="00894C01">
      <w:r>
        <w:t>The authors have declared that no competing interests exist.</w:t>
      </w:r>
    </w:p>
    <w:p w14:paraId="4E438935" w14:textId="77777777" w:rsidR="00FE4D03" w:rsidRDefault="00FE4D03" w:rsidP="00894C01"/>
    <w:p w14:paraId="0EE2343B" w14:textId="77777777" w:rsidR="00FE4D03" w:rsidRDefault="00FE4D03" w:rsidP="00894C01">
      <w:r>
        <w:rPr>
          <w:b/>
        </w:rPr>
        <w:t>Abbreviations</w:t>
      </w:r>
    </w:p>
    <w:p w14:paraId="135FD3EF" w14:textId="75981D00" w:rsidR="002B44C8" w:rsidRPr="001C4B5E" w:rsidRDefault="00FE4D03" w:rsidP="00894C01">
      <w:proofErr w:type="gramStart"/>
      <w:r>
        <w:t xml:space="preserve">DHI, duration of herd immunity; </w:t>
      </w:r>
      <w:proofErr w:type="spellStart"/>
      <w:r>
        <w:t>kOCV</w:t>
      </w:r>
      <w:proofErr w:type="spellEnd"/>
      <w:r>
        <w:t>, killed oral cholera vaccine.</w:t>
      </w:r>
      <w:proofErr w:type="gramEnd"/>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57BD6678" w:rsidR="007914F5" w:rsidRDefault="007914F5" w:rsidP="007914F5">
      <w:r>
        <w:rPr>
          <w:b/>
        </w:rPr>
        <w:t xml:space="preserve">Fig 1. </w:t>
      </w:r>
      <w:r w:rsidR="00D746A3">
        <w:rPr>
          <w:b/>
        </w:rPr>
        <w:t>Mathematical</w:t>
      </w:r>
      <w:r>
        <w:rPr>
          <w:b/>
        </w:rPr>
        <w:t xml:space="preserve"> model framework.</w:t>
      </w:r>
      <w:r>
        <w:t xml:space="preserve"> </w:t>
      </w:r>
    </w:p>
    <w:p w14:paraId="1EA5A07F" w14:textId="5BAE3689" w:rsidR="007914F5" w:rsidRDefault="00D746A3" w:rsidP="007914F5">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w:t>
      </w:r>
      <w:r>
        <w:t>, death, and migration</w:t>
      </w:r>
      <w:r w:rsidR="002B1D6D">
        <w:t xml:space="preserve">. The force of infection for individuals in a compartment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F038DC"/>
    <w:p w14:paraId="4CF230BA" w14:textId="77777777" w:rsidR="00D4347B" w:rsidRPr="00D4347B" w:rsidRDefault="00D60633" w:rsidP="00D4347B">
      <w:pPr>
        <w:rPr>
          <w:b/>
        </w:rPr>
      </w:pPr>
      <w:r>
        <w:rPr>
          <w:b/>
        </w:rPr>
        <w:t>Fig 2</w:t>
      </w:r>
      <w:r w:rsidR="00700D43" w:rsidRPr="00700D43">
        <w:rPr>
          <w:b/>
        </w:rPr>
        <w:t xml:space="preserve">. </w:t>
      </w:r>
      <w:r w:rsidR="00D4347B" w:rsidRPr="00D4347B">
        <w:rPr>
          <w:b/>
        </w:rPr>
        <w:t>Dynamics of population susceptibility and herd immunity</w:t>
      </w:r>
    </w:p>
    <w:p w14:paraId="6A27E26D" w14:textId="4A5DA070" w:rsidR="00700D43" w:rsidRDefault="00D4347B" w:rsidP="00F038DC">
      <w:r>
        <w:t xml:space="preserve">Following mass vaccination (100% coverage) with </w:t>
      </w:r>
      <w:proofErr w:type="spellStart"/>
      <w:r>
        <w:t>kOCV</w:t>
      </w:r>
      <w:proofErr w:type="spellEnd"/>
      <w:r w:rsidR="00E9055B">
        <w:t xml:space="preserve"> (left column)</w:t>
      </w:r>
      <w:r>
        <w:t xml:space="preserve"> or hypothetical vaccine with VE=1 indefinitely (</w:t>
      </w:r>
      <w:r w:rsidR="00E9055B">
        <w:t xml:space="preserve">right </w:t>
      </w:r>
      <w:r>
        <w:t>column), population susceptibility is shown to increase over time more quickly in the presence of high migration rates</w:t>
      </w:r>
      <w:r w:rsidR="0063094A">
        <w:t xml:space="preserve"> (Panels </w:t>
      </w:r>
      <w:r w:rsidR="0063094A" w:rsidRPr="0063094A">
        <w:rPr>
          <w:b/>
        </w:rPr>
        <w:t>A-B</w:t>
      </w:r>
      <w:r w:rsidR="0063094A">
        <w:t>)</w:t>
      </w:r>
      <w:r>
        <w:t>.</w:t>
      </w:r>
      <w:r w:rsidR="0063094A">
        <w:t xml:space="preserve"> Consequently, the effective reproductive number (</w:t>
      </w:r>
      <w:r w:rsidR="0063094A" w:rsidRPr="0063094A">
        <w:rPr>
          <w:b/>
        </w:rPr>
        <w:t>C-D</w:t>
      </w:r>
      <w:r w:rsidR="0063094A">
        <w:t xml:space="preserve">) and the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 (</w:t>
      </w:r>
      <w:r w:rsidR="0063094A" w:rsidRPr="0063094A">
        <w:rPr>
          <w:b/>
        </w:rPr>
        <w:t>E-F</w:t>
      </w:r>
      <w:r w:rsidR="0063094A">
        <w:t>) also increase over time since vaccination.</w:t>
      </w:r>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r w:rsidR="001C4B5E">
        <w:rPr>
          <w:b/>
        </w:rPr>
        <w:t>Revaccination</w:t>
      </w:r>
      <w:r w:rsidR="00002C0D">
        <w:rPr>
          <w:b/>
        </w:rPr>
        <w:t xml:space="preserve"> strategies to maximize DHI.</w:t>
      </w:r>
    </w:p>
    <w:p w14:paraId="5D8B885F" w14:textId="6747D63F"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w:t>
      </w:r>
      <w:r w:rsidR="00AC16BF">
        <w:t xml:space="preserve"> (timing marked by arrows)</w:t>
      </w:r>
      <w:r>
        <w:t xml:space="preserve"> with </w:t>
      </w:r>
      <w:r w:rsidR="0063094A">
        <w:t>100% coverage</w:t>
      </w:r>
      <w:r w:rsidR="00382598">
        <w:t xml:space="preserve"> of susceptible</w:t>
      </w:r>
      <w:r w:rsidR="00AD2FEE">
        <w:t xml:space="preserve"> people</w:t>
      </w:r>
      <w:r w:rsidR="0063094A">
        <w:t xml:space="preserve"> </w:t>
      </w:r>
      <w:r>
        <w:t>every year (dashed line) or two years (dotted line) is shown to periodically achieve then lose herd immunity,</w:t>
      </w:r>
      <w:r w:rsidR="0063094A">
        <w:t xml:space="preserve"> designated by the horizontal line at R</w:t>
      </w:r>
      <w:r w:rsidR="0063094A">
        <w:rPr>
          <w:vertAlign w:val="subscript"/>
        </w:rPr>
        <w:t>e</w:t>
      </w:r>
      <w:r w:rsidR="0063094A">
        <w:t>=1</w:t>
      </w:r>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Routine vaccination of 8 (green), 12 (teal), or 16 (purple) individuals per day</w:t>
      </w:r>
      <w:r w:rsidR="00AC16BF">
        <w:t xml:space="preserve"> achieve herd immunity</w:t>
      </w:r>
      <w:r w:rsidR="00E9055B">
        <w:t xml:space="preserve"> in a population of 10,000</w:t>
      </w:r>
      <w:r w:rsidR="00AC16BF">
        <w:t xml:space="preserve"> for 0, 4.4, and 4.3 years, respectively</w:t>
      </w:r>
      <w:r w:rsidR="0063094A">
        <w:t>. (</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C16BF">
        <w:t xml:space="preserve"> with 8, 12, or 16 doses can render herd immunity for 1.6, 5.2, and 4.3 years, respectively.</w:t>
      </w:r>
      <w:r>
        <w:t xml:space="preserve"> </w:t>
      </w:r>
      <w:r w:rsidR="0063094A">
        <w:t>The following are held constant for all simulations: population size = 10,000; maximum vaccine courses = 30,000; R</w:t>
      </w:r>
      <w:r w:rsidR="0063094A">
        <w:rPr>
          <w:vertAlign w:val="subscript"/>
        </w:rPr>
        <w:t>0</w:t>
      </w:r>
      <w:r w:rsidR="0063094A">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7B2F04BB" w:rsidR="00B862CB" w:rsidRDefault="009A3CE6" w:rsidP="00837827">
      <w:r>
        <w:t>Vaccine impact</w:t>
      </w:r>
      <w:r w:rsidR="00DA1598">
        <w:t>,</w:t>
      </w:r>
      <w:r>
        <w:t xml:space="preserve"> </w:t>
      </w:r>
      <w:r w:rsidR="00DA1598">
        <w:t>a</w:t>
      </w:r>
      <w:r>
        <w:t xml:space="preserve">s measured by the decrease 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w:t>
      </w:r>
      <w:r w:rsidR="00DA1598">
        <w:t>ity 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
    <w:p w14:paraId="5CA90A9F" w14:textId="1C1FCFDC" w:rsidR="00FF1E30" w:rsidRPr="00FF1E30" w:rsidRDefault="00FF1E30" w:rsidP="00837827">
      <w:r>
        <w:t>(</w:t>
      </w:r>
      <w:r w:rsidRPr="00DA1598">
        <w:rPr>
          <w:b/>
        </w:rPr>
        <w:t>A</w:t>
      </w:r>
      <w:r>
        <w:t xml:space="preserve">) Estimated population size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 and are represented by the f</w:t>
      </w:r>
      <w:r w:rsidR="00FF0880">
        <w:t>a</w:t>
      </w:r>
      <w:r>
        <w:t>int green and red ribbons around the blue line. (</w:t>
      </w:r>
      <w:r w:rsidRPr="00DA1598">
        <w:rPr>
          <w:b/>
        </w:rPr>
        <w:t>B</w:t>
      </w:r>
      <w:r>
        <w:t>) The proportion susceptible over time</w:t>
      </w:r>
      <w:r w:rsidR="00AC16BF">
        <w:t xml:space="preserve"> (green)</w:t>
      </w:r>
      <w:r>
        <w:t xml:space="preserve"> decreases</w:t>
      </w:r>
      <w:r w:rsidR="00AC16BF">
        <w:t xml:space="preserve"> due to mass vaccination events</w:t>
      </w:r>
      <w:r>
        <w:t xml:space="preserve"> and increases </w:t>
      </w:r>
      <w:r w:rsidR="00AC16BF">
        <w:t xml:space="preserve">over time since </w:t>
      </w:r>
      <w:r w:rsidR="00AC16BF">
        <w:lastRenderedPageBreak/>
        <w:t xml:space="preserve">vaccination. </w:t>
      </w:r>
      <w:r>
        <w:t>(</w:t>
      </w:r>
      <w:r w:rsidRPr="00DA1598">
        <w:rPr>
          <w:b/>
        </w:rPr>
        <w:t>C</w:t>
      </w:r>
      <w:r>
        <w:t xml:space="preserve">) The probability that a single case sparks an outbreak of </w:t>
      </w:r>
      <w:r w:rsidR="007E20EF">
        <w:t>more than 10</w:t>
      </w:r>
      <w:r>
        <w:t xml:space="preserve"> cases increases with </w:t>
      </w:r>
      <m:oMath>
        <m:r>
          <w:rPr>
            <w:rFonts w:ascii="Cambria Math" w:hAnsi="Cambria Math"/>
          </w:rPr>
          <m:t>X(t)</m:t>
        </m:r>
      </m:oMath>
      <w:r w:rsidR="007E20EF">
        <w:t xml:space="preserve"> and R</w:t>
      </w:r>
      <w:r w:rsidR="007E20EF">
        <w:rPr>
          <w:vertAlign w:val="subscript"/>
        </w:rPr>
        <w:t>0</w:t>
      </w:r>
      <w:r w:rsidR="007E20EF">
        <w:t xml:space="preserve">, as represented by line color: blue, </w:t>
      </w:r>
      <w:r w:rsidR="007E20EF" w:rsidRPr="007E20EF">
        <w:t>R</w:t>
      </w:r>
      <w:r w:rsidR="007E20EF" w:rsidRPr="007E20EF">
        <w:rPr>
          <w:vertAlign w:val="subscript"/>
        </w:rPr>
        <w:t>0</w:t>
      </w:r>
      <w:r w:rsidR="007E20EF">
        <w:t>=</w:t>
      </w:r>
      <w:r w:rsidR="007E20EF" w:rsidRPr="007E20EF">
        <w:t>1</w:t>
      </w:r>
      <w:r w:rsidR="007E20EF">
        <w:t>; green, 1.5; black, 1.</w:t>
      </w:r>
      <w:r w:rsidR="00AC16BF">
        <w:t>8</w:t>
      </w:r>
      <w:r w:rsidR="007E20EF">
        <w:t>; and red, 2.</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275C13A6" w14:textId="69190CBC" w:rsidR="00BB4544" w:rsidRPr="00BB4544" w:rsidRDefault="000A51A6" w:rsidP="00BB4544">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BB4544" w:rsidRPr="00BB4544">
        <w:rPr>
          <w:rFonts w:ascii="Cambria" w:hAnsi="Cambria"/>
          <w:noProof/>
        </w:rPr>
        <w:t xml:space="preserve">1. </w:t>
      </w:r>
      <w:r w:rsidR="00BB4544" w:rsidRPr="00BB4544">
        <w:rPr>
          <w:rFonts w:ascii="Cambria" w:hAnsi="Cambria"/>
          <w:noProof/>
        </w:rPr>
        <w:tab/>
        <w:t xml:space="preserve">Fine PE. Herd immunity: history, theory, practice. Epidemiol Rev. 1993;15: 265–302. </w:t>
      </w:r>
    </w:p>
    <w:p w14:paraId="126A8739"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 </w:t>
      </w:r>
      <w:r w:rsidRPr="00BB4544">
        <w:rPr>
          <w:rFonts w:ascii="Cambria" w:hAnsi="Cambria"/>
          <w:noProof/>
        </w:rPr>
        <w:tab/>
        <w:t>Anderson RM, May RM. Vaccination and herd immunity to infectious diseases. Nature. 1985;318: 323–329. doi:10.1038/318323a0</w:t>
      </w:r>
    </w:p>
    <w:p w14:paraId="1BD246DD"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 </w:t>
      </w:r>
      <w:r w:rsidRPr="00BB4544">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6CF545C1"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 </w:t>
      </w:r>
      <w:r w:rsidRPr="00BB4544">
        <w:rPr>
          <w:rFonts w:ascii="Cambria" w:hAnsi="Cambria"/>
          <w:noProof/>
        </w:rPr>
        <w:tab/>
        <w:t>Ali M, Emch M, von Seidlein L, Yunus M, Sack D a, Rao M, et al. Herd immunity conferred by killed oral cholera vaccines in Bangladesh: a reanalysis. Lancet. 2005;366: 44–9. doi:10.1016/S0140-6736(05)66550-6</w:t>
      </w:r>
    </w:p>
    <w:p w14:paraId="1881E32B"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5. </w:t>
      </w:r>
      <w:r w:rsidRPr="00BB4544">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49F4AB6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6. </w:t>
      </w:r>
      <w:r w:rsidRPr="00BB4544">
        <w:rPr>
          <w:rFonts w:ascii="Cambria" w:hAnsi="Cambria"/>
          <w:noProof/>
        </w:rPr>
        <w:tab/>
        <w:t xml:space="preserve">World Health Organization. Cholera, 2015. Wkly Epidemiol Rec. 2016;38: 433–440. </w:t>
      </w:r>
    </w:p>
    <w:p w14:paraId="4A5FA25F"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7. </w:t>
      </w:r>
      <w:r w:rsidRPr="00BB4544">
        <w:rPr>
          <w:rFonts w:ascii="Cambria" w:hAnsi="Cambria"/>
          <w:noProof/>
        </w:rPr>
        <w:tab/>
        <w:t xml:space="preserve">GAVI. Cholera Vaccine investment strategy. 2013. </w:t>
      </w:r>
    </w:p>
    <w:p w14:paraId="51E4F33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8. </w:t>
      </w:r>
      <w:r w:rsidRPr="00BB4544">
        <w:rPr>
          <w:rFonts w:ascii="Cambria" w:hAnsi="Cambria"/>
          <w:noProof/>
        </w:rPr>
        <w:tab/>
        <w:t xml:space="preserve">WHO. Oral Cholera Vaccine Campaign among internally displaced persons in South Sudan. Wkly Epidemiol Rec. 2014;89: 205–220. </w:t>
      </w:r>
    </w:p>
    <w:p w14:paraId="5752B974"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9. </w:t>
      </w:r>
      <w:r w:rsidRPr="00BB4544">
        <w:rPr>
          <w:rFonts w:ascii="Cambria" w:hAnsi="Cambria"/>
          <w:noProof/>
        </w:rPr>
        <w:tab/>
        <w:t>International Vaccine Institute. An Investment Case for the Accelerated Introduction of Oral Cholera Vaccines [Internet]. 2012. Available: http://www.ivi.int/?page_id=12479&amp;uid=816&amp;mod=document</w:t>
      </w:r>
    </w:p>
    <w:p w14:paraId="1BA16D63"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10. </w:t>
      </w:r>
      <w:r w:rsidRPr="00BB4544">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1AEE2511"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11. </w:t>
      </w:r>
      <w:r w:rsidRPr="00BB4544">
        <w:rPr>
          <w:rFonts w:ascii="Cambria" w:hAnsi="Cambria"/>
          <w:noProof/>
        </w:rPr>
        <w:tab/>
        <w:t>WHO. WHO Supports Oral Cholera Vaccination Campaigns in South Sudan. 2015; Available: http://www.afro.who.int/en/ssd/news/item/7736-who-supports-oral-cholera-vaccination-campaigns-in-south-sudan.html</w:t>
      </w:r>
    </w:p>
    <w:p w14:paraId="3D10B63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12. </w:t>
      </w:r>
      <w:r w:rsidRPr="00BB4544">
        <w:rPr>
          <w:rFonts w:ascii="Cambria" w:hAnsi="Cambria"/>
          <w:noProof/>
        </w:rPr>
        <w:tab/>
        <w:t xml:space="preserve">Ministry of Health. Situation Report #93 on Cholera in South Sudan As at 23:59 Hours , 3 November 2016. 2016. </w:t>
      </w:r>
    </w:p>
    <w:p w14:paraId="452A7EC5"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13. </w:t>
      </w:r>
      <w:r w:rsidRPr="00BB4544">
        <w:rPr>
          <w:rFonts w:ascii="Cambria" w:hAnsi="Cambria"/>
          <w:noProof/>
        </w:rPr>
        <w:tab/>
        <w:t>Mclean AR, Blower SM. Imperfect Vaccines and Herd Immunity to HIV. Proc R Soc B Biol Sci. 1993;253: 9–13. doi:10.1098/rspb.1993.0075</w:t>
      </w:r>
    </w:p>
    <w:p w14:paraId="0A4E26E8"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14. </w:t>
      </w:r>
      <w:r w:rsidRPr="00BB4544">
        <w:rPr>
          <w:rFonts w:ascii="Cambria" w:hAnsi="Cambria"/>
          <w:noProof/>
        </w:rPr>
        <w:tab/>
        <w:t xml:space="preserve">Blower S, Schwartz EJ, Mills J. Forecasting the future of HIV epidemics: The impact of antiretroviral therapies &amp; imperfect vaccines. AIDS Rev. 2003;5: 113–125. </w:t>
      </w:r>
    </w:p>
    <w:p w14:paraId="733755DD"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15. </w:t>
      </w:r>
      <w:r w:rsidRPr="00BB4544">
        <w:rPr>
          <w:rFonts w:ascii="Cambria" w:hAnsi="Cambria"/>
          <w:noProof/>
        </w:rPr>
        <w:tab/>
        <w:t>Mossong J, Muller CP. Modelling measles re-emergence as a result of waning of immunity in vaccinated populations. Vaccine. 2003;21: 4597–4603. doi:10.1016/S0264-410X(03)00449-3</w:t>
      </w:r>
    </w:p>
    <w:p w14:paraId="2CE5F958"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16. </w:t>
      </w:r>
      <w:r w:rsidRPr="00BB4544">
        <w:rPr>
          <w:rFonts w:ascii="Cambria" w:hAnsi="Cambria"/>
          <w:noProof/>
        </w:rPr>
        <w:tab/>
        <w:t>Magpantay F, Domenech de Celles M, Rohani P, King AA. Pertussis immunity and epidemiology: mode and duration of vaccine-induced immunity. Parasitology. 2016;143: 835–849. doi:10.1017/S0031182015000979</w:t>
      </w:r>
    </w:p>
    <w:p w14:paraId="0D9B7AC4"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17. </w:t>
      </w:r>
      <w:r w:rsidRPr="00BB4544">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20C163DB"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18. </w:t>
      </w:r>
      <w:r w:rsidRPr="00BB4544">
        <w:rPr>
          <w:rFonts w:ascii="Cambria" w:hAnsi="Cambria"/>
          <w:noProof/>
        </w:rPr>
        <w:tab/>
        <w:t xml:space="preserve">Durham LK, Longini IM, Halloran ME, Clemens JD, Nizam A, Rao M. Estimation of vaccine efficacy in the presence of waning: application to cholera vaccines. Am J </w:t>
      </w:r>
      <w:r w:rsidRPr="00BB4544">
        <w:rPr>
          <w:rFonts w:ascii="Cambria" w:hAnsi="Cambria"/>
          <w:noProof/>
        </w:rPr>
        <w:lastRenderedPageBreak/>
        <w:t xml:space="preserve">Epidemiol. 1998;147: 948–959. </w:t>
      </w:r>
    </w:p>
    <w:p w14:paraId="36209A4E"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19. </w:t>
      </w:r>
      <w:r w:rsidRPr="00BB4544">
        <w:rPr>
          <w:rFonts w:ascii="Cambria" w:hAnsi="Cambria"/>
          <w:noProof/>
        </w:rPr>
        <w:tab/>
        <w:t>Lloyd AL. Realistic distributions of infectious periods in epidemic models: changing patterns of persistence and dynamics. Theor Popul Biol. 2001;60: 59–71. doi:10.1006/tpbi.2001.1525</w:t>
      </w:r>
    </w:p>
    <w:p w14:paraId="1BCC82B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20. </w:t>
      </w:r>
      <w:r w:rsidRPr="00BB4544">
        <w:rPr>
          <w:rFonts w:ascii="Cambria" w:hAnsi="Cambria"/>
          <w:noProof/>
        </w:rPr>
        <w:tab/>
        <w:t>Krylova O, Earn DJD. Effects of the infectious period distribution on predicted transitions in childhood disease dynamics. J R Soc Interface. 2013;10: 20130098. doi:10.1098/rsif.2013.0098</w:t>
      </w:r>
    </w:p>
    <w:p w14:paraId="0FBEB0C5"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21. </w:t>
      </w:r>
      <w:r w:rsidRPr="00BB4544">
        <w:rPr>
          <w:rFonts w:ascii="Cambria" w:hAnsi="Cambria"/>
          <w:noProof/>
        </w:rPr>
        <w:tab/>
        <w:t>Soetaert K, Petzoldt T, Setzer RW. Package deSolve : Solving Initial Value Differential Equations in R. J Stat Softw. 2010;33: 1–25. doi:10.18637/jss.v033.i09</w:t>
      </w:r>
    </w:p>
    <w:p w14:paraId="219041B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22. </w:t>
      </w:r>
      <w:r w:rsidRPr="00BB4544">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3635121F"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23. </w:t>
      </w:r>
      <w:r w:rsidRPr="00BB4544">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2D04FB8A"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24. </w:t>
      </w:r>
      <w:r w:rsidRPr="00BB4544">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3332B387"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25. </w:t>
      </w:r>
      <w:r w:rsidRPr="00BB4544">
        <w:rPr>
          <w:rFonts w:ascii="Cambria" w:hAnsi="Cambria"/>
          <w:noProof/>
        </w:rPr>
        <w:tab/>
        <w:t>Black AJ, Ross J V. Computation of epidemic final size distributions. J Theor Biol. 2015;367: 159–165. doi:10.1016/j.jtbi.2014.11.029</w:t>
      </w:r>
    </w:p>
    <w:p w14:paraId="3B1E0614"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26. </w:t>
      </w:r>
      <w:r w:rsidRPr="00BB4544">
        <w:rPr>
          <w:rFonts w:ascii="Cambria" w:hAnsi="Cambria"/>
          <w:noProof/>
        </w:rPr>
        <w:tab/>
        <w:t xml:space="preserve">Becker NG. Minor outbreaks when infectives are homogenous. Modeling to Inform Infectious Disease Control. 2015. pp. 7–28. </w:t>
      </w:r>
    </w:p>
    <w:p w14:paraId="09DC0469"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27. </w:t>
      </w:r>
      <w:r w:rsidRPr="00BB4544">
        <w:rPr>
          <w:rFonts w:ascii="Cambria" w:hAnsi="Cambria"/>
          <w:noProof/>
        </w:rPr>
        <w:tab/>
        <w:t xml:space="preserve">Mott J. The Distribution of the Time-to-Emptiness of a Discrete Dam Under Steady Demand. J R Stat Soc Ser B. 1963;25: 137–139. </w:t>
      </w:r>
    </w:p>
    <w:p w14:paraId="58A1ED23"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28. </w:t>
      </w:r>
      <w:r w:rsidRPr="00BB4544">
        <w:rPr>
          <w:rFonts w:ascii="Cambria" w:hAnsi="Cambria"/>
          <w:noProof/>
        </w:rPr>
        <w:tab/>
        <w:t>UNFPA. Monthly Humanitairan Update - South Sudan Conflict [Internet]. 2016. Available: http://reliefweb.int/sites/reliefweb.int/files/resources/SSD_Monthly_Humanitarian_Update_August.pdf</w:t>
      </w:r>
    </w:p>
    <w:p w14:paraId="57132C0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29. </w:t>
      </w:r>
      <w:r w:rsidRPr="00BB4544">
        <w:rPr>
          <w:rFonts w:ascii="Cambria" w:hAnsi="Cambria"/>
          <w:noProof/>
        </w:rPr>
        <w:tab/>
        <w:t xml:space="preserve">Wallinga J, Teunis P. Different Epidemic Curves for Severe Acute Respiratory Syndrome Reveal Similar Impacts of Control Measures. Am J Epidemiol. 2004;160: 509–516. </w:t>
      </w:r>
    </w:p>
    <w:p w14:paraId="158C2FD5"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30. </w:t>
      </w:r>
      <w:r w:rsidRPr="00BB4544">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3E13AF75"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31. </w:t>
      </w:r>
      <w:r w:rsidRPr="00BB4544">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143EF45F"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32. </w:t>
      </w:r>
      <w:r w:rsidRPr="00BB4544">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4E31A45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33. </w:t>
      </w:r>
      <w:r w:rsidRPr="00BB4544">
        <w:rPr>
          <w:rFonts w:ascii="Cambria" w:hAnsi="Cambria"/>
          <w:noProof/>
        </w:rPr>
        <w:tab/>
        <w:t xml:space="preserve">Obadia T, Haneef R, Boëlle P-Y. The R0 package: A toolbox to estimate reproduction numbers for epidemic outbreaks. BMC Med Inform Decis Mak. 2012;12: 147. </w:t>
      </w:r>
      <w:r w:rsidRPr="00BB4544">
        <w:rPr>
          <w:rFonts w:ascii="Cambria" w:hAnsi="Cambria"/>
          <w:noProof/>
        </w:rPr>
        <w:lastRenderedPageBreak/>
        <w:t>doi:10.1186/1472-6947-12-147</w:t>
      </w:r>
    </w:p>
    <w:p w14:paraId="6179C663"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34. </w:t>
      </w:r>
      <w:r w:rsidRPr="00BB4544">
        <w:rPr>
          <w:rFonts w:ascii="Cambria" w:hAnsi="Cambria"/>
          <w:noProof/>
        </w:rPr>
        <w:tab/>
        <w:t xml:space="preserve">Fox JP, Elveback L, Scott W, Gatewood L, Ackerman E. Herd Immunity: Basic Concept and Relevance To Public Health Immunization Practices. Am J Epidemiol. 1971;94: 187–197. </w:t>
      </w:r>
    </w:p>
    <w:p w14:paraId="17BCB3B0"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35. </w:t>
      </w:r>
      <w:r w:rsidRPr="00BB4544">
        <w:rPr>
          <w:rFonts w:ascii="Cambria" w:hAnsi="Cambria"/>
          <w:noProof/>
        </w:rPr>
        <w:tab/>
        <w:t>International Vaccine Institute. Country Investment Case Study on Cholera Vaccination: Bangladesh [Internet]. 2012. Available: http://www.ivi.int/?page_id=12479&amp;uid=819&amp;mod=document</w:t>
      </w:r>
    </w:p>
    <w:p w14:paraId="3D4613BF"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36. </w:t>
      </w:r>
      <w:r w:rsidRPr="00BB4544">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447051B1"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37. </w:t>
      </w:r>
      <w:r w:rsidRPr="00BB4544">
        <w:rPr>
          <w:rFonts w:ascii="Cambria" w:hAnsi="Cambria"/>
          <w:noProof/>
        </w:rPr>
        <w:tab/>
        <w:t xml:space="preserve">Anderson RM, May RM. Infectious diseases of humans: Dynamics and control. Oxford University Press, London 1991. London: Oxford University Press; 1991. </w:t>
      </w:r>
    </w:p>
    <w:p w14:paraId="23FABBD5"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38. </w:t>
      </w:r>
      <w:r w:rsidRPr="00BB4544">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6504AD9F"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39. </w:t>
      </w:r>
      <w:r w:rsidRPr="00BB4544">
        <w:rPr>
          <w:rFonts w:ascii="Cambria" w:hAnsi="Cambria"/>
          <w:noProof/>
        </w:rPr>
        <w:tab/>
        <w:t>Azman AS, Lessler J. Reactive vaccination in the presence of disease hotspots. Proc R Soc B Biol Sci. 2015;282: 20141341–20141341. doi:10.1098/rspb.2014.1341</w:t>
      </w:r>
    </w:p>
    <w:p w14:paraId="7F85A565"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40. </w:t>
      </w:r>
      <w:r w:rsidRPr="00BB4544">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4526FE77"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41. </w:t>
      </w:r>
      <w:r w:rsidRPr="00BB4544">
        <w:rPr>
          <w:rFonts w:ascii="Cambria" w:hAnsi="Cambria"/>
          <w:noProof/>
        </w:rPr>
        <w:tab/>
        <w:t xml:space="preserve">Magpantay F, Riolo M, Domenech de Celles M, King A, Rohani P. Epidemiological consequences of imperfect vaccines for immunizing infections. J Appl Math. 2014;74: 1810–1830. </w:t>
      </w:r>
    </w:p>
    <w:p w14:paraId="03FCEEEE"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42. </w:t>
      </w:r>
      <w:r w:rsidRPr="00BB4544">
        <w:rPr>
          <w:rFonts w:ascii="Cambria" w:hAnsi="Cambria"/>
          <w:noProof/>
        </w:rPr>
        <w:tab/>
        <w:t>O’Hagan JJ, Hernán MA, Walensky RP, Lipsitch M. Apparent declining efficacy in randomized trials. AIDS. 2012;26: 123–126. doi:10.1097/QAD.0b013e32834e1ce7</w:t>
      </w:r>
    </w:p>
    <w:p w14:paraId="1966CFD1"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43. </w:t>
      </w:r>
      <w:r w:rsidRPr="00BB4544">
        <w:rPr>
          <w:rFonts w:ascii="Cambria" w:hAnsi="Cambria"/>
          <w:noProof/>
        </w:rPr>
        <w:tab/>
        <w:t>Worby CJ, Chaves SS, Wallinga J, Lipsitch M, Finelli L, Goldstein E. On the relative role of different age groups in influenza epidemics. Epidemics. Elsevier B.V.; 2015;13: 10–16. doi:10.1016/j.epidem.2015.04.003</w:t>
      </w:r>
    </w:p>
    <w:p w14:paraId="183F56FA"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44. </w:t>
      </w:r>
      <w:r w:rsidRPr="00BB4544">
        <w:rPr>
          <w:rFonts w:ascii="Cambria" w:hAnsi="Cambria"/>
          <w:noProof/>
        </w:rPr>
        <w:tab/>
        <w:t>Recommendations of the Advisory Committee on Immunization Practices (ACIP): Typhoid Immunization. MMWR. 1994;RR-14. Available: ftp://ftp.cdc.gov/pub/publications/mmwr/rr/rr4314.pdf</w:t>
      </w:r>
    </w:p>
    <w:p w14:paraId="50F86453"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45. </w:t>
      </w:r>
      <w:r w:rsidRPr="00BB4544">
        <w:rPr>
          <w:rFonts w:ascii="Cambria" w:hAnsi="Cambria"/>
          <w:noProof/>
        </w:rPr>
        <w:tab/>
        <w:t>Biellik R, Madema S, Taole A, Kutsulukuta A, Allies E, Eggers R, et al. First 5 years of measles elimination in southern Africa: 1996-2000. Lancet. 2002;359: 1564–1568. doi:10.1016/S0140-6736(02)08517-3</w:t>
      </w:r>
    </w:p>
    <w:p w14:paraId="642DA42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46. </w:t>
      </w:r>
      <w:r w:rsidRPr="00BB4544">
        <w:rPr>
          <w:rFonts w:ascii="Cambria" w:hAnsi="Cambria"/>
          <w:noProof/>
        </w:rPr>
        <w:tab/>
        <w:t>WHO-UNICEF. Yellow Fever Initiative: Providing an opportunity of a lifetime [Internet]. 2010. Available: http://www.who.int/csr/disease/yellowfev/YFIbrochure.pdf</w:t>
      </w:r>
    </w:p>
    <w:p w14:paraId="45FEA057"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47. </w:t>
      </w:r>
      <w:r w:rsidRPr="00BB4544">
        <w:rPr>
          <w:rFonts w:ascii="Cambria" w:hAnsi="Cambria"/>
          <w:noProof/>
        </w:rPr>
        <w:tab/>
        <w:t>Wu JT, Peak CM, Leung GM, Lipsitch M. Fractional dosing of yellow fever vaccine to extend supply: a modelling study. Lancet. Elsevier Ltd; 2016;6736: 53421. doi:10.1016/S0140-6736(16)31838-4</w:t>
      </w:r>
    </w:p>
    <w:p w14:paraId="545A0A56"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48. </w:t>
      </w:r>
      <w:r w:rsidRPr="00BB4544">
        <w:rPr>
          <w:rFonts w:ascii="Cambria" w:hAnsi="Cambria"/>
          <w:noProof/>
        </w:rPr>
        <w:tab/>
        <w:t>Azman AS, Rudolph KE, Cummings D a T, Lessler J. The incubation period of cholera: a systematic review. J Infect. Elsevier Ltd; 2013;66: 432–8. doi:10.1016/j.jinf.2012.11.013</w:t>
      </w:r>
    </w:p>
    <w:p w14:paraId="1D4B7231"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49. </w:t>
      </w:r>
      <w:r w:rsidRPr="00BB4544">
        <w:rPr>
          <w:rFonts w:ascii="Cambria" w:hAnsi="Cambria"/>
          <w:noProof/>
        </w:rPr>
        <w:tab/>
        <w:t xml:space="preserve">Azman AS, Luquero FJ, Ciglenecki I, Grais RF, Sack D a., Lessler J. The Impact of a One-Dose versus Two-Dose Oral Cholera Vaccine Regimen in Outbreak Settings: A </w:t>
      </w:r>
      <w:r w:rsidRPr="00BB4544">
        <w:rPr>
          <w:rFonts w:ascii="Cambria" w:hAnsi="Cambria"/>
          <w:noProof/>
        </w:rPr>
        <w:lastRenderedPageBreak/>
        <w:t>Modeling Study. PLOS Med. 2015;12: e1001867. doi:10.1371/journal.pmed.1001867</w:t>
      </w:r>
    </w:p>
    <w:p w14:paraId="72687952"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50. </w:t>
      </w:r>
      <w:r w:rsidRPr="00BB4544">
        <w:rPr>
          <w:rFonts w:ascii="Cambria" w:hAnsi="Cambria"/>
          <w:noProof/>
        </w:rPr>
        <w:tab/>
        <w:t>Weil A a, Khan AI, Chowdhury F, Larocque RC, Faruque  a SG, Ryan ET, et al. Clinical outcomes in household contacts of patients with cholera in Bangladesh. Clin Infect Dis. 2009;49: 1473–9. doi:10.1086/644779</w:t>
      </w:r>
    </w:p>
    <w:p w14:paraId="2D032F7C"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51. </w:t>
      </w:r>
      <w:r w:rsidRPr="00BB4544">
        <w:rPr>
          <w:rFonts w:ascii="Cambria" w:hAnsi="Cambria"/>
          <w:noProof/>
        </w:rPr>
        <w:tab/>
        <w:t>Moore S, Lessler J. Optimal allocation of the limited oral cholera vaccine supply between endemic and epidemic settings. J R Soc …. 2015; Available: http://rsif.royalsocietypublishing.org/content/12/111/20150703</w:t>
      </w:r>
    </w:p>
    <w:p w14:paraId="6E4162B7"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52. </w:t>
      </w:r>
      <w:r w:rsidRPr="00BB4544">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5D74E8EF" w14:textId="77777777" w:rsidR="00BB4544" w:rsidRPr="00BB4544" w:rsidRDefault="00BB4544" w:rsidP="00BB4544">
      <w:pPr>
        <w:widowControl w:val="0"/>
        <w:autoSpaceDE w:val="0"/>
        <w:autoSpaceDN w:val="0"/>
        <w:adjustRightInd w:val="0"/>
        <w:ind w:left="640" w:hanging="640"/>
        <w:rPr>
          <w:rFonts w:ascii="Cambria" w:hAnsi="Cambria"/>
          <w:noProof/>
        </w:rPr>
      </w:pPr>
      <w:r w:rsidRPr="00BB4544">
        <w:rPr>
          <w:rFonts w:ascii="Cambria" w:hAnsi="Cambria"/>
          <w:noProof/>
        </w:rPr>
        <w:t xml:space="preserve">53. </w:t>
      </w:r>
      <w:r w:rsidRPr="00BB4544">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2D2BFCB9" w:rsidR="00D77E67" w:rsidRDefault="000A51A6" w:rsidP="00BB4544">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w:t>
            </w:r>
            <w:proofErr w:type="gramStart"/>
            <w:r>
              <w:t>years</w:t>
            </w:r>
            <w:proofErr w:type="gramEnd"/>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w:t>
            </w:r>
            <w:proofErr w:type="gramStart"/>
            <w:r>
              <w:t>years</w:t>
            </w:r>
            <w:proofErr w:type="gramEnd"/>
            <w:r>
              <w:t>)</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6E168C30" w:rsidR="009F6BC4" w:rsidRDefault="009F6BC4" w:rsidP="00C25678">
            <w:pPr>
              <w:jc w:val="center"/>
            </w:pPr>
            <w:r>
              <w:t>2.6</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20319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20319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20319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20319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5636388C" w:rsidR="009F6BC4" w:rsidRDefault="009F6BC4" w:rsidP="00C25678">
            <w:pPr>
              <w:jc w:val="center"/>
            </w:pPr>
            <w:r>
              <w:t>2.6</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20319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20319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25404D" w:rsidR="009F6BC4" w:rsidRDefault="00C25678" w:rsidP="00C25678">
            <w:pPr>
              <w:jc w:val="center"/>
            </w:pPr>
            <w:commentRangeStart w:id="10"/>
            <w:r>
              <w:t>Routine Vaccination</w:t>
            </w:r>
            <w:commentRangeEnd w:id="10"/>
            <w:r>
              <w:rPr>
                <w:rStyle w:val="CommentReference"/>
              </w:rPr>
              <w:commentReference w:id="10"/>
            </w:r>
          </w:p>
        </w:tc>
        <w:tc>
          <w:tcPr>
            <w:tcW w:w="2394" w:type="dxa"/>
            <w:vAlign w:val="center"/>
          </w:tcPr>
          <w:p w14:paraId="1E3B3CF1" w14:textId="39F0EB04" w:rsidR="009F6BC4" w:rsidRDefault="009F6BC4" w:rsidP="00C25678">
            <w:pPr>
              <w:jc w:val="center"/>
            </w:pPr>
            <w:r>
              <w:t>5.5</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20319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20319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20319A"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20319A"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6F46C592" w:rsidR="009F6BC4" w:rsidRDefault="009F6BC4" w:rsidP="00C25678">
            <w:pPr>
              <w:jc w:val="center"/>
            </w:pPr>
            <w:r>
              <w:t>4.5</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20319A"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20319A"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20319A"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20319A"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6187B06A" w:rsidR="009F6BC4" w:rsidRDefault="009F6BC4" w:rsidP="00C25678">
            <w:pPr>
              <w:jc w:val="center"/>
            </w:pPr>
            <w:r>
              <w:t>2.1</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20319A"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20319A"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06B03D6F" w14:textId="2596BF17" w:rsidR="009F6BC4" w:rsidRDefault="00C25678" w:rsidP="00D60633">
      <w:r>
        <w:t>Comparison of the performance of Routine, Mass, and Mass and Maintain vaccination strategies with respect to DHI in a population of size 10,000, a vaccine supply of 30,000 courses</w:t>
      </w:r>
      <w:proofErr w:type="gramStart"/>
      <w:r>
        <w:t>,  and</w:t>
      </w:r>
      <w:proofErr w:type="gramEnd"/>
      <w:r>
        <w:t xml:space="preserve"> the following operational parameters: routine vaccination of between 2 and 16 courses per day; mass vaccination coverage between 0 and 100% of susceptible individuals; and mass vaccination frequency between annual and every 3 years. </w:t>
      </w:r>
    </w:p>
    <w:p w14:paraId="0C831323" w14:textId="77777777" w:rsidR="00C25678" w:rsidRDefault="00C25678" w:rsidP="00D60633"/>
    <w:p w14:paraId="4FDD4685" w14:textId="13C311FB" w:rsidR="003B5A74" w:rsidRDefault="003B5A74" w:rsidP="00D60633">
      <w:r>
        <w:rPr>
          <w:b/>
        </w:rPr>
        <w:t xml:space="preserve">Fig S1. </w:t>
      </w:r>
      <w:proofErr w:type="gramStart"/>
      <w:r>
        <w:rPr>
          <w:b/>
        </w:rPr>
        <w:t xml:space="preserve">Final epidemic size </w:t>
      </w:r>
      <w:r w:rsidR="00AD39E5">
        <w:rPr>
          <w:b/>
        </w:rPr>
        <w:t>distribution and choice of cutoff.</w:t>
      </w:r>
      <w:proofErr w:type="gramEnd"/>
    </w:p>
    <w:p w14:paraId="4016E743" w14:textId="3AED36DD" w:rsidR="00AD39E5" w:rsidRPr="00AD39E5" w:rsidRDefault="00AD39E5" w:rsidP="00D60633">
      <w:r>
        <w:t xml:space="preserve">The </w:t>
      </w:r>
      <w:r w:rsidR="0020319A">
        <w:t>final epidemic size distribution</w:t>
      </w:r>
      <w:r>
        <w:t xml:space="preserve"> in a population of 1000 </w:t>
      </w:r>
      <w:r w:rsidR="00E179AF">
        <w:t xml:space="preserve">is monotonically decreasing </w:t>
      </w:r>
      <w:r w:rsidR="00E179AF">
        <w:t xml:space="preserve">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E179AF">
        <w:t xml:space="preserve"> equals 0.9 (red)</w:t>
      </w:r>
      <w:r w:rsidR="00E179AF">
        <w:t xml:space="preserve"> and </w:t>
      </w:r>
      <w:r w:rsidR="0020319A">
        <w:t>follows a</w:t>
      </w:r>
      <w:r>
        <w:t xml:space="preserve"> bimodal</w:t>
      </w:r>
      <w:r w:rsidR="0020319A">
        <w:t xml:space="preserve"> distribution</w:t>
      </w:r>
      <w:r>
        <w:t xml:space="preserve">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outbreaks from small with high sensitivity, but specificity can be low with low values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093CF196" w14:textId="77777777" w:rsidR="00C25678" w:rsidRDefault="00C25678" w:rsidP="00D60633">
      <w:pPr>
        <w:rPr>
          <w:b/>
        </w:rPr>
      </w:pPr>
    </w:p>
    <w:p w14:paraId="21F96D8C" w14:textId="3B2FF70D" w:rsidR="00D60633" w:rsidRDefault="00D60633" w:rsidP="00D60633">
      <w:pPr>
        <w:rPr>
          <w:b/>
        </w:rPr>
      </w:pPr>
      <w:r>
        <w:rPr>
          <w:b/>
        </w:rPr>
        <w:t>Fig S</w:t>
      </w:r>
      <w:r w:rsidR="003B5A74">
        <w:rPr>
          <w:b/>
        </w:rPr>
        <w:t>2</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502F0C59"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w:t>
      </w:r>
      <w:r>
        <w:lastRenderedPageBreak/>
        <w:t xml:space="preserve">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47BA741D" w:rsidR="003B6D69" w:rsidRDefault="00055B77" w:rsidP="00754E2D">
      <w:r>
        <w:rPr>
          <w:b/>
        </w:rPr>
        <w:t xml:space="preserve">Figure </w:t>
      </w:r>
      <w:r w:rsidR="00D60633">
        <w:rPr>
          <w:b/>
        </w:rPr>
        <w:t>S</w:t>
      </w:r>
      <w:r w:rsidR="003B5A74">
        <w:rPr>
          <w:b/>
        </w:rPr>
        <w:t>3</w:t>
      </w:r>
      <w:r>
        <w:rPr>
          <w:b/>
        </w:rPr>
        <w:t xml:space="preserve">. </w:t>
      </w:r>
      <w:r w:rsidRPr="00700D43">
        <w:rPr>
          <w:b/>
        </w:rPr>
        <w:t>Changes in the proportion of the population susceptible (</w:t>
      </w:r>
      <m:oMath>
        <m:r>
          <m:rPr>
            <m:sty m:val="bi"/>
          </m:rPr>
          <w:rPr>
            <w:rFonts w:ascii="Cambria Math" w:hAnsi="Cambria Math"/>
          </w:rPr>
          <m:t>X(t)</m:t>
        </m:r>
      </m:oMath>
      <w:r w:rsidRPr="00700D43">
        <w:rPr>
          <w:b/>
        </w:rPr>
        <w:t>) as a function of years since vaccination</w:t>
      </w:r>
      <w:r w:rsidR="00F97B12">
        <w:rPr>
          <w:b/>
        </w:rPr>
        <w:t xml:space="preserve"> in the presence of non-zero birth rates</w:t>
      </w:r>
      <w:r>
        <w:rPr>
          <w:b/>
        </w:rPr>
        <w:t>.</w:t>
      </w:r>
      <w:r>
        <w:t xml:space="preserve"> </w:t>
      </w:r>
    </w:p>
    <w:p w14:paraId="08FA7EE1" w14:textId="0B0B42C6" w:rsidR="00055B77" w:rsidRDefault="00D60633" w:rsidP="00754E2D">
      <w:r>
        <w:t>As per Fig 2</w:t>
      </w:r>
      <w:r w:rsidR="00F97B12">
        <w:t>A-B</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BS-Whole Cell vaccine profile.</w:t>
      </w:r>
      <w:r w:rsidR="00F97B12">
        <w:t xml:space="preserve"> Even conservatively fast rates of birth and death are slow compared to the rates of vaccine efficacy waning and migration, and therefore have little impact.</w:t>
      </w:r>
    </w:p>
    <w:p w14:paraId="3D424263" w14:textId="77777777" w:rsidR="00002C0D" w:rsidRDefault="00002C0D" w:rsidP="00754E2D"/>
    <w:p w14:paraId="1CD7E5DC" w14:textId="04350694" w:rsidR="00002C0D" w:rsidRDefault="00002C0D" w:rsidP="00002C0D">
      <w:r>
        <w:rPr>
          <w:b/>
        </w:rPr>
        <w:t>Fig S</w:t>
      </w:r>
      <w:r w:rsidR="003B5A74">
        <w:rPr>
          <w:b/>
        </w:rPr>
        <w:t>4</w:t>
      </w:r>
      <w:r>
        <w:t>.</w:t>
      </w:r>
      <w:r>
        <w:rPr>
          <w:b/>
        </w:rPr>
        <w:t xml:space="preserve"> Duration of Herd Immunity (DHI) as a function of vaccine coverage and basic reproductive number.</w:t>
      </w:r>
      <w:r>
        <w:t xml:space="preserve"> </w:t>
      </w:r>
    </w:p>
    <w:p w14:paraId="38ACEC9E" w14:textId="5C77670A" w:rsidR="003640B7" w:rsidRDefault="00F97B12" w:rsidP="00754E2D">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0EDEC799" w14:textId="77777777" w:rsidR="006A0A82" w:rsidRDefault="006A0A82" w:rsidP="00754E2D"/>
    <w:p w14:paraId="3965790A" w14:textId="4C891FAD" w:rsidR="006A0A82" w:rsidRDefault="006A0A82" w:rsidP="00754E2D">
      <w:r>
        <w:rPr>
          <w:b/>
        </w:rPr>
        <w:t>Fig S</w:t>
      </w:r>
      <w:r w:rsidR="003B5A74">
        <w:rPr>
          <w:b/>
        </w:rPr>
        <w:t>5</w:t>
      </w:r>
      <w:r>
        <w:rPr>
          <w:b/>
        </w:rPr>
        <w:t xml:space="preserve">. Time-dependent proportion susceptibility, X(t),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F6D4868" w:rsidR="006A0A82" w:rsidRPr="006A0A82" w:rsidRDefault="00F97B12" w:rsidP="00754E2D">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6A0A82">
        <w:t xml:space="preserve">migrants arriving at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037FC54F" w14:textId="77777777" w:rsidR="00002C0D" w:rsidRPr="00055B77" w:rsidRDefault="00002C0D" w:rsidP="00754E2D"/>
    <w:p w14:paraId="1C0E7451" w14:textId="23462024" w:rsidR="00002C0D" w:rsidRDefault="006A0A82" w:rsidP="00002C0D">
      <w:pPr>
        <w:rPr>
          <w:b/>
        </w:rPr>
      </w:pPr>
      <w:r>
        <w:rPr>
          <w:b/>
        </w:rPr>
        <w:t>Fig S</w:t>
      </w:r>
      <w:r w:rsidR="003B5A74">
        <w:rPr>
          <w:b/>
        </w:rPr>
        <w:t>6</w:t>
      </w:r>
      <w:r w:rsidR="00002C0D">
        <w:rPr>
          <w:b/>
        </w:rPr>
        <w:t>.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sidR="00002C0D">
        <w:rPr>
          <w:b/>
        </w:rPr>
        <w:t xml:space="preserve">) and daily cholera case counts in Bentiu PoC </w:t>
      </w:r>
      <w:r w:rsidR="00170538">
        <w:rPr>
          <w:b/>
        </w:rPr>
        <w:t xml:space="preserve">Camp </w:t>
      </w:r>
      <w:r w:rsidR="00002C0D">
        <w:rPr>
          <w:b/>
        </w:rPr>
        <w:t>between October</w:t>
      </w:r>
      <w:r w:rsidR="00F97B12">
        <w:rPr>
          <w:b/>
        </w:rPr>
        <w:t>, 2016,</w:t>
      </w:r>
      <w:r w:rsidR="00002C0D">
        <w:rPr>
          <w:b/>
        </w:rPr>
        <w:t xml:space="preserve"> and</w:t>
      </w:r>
      <w:r w:rsidR="00F97B12">
        <w:rPr>
          <w:b/>
        </w:rPr>
        <w:t xml:space="preserve"> January, 2017</w:t>
      </w:r>
      <w:r w:rsidR="00002C0D">
        <w:rPr>
          <w:b/>
        </w:rPr>
        <w:t xml:space="preserve">. </w:t>
      </w:r>
    </w:p>
    <w:p w14:paraId="719104F0" w14:textId="3C43B5BE"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7B0B58">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"[31]", "plainTextFormattedCitation" : "[31]", "previouslyFormattedCitation" : "[31]" }, "properties" : { "noteIndex" : 0 }, "schema" : "https://github.com/citation-style-language/schema/raw/master/csl-citation.json" }</w:instrText>
      </w:r>
      <w:r w:rsidR="00002C0D">
        <w:fldChar w:fldCharType="separate"/>
      </w:r>
      <w:r w:rsidR="00990BB5" w:rsidRPr="00990BB5">
        <w:rPr>
          <w:noProof/>
        </w:rPr>
        <w:t>[31]</w:t>
      </w:r>
      <w:r w:rsidR="00002C0D">
        <w:fldChar w:fldCharType="end"/>
      </w:r>
      <w:r>
        <w:t>, we report a</w:t>
      </w:r>
      <w:r w:rsidR="00F97B12">
        <w:t xml:space="preserve"> mean</w:t>
      </w:r>
      <w:r>
        <w:t xml:space="preserve"> time-dependent reproductive number (red line) </w:t>
      </w:r>
      <w:r w:rsidR="00F97B12">
        <w:t>above unity for nearly two months. 95% confidence interval shown in pink</w:t>
      </w:r>
      <w:r>
        <w:t>.</w:t>
      </w:r>
    </w:p>
    <w:p w14:paraId="2CC15BD7" w14:textId="77777777" w:rsidR="00C06A72" w:rsidRDefault="00C06A72" w:rsidP="00002C0D"/>
    <w:p w14:paraId="7C0C2E1F" w14:textId="0AC7B718" w:rsidR="00C06A72" w:rsidRDefault="006A0A82" w:rsidP="00002C0D">
      <w:r>
        <w:rPr>
          <w:b/>
        </w:rPr>
        <w:t>Fig S</w:t>
      </w:r>
      <w:r w:rsidR="003B5A74">
        <w:rPr>
          <w:b/>
        </w:rPr>
        <w:t>7</w:t>
      </w:r>
      <w:r w:rsidR="007304DE">
        <w:rPr>
          <w:b/>
        </w:rPr>
        <w:t>. Calculation of</w:t>
      </w:r>
      <m:oMath>
        <m:r>
          <m:rPr>
            <m:sty m:val="bi"/>
          </m:rPr>
          <w:rPr>
            <w:rFonts w:ascii="Cambria Math" w:hAnsi="Cambria Math"/>
          </w:rPr>
          <m:t xml:space="preserve"> X(t)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 in “take” or “degree.”</w:t>
      </w:r>
    </w:p>
    <w:p w14:paraId="7E5A9BF3" w14:textId="2B028FA6" w:rsidR="007304DE" w:rsidRDefault="00CD56B4" w:rsidP="00002C0D">
      <w:r>
        <w:t>As demonstrated with a simple</w:t>
      </w:r>
      <w:r w:rsidR="007304DE">
        <w:t xml:space="preserve"> exponentially waning vaccine direct effect, </w:t>
      </w:r>
      <w:r w:rsidR="007B0B58">
        <w:t xml:space="preserve">vaccine efficacy waning that is due to a time-dependent failure in “take” (i.e., </w:t>
      </w:r>
      <w:r w:rsidR="007304DE">
        <w:t xml:space="preserve">an </w:t>
      </w:r>
      <w:r>
        <w:t>“</w:t>
      </w:r>
      <w:r w:rsidR="007304DE">
        <w:t>All or Nothing</w:t>
      </w:r>
      <w:r>
        <w:t>”</w:t>
      </w:r>
      <w:r w:rsidR="007304DE">
        <w:t xml:space="preserve"> vaccine </w:t>
      </w:r>
      <w:r w:rsidR="007B0B58">
        <w:t>waning)</w:t>
      </w:r>
      <w:r w:rsidR="007304DE">
        <w:t xml:space="preserve"> (left panel) retains a constant </w:t>
      </w:r>
      <m:oMath>
        <m:r>
          <w:rPr>
            <w:rFonts w:ascii="Cambria Math" w:hAnsi="Cambria Math"/>
          </w:rPr>
          <m:t>VE(t)</m:t>
        </m:r>
      </m:oMath>
      <w:r w:rsidR="007304DE">
        <w:t xml:space="preserve"> (dashed line) while the number of individuals in the </w:t>
      </w:r>
      <m:oMath>
        <m:r>
          <w:rPr>
            <w:rFonts w:ascii="Cambria Math" w:hAnsi="Cambria Math"/>
          </w:rPr>
          <m:t>V(t)</m:t>
        </m:r>
      </m:oMath>
      <w:r w:rsidR="007304DE">
        <w:t xml:space="preserve"> </w:t>
      </w:r>
      <w:r>
        <w:t>ensemble</w:t>
      </w:r>
      <w:r w:rsidR="007304DE">
        <w:t xml:space="preserve"> decreases ov</w:t>
      </w:r>
      <w:r>
        <w:t>er time (dotted line)</w:t>
      </w:r>
      <w:r w:rsidR="0028284E">
        <w:t xml:space="preserve"> from 75% to 0%</w:t>
      </w:r>
      <w:r>
        <w:t>. For</w:t>
      </w:r>
      <w:r w:rsidR="007B0B58">
        <w:t xml:space="preserve"> a time-dependent failure in “degree</w:t>
      </w:r>
      <w:r>
        <w:t xml:space="preserve"> </w:t>
      </w:r>
      <w:r w:rsidR="007B0B58">
        <w:t xml:space="preserve">(i.e., a </w:t>
      </w:r>
      <w:r>
        <w:t>l</w:t>
      </w:r>
      <w:r w:rsidR="007304DE">
        <w:t>eaky vaccine</w:t>
      </w:r>
      <w:r w:rsidR="007B0B58">
        <w:t xml:space="preserve"> waning)</w:t>
      </w:r>
      <w:r w:rsidR="007304DE">
        <w:t xml:space="preserve"> (right panel), individuals </w:t>
      </w:r>
      <w:r>
        <w:t>remain</w:t>
      </w:r>
      <w:r w:rsidR="007304DE">
        <w:t xml:space="preserve"> in the </w:t>
      </w:r>
      <m:oMath>
        <m:r>
          <w:rPr>
            <w:rFonts w:ascii="Cambria Math" w:hAnsi="Cambria Math"/>
          </w:rPr>
          <m:t>V(t)</m:t>
        </m:r>
      </m:oMath>
      <w:r w:rsidR="007304DE">
        <w:t xml:space="preserve"> </w:t>
      </w:r>
      <w:r>
        <w:t>ensemble</w:t>
      </w:r>
      <w:r w:rsidR="007304DE">
        <w:t xml:space="preserve">, but </w:t>
      </w:r>
      <w:r>
        <w:t xml:space="preserve">vaccine efficacy </w:t>
      </w:r>
      <w:r w:rsidR="007304DE">
        <w:t>wanes</w:t>
      </w:r>
      <w:r w:rsidR="0028284E">
        <w:t xml:space="preserve"> from 75% to 0%</w:t>
      </w:r>
      <w:r w:rsidR="007304DE">
        <w:t>. Regardless, the proportion susceptible</w:t>
      </w:r>
      <m:oMath>
        <m:r>
          <w:rPr>
            <w:rFonts w:ascii="Cambria Math" w:hAnsi="Cambria Math"/>
          </w:rPr>
          <m:t xml:space="preserve"> X(t) </m:t>
        </m:r>
      </m:oMath>
      <w:r w:rsidR="007304DE">
        <w:t xml:space="preserve">(solid line) follows the same profile for both vaccine modes of </w:t>
      </w:r>
      <w:r w:rsidR="00D04E3D">
        <w:t>vaccine waning</w:t>
      </w:r>
      <w:r w:rsidR="007304DE">
        <w:t xml:space="preserve">. </w:t>
      </w:r>
    </w:p>
    <w:p w14:paraId="3929A56A" w14:textId="77777777" w:rsidR="005D6069" w:rsidRDefault="005D6069" w:rsidP="006173F9"/>
    <w:p w14:paraId="2B1D08E8" w14:textId="745AB0D9" w:rsidR="003B6D69" w:rsidRDefault="00002C0D" w:rsidP="006173F9">
      <w:pPr>
        <w:rPr>
          <w:b/>
        </w:rPr>
      </w:pPr>
      <w:r>
        <w:rPr>
          <w:b/>
        </w:rPr>
        <w:t>Fig S</w:t>
      </w:r>
      <w:r w:rsidR="003B5A74">
        <w:rPr>
          <w:b/>
        </w:rPr>
        <w:t>8</w:t>
      </w:r>
      <w:r w:rsidR="005D6069">
        <w:t>.</w:t>
      </w:r>
      <w:r w:rsidR="00E10120">
        <w:t xml:space="preserve"> </w:t>
      </w:r>
      <w:r w:rsidR="00E10120">
        <w:rPr>
          <w:b/>
        </w:rPr>
        <w:t xml:space="preserve">Vaccine targeting optimized in settings with intermediate rates of migration. </w:t>
      </w:r>
    </w:p>
    <w:p w14:paraId="5131E5B6" w14:textId="27A6320F" w:rsidR="003D0342" w:rsidRDefault="003D0342" w:rsidP="003D0342">
      <w:pPr>
        <w:rPr>
          <w:b/>
        </w:rPr>
      </w:pPr>
      <w:r>
        <w:t>As per Fig 4</w:t>
      </w:r>
      <w:r w:rsidR="00E10120">
        <w:t>, except for a perf</w:t>
      </w:r>
      <w:r w:rsidR="00002C0D">
        <w:t>ect vaccine (VE=1 indefinitely).</w:t>
      </w:r>
      <w:r w:rsidRPr="003D0342">
        <w:rPr>
          <w:b/>
        </w:rPr>
        <w:t xml:space="preserve"> </w:t>
      </w:r>
    </w:p>
    <w:p w14:paraId="4110CEFB" w14:textId="77777777" w:rsidR="003D0342" w:rsidRDefault="003D0342" w:rsidP="003D0342">
      <w:pPr>
        <w:rPr>
          <w:b/>
        </w:rPr>
      </w:pPr>
    </w:p>
    <w:p w14:paraId="412A0145" w14:textId="527163DD" w:rsidR="003D0342" w:rsidRDefault="003D0342" w:rsidP="003D0342">
      <w:pPr>
        <w:rPr>
          <w:b/>
        </w:rPr>
      </w:pPr>
      <w:r>
        <w:rPr>
          <w:b/>
        </w:rPr>
        <w:t>Fig S</w:t>
      </w:r>
      <w:r w:rsidR="003B5A74">
        <w:rPr>
          <w:b/>
        </w:rPr>
        <w:t>9</w:t>
      </w:r>
      <w:r>
        <w:rPr>
          <w:b/>
        </w:rPr>
        <w:t>.</w:t>
      </w:r>
      <w:r>
        <w:t xml:space="preserve"> </w:t>
      </w:r>
      <w:r>
        <w:rPr>
          <w:b/>
        </w:rPr>
        <w:t>Revaccination strategies to maximize DHI assuming a non-waning vaccine.</w:t>
      </w:r>
    </w:p>
    <w:p w14:paraId="3B0FEA8A" w14:textId="0E58F602" w:rsidR="00647EAB" w:rsidRDefault="003D0342" w:rsidP="00F038DC">
      <w:r>
        <w:t xml:space="preserve">As per Fig 3, except the vaccine now retains the maximum </w:t>
      </w:r>
      <w:proofErr w:type="spellStart"/>
      <w:r>
        <w:t>kOCV</w:t>
      </w:r>
      <w:proofErr w:type="spellEnd"/>
      <w:r>
        <w:t xml:space="preserve"> efficacy (0.703) for all time. Mass then Maintain strategies again maximize DHI for a fixed vaccine supply.</w:t>
      </w:r>
      <w:r w:rsidRPr="002C5E5F">
        <w:t xml:space="preserve"> </w:t>
      </w:r>
    </w:p>
    <w:p w14:paraId="4A246F53" w14:textId="77777777" w:rsidR="00002C0D" w:rsidRDefault="00002C0D"/>
    <w:p w14:paraId="3E70F1E6" w14:textId="1AC513CA" w:rsidR="00E206D5" w:rsidRDefault="003D0342">
      <w:pPr>
        <w:rPr>
          <w:b/>
        </w:rPr>
      </w:pPr>
      <w:r>
        <w:rPr>
          <w:b/>
        </w:rPr>
        <w:t>Fig S</w:t>
      </w:r>
      <w:r w:rsidR="003B5A74">
        <w:rPr>
          <w:b/>
        </w:rPr>
        <w:t>10</w:t>
      </w:r>
      <w:r w:rsidR="00ED74E8">
        <w:rPr>
          <w:b/>
        </w:rPr>
        <w:t xml:space="preserve">. Demonstration of </w:t>
      </w:r>
      <w:r w:rsidR="00511BFA">
        <w:rPr>
          <w:b/>
        </w:rPr>
        <w:t>Logarithmic adjustment for</w:t>
      </w:r>
      <w:r w:rsidR="00ED74E8">
        <w:rPr>
          <w:b/>
        </w:rPr>
        <w:t xml:space="preserve"> transition rates.</w:t>
      </w:r>
    </w:p>
    <w:p w14:paraId="2B2DC409" w14:textId="1E0BFC45" w:rsidR="00511BFA" w:rsidRDefault="00511BFA">
      <w:r>
        <w:t xml:space="preserve">As the desired fraction of individuals to be vaccinated in a single day (x axis) increases, the vaccination transition rate with the logarithmic adjustment (see Supplemental Text)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using a transition rate that is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37377817" w14:textId="77777777" w:rsidR="00F100C2" w:rsidRPr="00511BFA" w:rsidRDefault="00F100C2"/>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5D91050D"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routine vaccine.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371749" w:rsidRDefault="0020319A"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066F8B">
      <w:pPr>
        <w:ind w:left="720"/>
      </w:pPr>
    </w:p>
    <w:p w14:paraId="65105F0A" w14:textId="3206D614"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371749">
        <w:t>) (Fig S</w:t>
      </w:r>
      <w:r w:rsidR="003B5A74">
        <w:t>10</w:t>
      </w:r>
      <w:r>
        <w:t xml:space="preserve">, dashed line). </w:t>
      </w:r>
    </w:p>
    <w:p w14:paraId="401AF187" w14:textId="77777777" w:rsidR="00066F8B" w:rsidRDefault="00066F8B" w:rsidP="00066F8B"/>
    <w:p w14:paraId="2E77BF14" w14:textId="2BA5449E"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71749">
        <w:t xml:space="preserve"> (Fig S</w:t>
      </w:r>
      <w:r w:rsidR="003B5A74">
        <w:t>10</w:t>
      </w:r>
      <w:r w:rsidR="00A433D9">
        <w:t>, solid line)</w:t>
      </w:r>
      <w:r>
        <w:t>.</w:t>
      </w:r>
      <w:r w:rsidRPr="00066F8B">
        <w:t xml:space="preserve"> </w:t>
      </w:r>
      <w:r>
        <w:t xml:space="preserve">For computational tractability, we assume the 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lastRenderedPageBreak/>
        <w:t xml:space="preserve">When the number of available vaccine,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022B75F0" w14:textId="77777777" w:rsidR="00B7144F" w:rsidRDefault="00B7144F" w:rsidP="00B7144F"/>
    <w:p w14:paraId="6FF34711" w14:textId="778B2AE1" w:rsidR="00C01BE6" w:rsidRDefault="004D3805" w:rsidP="004D3805">
      <w:r>
        <w:rPr>
          <w:i/>
        </w:rPr>
        <w:t>Interactive Online Supplement</w:t>
      </w:r>
    </w:p>
    <w:p w14:paraId="62FA4CBD" w14:textId="22DCEBC8" w:rsidR="00C01BE6" w:rsidRDefault="004D3805" w:rsidP="00AB630E">
      <w:r>
        <w:t xml:space="preserve">The interactive online supplement (found at: </w:t>
      </w:r>
      <w:hyperlink r:id="rId15"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104E1001" w:rsidR="00C01BE6" w:rsidRDefault="00C01BE6" w:rsidP="00AB630E">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w:t>
      </w:r>
      <w:r w:rsidR="004D3805">
        <w:t>ref</w:t>
      </w:r>
      <w:r>
        <w:t>].</w:t>
      </w:r>
    </w:p>
    <w:p w14:paraId="4373A2C9" w14:textId="77777777" w:rsidR="004D3805" w:rsidRDefault="004D3805" w:rsidP="004D3805">
      <w:pPr>
        <w:rPr>
          <w:b/>
        </w:rPr>
      </w:pPr>
    </w:p>
    <w:p w14:paraId="1D4F3F09" w14:textId="78E92241"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BB4544">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"[48]", "plainTextFormattedCitation" : "[48]", "previouslyFormattedCitation" : "[48]" }, "properties" : { "noteIndex" : 0 }, "schema" : "https://github.com/citation-style-language/schema/raw/master/csl-citation.json" }</w:instrText>
      </w:r>
      <w:r>
        <w:fldChar w:fldCharType="separate"/>
      </w:r>
      <w:r w:rsidR="007B0B58" w:rsidRPr="007B0B58">
        <w:rPr>
          <w:noProof/>
        </w:rPr>
        <w:t>[48]</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BB4544">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"[49,50]", "plainTextFormattedCitation" : "[49,50]", "previouslyFormattedCitation" : "[49,50]" }, "properties" : { "noteIndex" : 0 }, "schema" : "https://github.com/citation-style-language/schema/raw/master/csl-citation.json" }</w:instrText>
      </w:r>
      <w:r>
        <w:fldChar w:fldCharType="separate"/>
      </w:r>
      <w:r w:rsidR="007B0B58" w:rsidRPr="007B0B58">
        <w:rPr>
          <w:noProof/>
        </w:rPr>
        <w:t>[49,50]</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BB4544">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"[51\u201353]", "plainTextFormattedCitation" : "[51\u201353]", "previouslyFormattedCitation" : "[51\u201353]" }, "properties" : { "noteIndex" : 0 }, "schema" : "https://github.com/citation-style-language/schema/raw/master/csl-citation.json" }</w:instrText>
      </w:r>
      <w:r>
        <w:fldChar w:fldCharType="separate"/>
      </w:r>
      <w:r w:rsidR="007B0B58" w:rsidRPr="007B0B58">
        <w:rPr>
          <w:noProof/>
        </w:rPr>
        <w:t>[51–53]</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6"/>
      <w:footerReference w:type="default" r:id="rId17"/>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Corey Peak" w:date="2017-02-06T13:59:00Z" w:initials="CP">
    <w:p w14:paraId="70AEC979" w14:textId="529743E7" w:rsidR="0020319A" w:rsidRDefault="0020319A">
      <w:pPr>
        <w:pStyle w:val="CommentText"/>
      </w:pPr>
      <w:r>
        <w:rPr>
          <w:rStyle w:val="CommentReference"/>
        </w:rPr>
        <w:annotationRef/>
      </w:r>
      <w:r>
        <w:t>To Do list:</w:t>
      </w:r>
    </w:p>
    <w:p w14:paraId="5196A2C8" w14:textId="77777777" w:rsidR="0020319A" w:rsidRDefault="0020319A">
      <w:pPr>
        <w:pStyle w:val="CommentText"/>
      </w:pPr>
    </w:p>
    <w:p w14:paraId="46CE06CE" w14:textId="3FC7DBC8" w:rsidR="0020319A" w:rsidRPr="00E90A82" w:rsidRDefault="0020319A">
      <w:pPr>
        <w:pStyle w:val="CommentText"/>
        <w:rPr>
          <w:b/>
        </w:rPr>
      </w:pPr>
      <w:r w:rsidRPr="00E90A82">
        <w:rPr>
          <w:b/>
        </w:rPr>
        <w:t>Sensitivity analyses</w:t>
      </w:r>
    </w:p>
    <w:p w14:paraId="5FEA6F97" w14:textId="5FE5F055" w:rsidR="0020319A" w:rsidRDefault="0020319A">
      <w:pPr>
        <w:pStyle w:val="CommentText"/>
      </w:pPr>
      <w:r>
        <w:tab/>
        <w:t>Age structure</w:t>
      </w:r>
    </w:p>
    <w:p w14:paraId="11E02B33" w14:textId="1AA577E6" w:rsidR="0020319A" w:rsidRDefault="0020319A">
      <w:pPr>
        <w:pStyle w:val="CommentText"/>
      </w:pPr>
      <w:r>
        <w:tab/>
        <w:t>two groups (mobile and permanent residents)</w:t>
      </w:r>
    </w:p>
    <w:p w14:paraId="0A091CE0" w14:textId="75A8EB05" w:rsidR="0020319A" w:rsidRDefault="0020319A">
      <w:pPr>
        <w:pStyle w:val="CommentText"/>
      </w:pPr>
      <w:r>
        <w:tab/>
        <w:t>vaccinated or immune migrants</w:t>
      </w:r>
    </w:p>
    <w:p w14:paraId="2AC57F14" w14:textId="138EA0C7" w:rsidR="0020319A" w:rsidRDefault="0020319A">
      <w:pPr>
        <w:pStyle w:val="CommentText"/>
      </w:pPr>
      <w:r>
        <w:tab/>
        <w:t>vaccine targeting to intermediate settings</w:t>
      </w:r>
    </w:p>
    <w:p w14:paraId="6486699D" w14:textId="289BB67A" w:rsidR="0020319A" w:rsidRDefault="0020319A">
      <w:pPr>
        <w:pStyle w:val="CommentText"/>
      </w:pPr>
      <w:r>
        <w:tab/>
      </w:r>
      <w:r>
        <w:tab/>
        <w:t>probability migrant is infected</w:t>
      </w:r>
    </w:p>
    <w:p w14:paraId="6B514A49" w14:textId="432EEE6A" w:rsidR="0020319A" w:rsidRDefault="0020319A">
      <w:pPr>
        <w:pStyle w:val="CommentText"/>
      </w:pPr>
      <w:r>
        <w:tab/>
      </w:r>
      <w:r>
        <w:tab/>
        <w:t>coverage</w:t>
      </w:r>
    </w:p>
    <w:p w14:paraId="00511F6B" w14:textId="642AFA1D" w:rsidR="0020319A" w:rsidRDefault="0020319A">
      <w:pPr>
        <w:pStyle w:val="CommentText"/>
      </w:pPr>
      <w:r>
        <w:tab/>
      </w:r>
      <w:r>
        <w:tab/>
        <w:t>N</w:t>
      </w:r>
    </w:p>
    <w:p w14:paraId="1A37A7BF" w14:textId="0C70B0B3" w:rsidR="0020319A" w:rsidRDefault="0020319A">
      <w:pPr>
        <w:pStyle w:val="CommentText"/>
      </w:pPr>
      <w:r>
        <w:tab/>
      </w:r>
      <w:r>
        <w:tab/>
        <w:t>number of migrants</w:t>
      </w:r>
    </w:p>
    <w:p w14:paraId="1645BD02" w14:textId="77BDB9A8" w:rsidR="0020319A" w:rsidRDefault="0020319A">
      <w:pPr>
        <w:pStyle w:val="CommentText"/>
      </w:pPr>
      <w:r>
        <w:tab/>
      </w:r>
      <w:r>
        <w:tab/>
        <w:t>outbreak size</w:t>
      </w:r>
    </w:p>
    <w:p w14:paraId="7A35A9BD" w14:textId="07070295" w:rsidR="0020319A" w:rsidRDefault="0020319A">
      <w:pPr>
        <w:pStyle w:val="CommentText"/>
      </w:pPr>
      <w:r>
        <w:tab/>
      </w:r>
      <w:proofErr w:type="spellStart"/>
      <w:r>
        <w:t>Wallinga</w:t>
      </w:r>
      <w:proofErr w:type="spellEnd"/>
      <w:r>
        <w:t xml:space="preserve"> </w:t>
      </w:r>
      <w:proofErr w:type="spellStart"/>
      <w:r>
        <w:t>Teunis</w:t>
      </w:r>
      <w:proofErr w:type="spellEnd"/>
      <w:r>
        <w:t xml:space="preserve"> method</w:t>
      </w:r>
    </w:p>
    <w:p w14:paraId="1A1732DD" w14:textId="7F3A2864" w:rsidR="0020319A" w:rsidRDefault="0020319A">
      <w:pPr>
        <w:pStyle w:val="CommentText"/>
      </w:pPr>
      <w:r>
        <w:tab/>
      </w:r>
      <w:r>
        <w:tab/>
        <w:t>assumed generation interval</w:t>
      </w:r>
    </w:p>
    <w:p w14:paraId="0BDF5ADA" w14:textId="4C85030F" w:rsidR="0020319A" w:rsidRDefault="0020319A" w:rsidP="00FC53DB">
      <w:pPr>
        <w:pStyle w:val="CommentText"/>
      </w:pPr>
      <w:r>
        <w:tab/>
      </w:r>
      <w:r>
        <w:tab/>
      </w:r>
      <w:proofErr w:type="gramStart"/>
      <w:r>
        <w:t>missing</w:t>
      </w:r>
      <w:proofErr w:type="gramEnd"/>
      <w:r>
        <w:t xml:space="preserve"> data</w:t>
      </w:r>
    </w:p>
  </w:comment>
  <w:comment w:id="10" w:author="Corey Peak" w:date="2017-02-06T13:58:00Z" w:initials="CP">
    <w:p w14:paraId="134787F4" w14:textId="3117F964" w:rsidR="0020319A" w:rsidRDefault="0020319A">
      <w:pPr>
        <w:pStyle w:val="CommentText"/>
      </w:pPr>
      <w:ins w:id="11" w:author="Corey Peak" w:date="2017-02-06T09:35:00Z">
        <w:r>
          <w:rPr>
            <w:rStyle w:val="CommentReference"/>
          </w:rPr>
          <w:annotationRef/>
        </w:r>
      </w:ins>
      <w:r>
        <w:rPr>
          <w:rStyle w:val="CommentReference"/>
        </w:rPr>
        <w:t>Add more scenarios to correct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F5ADA" w15:done="0"/>
  <w15:commentEx w15:paraId="7D93609D" w15:done="0"/>
  <w15:commentEx w15:paraId="400402C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11C21" w14:textId="77777777" w:rsidR="0020319A" w:rsidRDefault="0020319A" w:rsidP="001850C4">
      <w:r>
        <w:separator/>
      </w:r>
    </w:p>
  </w:endnote>
  <w:endnote w:type="continuationSeparator" w:id="0">
    <w:p w14:paraId="1BA2A908" w14:textId="77777777" w:rsidR="0020319A" w:rsidRDefault="0020319A"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pyrus">
    <w:panose1 w:val="020B0602040200020303"/>
    <w:charset w:val="00"/>
    <w:family w:val="auto"/>
    <w:pitch w:val="variable"/>
    <w:sig w:usb0="A000007F" w:usb1="4000205B" w:usb2="000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20319A" w:rsidRDefault="0020319A"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20319A" w:rsidRDefault="0020319A"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20319A" w:rsidRDefault="0020319A"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79AF">
      <w:rPr>
        <w:rStyle w:val="PageNumber"/>
        <w:noProof/>
      </w:rPr>
      <w:t>8</w:t>
    </w:r>
    <w:r>
      <w:rPr>
        <w:rStyle w:val="PageNumber"/>
      </w:rPr>
      <w:fldChar w:fldCharType="end"/>
    </w:r>
  </w:p>
  <w:p w14:paraId="08A4DC5F" w14:textId="77777777" w:rsidR="0020319A" w:rsidRDefault="0020319A"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7F8AC" w14:textId="77777777" w:rsidR="0020319A" w:rsidRDefault="0020319A" w:rsidP="001850C4">
      <w:r>
        <w:separator/>
      </w:r>
    </w:p>
  </w:footnote>
  <w:footnote w:type="continuationSeparator" w:id="0">
    <w:p w14:paraId="27F06357" w14:textId="77777777" w:rsidR="0020319A" w:rsidRDefault="0020319A"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1293"/>
    <w:rsid w:val="00043F86"/>
    <w:rsid w:val="00044C95"/>
    <w:rsid w:val="00046563"/>
    <w:rsid w:val="00046565"/>
    <w:rsid w:val="00052949"/>
    <w:rsid w:val="00055B77"/>
    <w:rsid w:val="00057595"/>
    <w:rsid w:val="000626DE"/>
    <w:rsid w:val="000630EB"/>
    <w:rsid w:val="00064ED7"/>
    <w:rsid w:val="00066F8B"/>
    <w:rsid w:val="000679D4"/>
    <w:rsid w:val="00072529"/>
    <w:rsid w:val="000728B5"/>
    <w:rsid w:val="00077B6C"/>
    <w:rsid w:val="0009137F"/>
    <w:rsid w:val="00092D82"/>
    <w:rsid w:val="00097E51"/>
    <w:rsid w:val="000A06E9"/>
    <w:rsid w:val="000A51A6"/>
    <w:rsid w:val="000B41CB"/>
    <w:rsid w:val="000B7013"/>
    <w:rsid w:val="000C2BED"/>
    <w:rsid w:val="000C3E32"/>
    <w:rsid w:val="000C7355"/>
    <w:rsid w:val="000D19EC"/>
    <w:rsid w:val="000D3B19"/>
    <w:rsid w:val="000D43E0"/>
    <w:rsid w:val="000D703C"/>
    <w:rsid w:val="000E5266"/>
    <w:rsid w:val="000E5D49"/>
    <w:rsid w:val="000E73B9"/>
    <w:rsid w:val="000E7967"/>
    <w:rsid w:val="000F175B"/>
    <w:rsid w:val="000F6CC0"/>
    <w:rsid w:val="00100825"/>
    <w:rsid w:val="00101669"/>
    <w:rsid w:val="00103784"/>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4499"/>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C65FE"/>
    <w:rsid w:val="001D3B79"/>
    <w:rsid w:val="001D4990"/>
    <w:rsid w:val="001D6A65"/>
    <w:rsid w:val="001E049A"/>
    <w:rsid w:val="001E0C33"/>
    <w:rsid w:val="001E6C5D"/>
    <w:rsid w:val="001E7E1A"/>
    <w:rsid w:val="001F435D"/>
    <w:rsid w:val="001F73FC"/>
    <w:rsid w:val="00202A22"/>
    <w:rsid w:val="0020319A"/>
    <w:rsid w:val="00204221"/>
    <w:rsid w:val="00207B44"/>
    <w:rsid w:val="002112FC"/>
    <w:rsid w:val="00212835"/>
    <w:rsid w:val="00215957"/>
    <w:rsid w:val="00217019"/>
    <w:rsid w:val="002222F4"/>
    <w:rsid w:val="002246FB"/>
    <w:rsid w:val="002256CE"/>
    <w:rsid w:val="00226BF1"/>
    <w:rsid w:val="002312CE"/>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303"/>
    <w:rsid w:val="0027127B"/>
    <w:rsid w:val="002752CF"/>
    <w:rsid w:val="00275AE8"/>
    <w:rsid w:val="00275E47"/>
    <w:rsid w:val="00281AFF"/>
    <w:rsid w:val="0028276D"/>
    <w:rsid w:val="0028284E"/>
    <w:rsid w:val="00284FDC"/>
    <w:rsid w:val="00286A28"/>
    <w:rsid w:val="00287B54"/>
    <w:rsid w:val="00290EDB"/>
    <w:rsid w:val="00291518"/>
    <w:rsid w:val="00294C76"/>
    <w:rsid w:val="002A1306"/>
    <w:rsid w:val="002A4FEA"/>
    <w:rsid w:val="002A611F"/>
    <w:rsid w:val="002B1D6D"/>
    <w:rsid w:val="002B3E01"/>
    <w:rsid w:val="002B44C8"/>
    <w:rsid w:val="002B71D7"/>
    <w:rsid w:val="002C24BA"/>
    <w:rsid w:val="002C37EC"/>
    <w:rsid w:val="002C409D"/>
    <w:rsid w:val="002C5E5F"/>
    <w:rsid w:val="002E1A5F"/>
    <w:rsid w:val="002E6C5E"/>
    <w:rsid w:val="002E6F64"/>
    <w:rsid w:val="002F0050"/>
    <w:rsid w:val="002F22F3"/>
    <w:rsid w:val="002F2F2F"/>
    <w:rsid w:val="0030265A"/>
    <w:rsid w:val="00302F9C"/>
    <w:rsid w:val="00305A04"/>
    <w:rsid w:val="00311518"/>
    <w:rsid w:val="00316672"/>
    <w:rsid w:val="003210F2"/>
    <w:rsid w:val="00321F30"/>
    <w:rsid w:val="00324900"/>
    <w:rsid w:val="003264EE"/>
    <w:rsid w:val="00330F90"/>
    <w:rsid w:val="0033354D"/>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80271"/>
    <w:rsid w:val="00380776"/>
    <w:rsid w:val="00382598"/>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3632"/>
    <w:rsid w:val="003D39B4"/>
    <w:rsid w:val="003D3BBD"/>
    <w:rsid w:val="003D6BAF"/>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312B8"/>
    <w:rsid w:val="0043162F"/>
    <w:rsid w:val="00437A54"/>
    <w:rsid w:val="00441D19"/>
    <w:rsid w:val="00456D57"/>
    <w:rsid w:val="00460C59"/>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2699"/>
    <w:rsid w:val="004C3907"/>
    <w:rsid w:val="004C5CC0"/>
    <w:rsid w:val="004C7F69"/>
    <w:rsid w:val="004D3805"/>
    <w:rsid w:val="004D3F96"/>
    <w:rsid w:val="004D4A6E"/>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5"/>
    <w:rsid w:val="00503C7E"/>
    <w:rsid w:val="00503E17"/>
    <w:rsid w:val="00505B2E"/>
    <w:rsid w:val="00510C52"/>
    <w:rsid w:val="00511BFA"/>
    <w:rsid w:val="00512F47"/>
    <w:rsid w:val="005157F8"/>
    <w:rsid w:val="00516F76"/>
    <w:rsid w:val="00517478"/>
    <w:rsid w:val="00520DD4"/>
    <w:rsid w:val="005258AD"/>
    <w:rsid w:val="00527DCB"/>
    <w:rsid w:val="00532C52"/>
    <w:rsid w:val="005367F3"/>
    <w:rsid w:val="00537BAE"/>
    <w:rsid w:val="00541512"/>
    <w:rsid w:val="0054259D"/>
    <w:rsid w:val="005426F4"/>
    <w:rsid w:val="005438BB"/>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50CA"/>
    <w:rsid w:val="00596D3C"/>
    <w:rsid w:val="00597617"/>
    <w:rsid w:val="005A7770"/>
    <w:rsid w:val="005B3DD3"/>
    <w:rsid w:val="005B7291"/>
    <w:rsid w:val="005C033C"/>
    <w:rsid w:val="005C0BCB"/>
    <w:rsid w:val="005C0C25"/>
    <w:rsid w:val="005C2518"/>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712F"/>
    <w:rsid w:val="0064247B"/>
    <w:rsid w:val="00642CB4"/>
    <w:rsid w:val="006456F2"/>
    <w:rsid w:val="00647480"/>
    <w:rsid w:val="00647CD9"/>
    <w:rsid w:val="00647EAB"/>
    <w:rsid w:val="0065101F"/>
    <w:rsid w:val="00665521"/>
    <w:rsid w:val="006721EF"/>
    <w:rsid w:val="0067629D"/>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4CD9"/>
    <w:rsid w:val="006D6B6D"/>
    <w:rsid w:val="006F2CC8"/>
    <w:rsid w:val="006F3BBC"/>
    <w:rsid w:val="006F603D"/>
    <w:rsid w:val="006F7535"/>
    <w:rsid w:val="00700D43"/>
    <w:rsid w:val="00702948"/>
    <w:rsid w:val="007059D1"/>
    <w:rsid w:val="0071157B"/>
    <w:rsid w:val="0071291D"/>
    <w:rsid w:val="007203E9"/>
    <w:rsid w:val="00722B8E"/>
    <w:rsid w:val="00726209"/>
    <w:rsid w:val="007268E2"/>
    <w:rsid w:val="007304DE"/>
    <w:rsid w:val="00733412"/>
    <w:rsid w:val="007353D3"/>
    <w:rsid w:val="00736BC3"/>
    <w:rsid w:val="00737D26"/>
    <w:rsid w:val="007400CA"/>
    <w:rsid w:val="00742212"/>
    <w:rsid w:val="00743C7D"/>
    <w:rsid w:val="00744CD9"/>
    <w:rsid w:val="007520A1"/>
    <w:rsid w:val="00754E2D"/>
    <w:rsid w:val="00755E78"/>
    <w:rsid w:val="00760C8D"/>
    <w:rsid w:val="007625C8"/>
    <w:rsid w:val="0076479C"/>
    <w:rsid w:val="007651CC"/>
    <w:rsid w:val="007665E7"/>
    <w:rsid w:val="00767349"/>
    <w:rsid w:val="00767EE4"/>
    <w:rsid w:val="00770127"/>
    <w:rsid w:val="0077266E"/>
    <w:rsid w:val="00773DF1"/>
    <w:rsid w:val="007766B0"/>
    <w:rsid w:val="00777AAD"/>
    <w:rsid w:val="00785CDE"/>
    <w:rsid w:val="00786B9B"/>
    <w:rsid w:val="007914F5"/>
    <w:rsid w:val="007972B0"/>
    <w:rsid w:val="007A1907"/>
    <w:rsid w:val="007A6AEE"/>
    <w:rsid w:val="007A7F3D"/>
    <w:rsid w:val="007B0B58"/>
    <w:rsid w:val="007B13B2"/>
    <w:rsid w:val="007B1C07"/>
    <w:rsid w:val="007B280D"/>
    <w:rsid w:val="007C15E6"/>
    <w:rsid w:val="007C416E"/>
    <w:rsid w:val="007C5881"/>
    <w:rsid w:val="007C7CCC"/>
    <w:rsid w:val="007D6A6E"/>
    <w:rsid w:val="007E20EF"/>
    <w:rsid w:val="007F3DC4"/>
    <w:rsid w:val="007F460D"/>
    <w:rsid w:val="007F6748"/>
    <w:rsid w:val="00800170"/>
    <w:rsid w:val="00800616"/>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94C01"/>
    <w:rsid w:val="008B07D1"/>
    <w:rsid w:val="008B0F31"/>
    <w:rsid w:val="008B1462"/>
    <w:rsid w:val="008B1E11"/>
    <w:rsid w:val="008C2A63"/>
    <w:rsid w:val="008C332F"/>
    <w:rsid w:val="008D533B"/>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310"/>
    <w:rsid w:val="00944864"/>
    <w:rsid w:val="009474FC"/>
    <w:rsid w:val="009549C9"/>
    <w:rsid w:val="00956C4C"/>
    <w:rsid w:val="009611BC"/>
    <w:rsid w:val="00961AF5"/>
    <w:rsid w:val="0096229A"/>
    <w:rsid w:val="00966387"/>
    <w:rsid w:val="009664C9"/>
    <w:rsid w:val="00982F70"/>
    <w:rsid w:val="00985C27"/>
    <w:rsid w:val="00985F21"/>
    <w:rsid w:val="009863E5"/>
    <w:rsid w:val="00990BB5"/>
    <w:rsid w:val="0099113E"/>
    <w:rsid w:val="0099479A"/>
    <w:rsid w:val="00995404"/>
    <w:rsid w:val="009955D9"/>
    <w:rsid w:val="00995706"/>
    <w:rsid w:val="009975BB"/>
    <w:rsid w:val="009A3CE6"/>
    <w:rsid w:val="009A4537"/>
    <w:rsid w:val="009B1E00"/>
    <w:rsid w:val="009C482B"/>
    <w:rsid w:val="009C4C8D"/>
    <w:rsid w:val="009C5323"/>
    <w:rsid w:val="009D0774"/>
    <w:rsid w:val="009D1224"/>
    <w:rsid w:val="009D2EF0"/>
    <w:rsid w:val="009D356C"/>
    <w:rsid w:val="009E3002"/>
    <w:rsid w:val="009E402B"/>
    <w:rsid w:val="009E526A"/>
    <w:rsid w:val="009E6CA0"/>
    <w:rsid w:val="009F48AA"/>
    <w:rsid w:val="009F5643"/>
    <w:rsid w:val="009F6BC4"/>
    <w:rsid w:val="009F7CBF"/>
    <w:rsid w:val="00A065FB"/>
    <w:rsid w:val="00A06C37"/>
    <w:rsid w:val="00A11F23"/>
    <w:rsid w:val="00A12181"/>
    <w:rsid w:val="00A12927"/>
    <w:rsid w:val="00A13B26"/>
    <w:rsid w:val="00A16E22"/>
    <w:rsid w:val="00A21E90"/>
    <w:rsid w:val="00A22B93"/>
    <w:rsid w:val="00A26E68"/>
    <w:rsid w:val="00A30A5D"/>
    <w:rsid w:val="00A33106"/>
    <w:rsid w:val="00A433D9"/>
    <w:rsid w:val="00A4410F"/>
    <w:rsid w:val="00A445BB"/>
    <w:rsid w:val="00A4567B"/>
    <w:rsid w:val="00A4756C"/>
    <w:rsid w:val="00A50D8B"/>
    <w:rsid w:val="00A55E98"/>
    <w:rsid w:val="00A57411"/>
    <w:rsid w:val="00A61C71"/>
    <w:rsid w:val="00A72B69"/>
    <w:rsid w:val="00A76FDB"/>
    <w:rsid w:val="00A81494"/>
    <w:rsid w:val="00A90700"/>
    <w:rsid w:val="00A92396"/>
    <w:rsid w:val="00A93414"/>
    <w:rsid w:val="00A94DE0"/>
    <w:rsid w:val="00AA143C"/>
    <w:rsid w:val="00AA2A96"/>
    <w:rsid w:val="00AA49F6"/>
    <w:rsid w:val="00AA4A1D"/>
    <w:rsid w:val="00AA4C1B"/>
    <w:rsid w:val="00AB02DF"/>
    <w:rsid w:val="00AB35E2"/>
    <w:rsid w:val="00AB630E"/>
    <w:rsid w:val="00AB6369"/>
    <w:rsid w:val="00AC16BF"/>
    <w:rsid w:val="00AC36AF"/>
    <w:rsid w:val="00AC3BC6"/>
    <w:rsid w:val="00AC44CF"/>
    <w:rsid w:val="00AD2DC7"/>
    <w:rsid w:val="00AD2FEE"/>
    <w:rsid w:val="00AD39E5"/>
    <w:rsid w:val="00AD63AF"/>
    <w:rsid w:val="00AD6CB1"/>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41222"/>
    <w:rsid w:val="00B41EF0"/>
    <w:rsid w:val="00B4283C"/>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A0DF0"/>
    <w:rsid w:val="00BA6E7B"/>
    <w:rsid w:val="00BB1BC0"/>
    <w:rsid w:val="00BB4544"/>
    <w:rsid w:val="00BB6260"/>
    <w:rsid w:val="00BC1235"/>
    <w:rsid w:val="00BC2050"/>
    <w:rsid w:val="00BC7511"/>
    <w:rsid w:val="00BD099E"/>
    <w:rsid w:val="00BD66F4"/>
    <w:rsid w:val="00BD690D"/>
    <w:rsid w:val="00BE11BA"/>
    <w:rsid w:val="00BE225F"/>
    <w:rsid w:val="00BE2545"/>
    <w:rsid w:val="00BE4FAD"/>
    <w:rsid w:val="00BE5DF4"/>
    <w:rsid w:val="00BE6A6A"/>
    <w:rsid w:val="00BF150A"/>
    <w:rsid w:val="00BF2DA0"/>
    <w:rsid w:val="00C01BE6"/>
    <w:rsid w:val="00C023C4"/>
    <w:rsid w:val="00C032C9"/>
    <w:rsid w:val="00C04090"/>
    <w:rsid w:val="00C041CB"/>
    <w:rsid w:val="00C06A72"/>
    <w:rsid w:val="00C06EB8"/>
    <w:rsid w:val="00C07693"/>
    <w:rsid w:val="00C11B42"/>
    <w:rsid w:val="00C23884"/>
    <w:rsid w:val="00C25678"/>
    <w:rsid w:val="00C30928"/>
    <w:rsid w:val="00C345A8"/>
    <w:rsid w:val="00C346FB"/>
    <w:rsid w:val="00C42528"/>
    <w:rsid w:val="00C433A1"/>
    <w:rsid w:val="00C45E9F"/>
    <w:rsid w:val="00C51EE8"/>
    <w:rsid w:val="00C61019"/>
    <w:rsid w:val="00C657FD"/>
    <w:rsid w:val="00C7026D"/>
    <w:rsid w:val="00C73591"/>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5408"/>
    <w:rsid w:val="00CC7D37"/>
    <w:rsid w:val="00CD03FE"/>
    <w:rsid w:val="00CD1CDD"/>
    <w:rsid w:val="00CD2F31"/>
    <w:rsid w:val="00CD3857"/>
    <w:rsid w:val="00CD56B4"/>
    <w:rsid w:val="00CE18E3"/>
    <w:rsid w:val="00CE1E7A"/>
    <w:rsid w:val="00CE22BA"/>
    <w:rsid w:val="00CE5B9D"/>
    <w:rsid w:val="00CF00A4"/>
    <w:rsid w:val="00CF2EF3"/>
    <w:rsid w:val="00CF37BB"/>
    <w:rsid w:val="00CF47B8"/>
    <w:rsid w:val="00CF504E"/>
    <w:rsid w:val="00D00C87"/>
    <w:rsid w:val="00D04E3D"/>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46A3"/>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3003"/>
    <w:rsid w:val="00DE04D8"/>
    <w:rsid w:val="00DE13AA"/>
    <w:rsid w:val="00DE34FB"/>
    <w:rsid w:val="00DF1D39"/>
    <w:rsid w:val="00DF2A1C"/>
    <w:rsid w:val="00DF40CD"/>
    <w:rsid w:val="00DF6B9D"/>
    <w:rsid w:val="00E00EAB"/>
    <w:rsid w:val="00E0256B"/>
    <w:rsid w:val="00E03C9B"/>
    <w:rsid w:val="00E04403"/>
    <w:rsid w:val="00E065CC"/>
    <w:rsid w:val="00E10120"/>
    <w:rsid w:val="00E179AF"/>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2E11"/>
    <w:rsid w:val="00E941F3"/>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2BB3"/>
    <w:rsid w:val="00EE70EA"/>
    <w:rsid w:val="00EF2973"/>
    <w:rsid w:val="00EF7D04"/>
    <w:rsid w:val="00F0071E"/>
    <w:rsid w:val="00F0072A"/>
    <w:rsid w:val="00F0221C"/>
    <w:rsid w:val="00F02F56"/>
    <w:rsid w:val="00F038DC"/>
    <w:rsid w:val="00F03D33"/>
    <w:rsid w:val="00F0762B"/>
    <w:rsid w:val="00F100C2"/>
    <w:rsid w:val="00F145A7"/>
    <w:rsid w:val="00F20348"/>
    <w:rsid w:val="00F20C7C"/>
    <w:rsid w:val="00F33301"/>
    <w:rsid w:val="00F338E4"/>
    <w:rsid w:val="00F40027"/>
    <w:rsid w:val="00F423C7"/>
    <w:rsid w:val="00F450D4"/>
    <w:rsid w:val="00F517E3"/>
    <w:rsid w:val="00F524A1"/>
    <w:rsid w:val="00F525DE"/>
    <w:rsid w:val="00F52ED5"/>
    <w:rsid w:val="00F52F63"/>
    <w:rsid w:val="00F537E7"/>
    <w:rsid w:val="00F539C6"/>
    <w:rsid w:val="00F55394"/>
    <w:rsid w:val="00F66B41"/>
    <w:rsid w:val="00F7120F"/>
    <w:rsid w:val="00F73D3F"/>
    <w:rsid w:val="00F757DB"/>
    <w:rsid w:val="00F8110F"/>
    <w:rsid w:val="00F837D1"/>
    <w:rsid w:val="00F83CD8"/>
    <w:rsid w:val="00F95462"/>
    <w:rsid w:val="00F97B12"/>
    <w:rsid w:val="00FA2D88"/>
    <w:rsid w:val="00FA4C65"/>
    <w:rsid w:val="00FA5FFF"/>
    <w:rsid w:val="00FA75B1"/>
    <w:rsid w:val="00FB0C1C"/>
    <w:rsid w:val="00FB1466"/>
    <w:rsid w:val="00FB184A"/>
    <w:rsid w:val="00FB25E1"/>
    <w:rsid w:val="00FC03E5"/>
    <w:rsid w:val="00FC2CCF"/>
    <w:rsid w:val="00FC53DB"/>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0" Type="http://schemas.microsoft.com/office/2011/relationships/commentsExtended" Target="commentsExtended.xml"/><Relationship Id="rId21" Type="http://schemas.microsoft.com/office/2011/relationships/people" Target="people.xml"/><Relationship Id="rId10" Type="http://schemas.openxmlformats.org/officeDocument/2006/relationships/comments" Target="comments.xm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www.iomsouthsudan.org/tracking/" TargetMode="External"/><Relationship Id="rId14" Type="http://schemas.openxmlformats.org/officeDocument/2006/relationships/hyperlink" Target="https://coreypeak.shinyapps.io/herd_protection_estimator/" TargetMode="External"/><Relationship Id="rId15" Type="http://schemas.openxmlformats.org/officeDocument/2006/relationships/hyperlink" Target="https://coreypeak.shinyapps.io/herd_protection_estimator/"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46EB-77C7-A44D-A111-D4EB34ED9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24</Pages>
  <Words>29538</Words>
  <Characters>168373</Characters>
  <Application>Microsoft Macintosh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9</cp:revision>
  <cp:lastPrinted>2016-10-19T21:00:00Z</cp:lastPrinted>
  <dcterms:created xsi:type="dcterms:W3CDTF">2017-02-03T12:43:00Z</dcterms:created>
  <dcterms:modified xsi:type="dcterms:W3CDTF">2017-02-07T15:28:00Z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