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311A9B86" w:rsidR="00E45923" w:rsidRPr="00E45923" w:rsidRDefault="00E45923">
      <w:pPr>
        <w:rPr>
          <w:b/>
        </w:rPr>
      </w:pPr>
      <w:r w:rsidRPr="00E45923">
        <w:rPr>
          <w:b/>
        </w:rPr>
        <w:t>Title</w:t>
      </w:r>
      <w:r w:rsidR="0076479C">
        <w:rPr>
          <w:b/>
        </w:rPr>
        <w:t xml:space="preserve"> A</w:t>
      </w:r>
      <w:r w:rsidRPr="00E45923">
        <w:rPr>
          <w:b/>
        </w:rPr>
        <w:t xml:space="preserve">: </w:t>
      </w:r>
    </w:p>
    <w:p w14:paraId="61C26025" w14:textId="10555512" w:rsidR="002E1A5F" w:rsidRDefault="00D314D4" w:rsidP="002E1A5F">
      <w:pPr>
        <w:rPr>
          <w:sz w:val="32"/>
          <w:szCs w:val="32"/>
        </w:rPr>
      </w:pPr>
      <w:r w:rsidRPr="00B215BD">
        <w:rPr>
          <w:rStyle w:val="CommentReference"/>
          <w:sz w:val="32"/>
          <w:szCs w:val="32"/>
        </w:rPr>
        <w:annotationRef/>
      </w:r>
      <w:r w:rsidR="00F33301">
        <w:rPr>
          <w:sz w:val="32"/>
          <w:szCs w:val="32"/>
        </w:rPr>
        <w:t>T</w:t>
      </w:r>
      <w:r w:rsidRPr="00B215BD">
        <w:rPr>
          <w:sz w:val="32"/>
          <w:szCs w:val="32"/>
        </w:rPr>
        <w:t>he Impact of Human Mobility and Imperfect Vaccines on Waning Herd Immunity</w:t>
      </w:r>
      <w:r w:rsidR="00F33301">
        <w:rPr>
          <w:sz w:val="32"/>
          <w:szCs w:val="32"/>
        </w:rPr>
        <w:t xml:space="preserve"> to Cholera</w:t>
      </w:r>
    </w:p>
    <w:p w14:paraId="6757A697" w14:textId="77777777" w:rsidR="0076479C" w:rsidRDefault="0076479C" w:rsidP="002E1A5F">
      <w:pPr>
        <w:rPr>
          <w:b/>
        </w:rPr>
      </w:pPr>
    </w:p>
    <w:p w14:paraId="75351D0F" w14:textId="349205B0" w:rsidR="00F33301" w:rsidRDefault="00F33301" w:rsidP="002E1A5F">
      <w:pPr>
        <w:rPr>
          <w:b/>
        </w:rPr>
      </w:pPr>
      <w:r w:rsidRPr="00E45923">
        <w:rPr>
          <w:b/>
        </w:rPr>
        <w:t>Title</w:t>
      </w:r>
      <w:r>
        <w:rPr>
          <w:b/>
        </w:rPr>
        <w:t xml:space="preserve"> B</w:t>
      </w:r>
      <w:r w:rsidRPr="00E45923">
        <w:rPr>
          <w:b/>
        </w:rPr>
        <w:t xml:space="preserve">: </w:t>
      </w:r>
    </w:p>
    <w:p w14:paraId="1785E4D9" w14:textId="02C464D3"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del w:id="0" w:author="Corey Peak" w:date="2017-02-03T07:37:00Z">
        <w:r w:rsidRPr="007C7CCC" w:rsidDel="00F33301">
          <w:rPr>
            <w:sz w:val="32"/>
            <w:szCs w:val="32"/>
          </w:rPr>
          <w:delText xml:space="preserve">waning </w:delText>
        </w:r>
      </w:del>
      <w:del w:id="1" w:author="Corey Peak" w:date="2017-02-03T07:36:00Z">
        <w:r w:rsidRPr="007C7CCC" w:rsidDel="00F33301">
          <w:rPr>
            <w:sz w:val="32"/>
            <w:szCs w:val="32"/>
          </w:rPr>
          <w:delText xml:space="preserve">immunity  </w:delText>
        </w:r>
      </w:del>
      <w:ins w:id="2" w:author="Corey Peak" w:date="2017-02-03T07:37:00Z">
        <w:r w:rsidR="007C7CCC">
          <w:rPr>
            <w:sz w:val="32"/>
            <w:szCs w:val="32"/>
          </w:rPr>
          <w:t>V</w:t>
        </w:r>
        <w:r w:rsidR="00F33301" w:rsidRPr="007C7CCC">
          <w:rPr>
            <w:sz w:val="32"/>
            <w:szCs w:val="32"/>
          </w:rPr>
          <w:t xml:space="preserve">accine </w:t>
        </w:r>
      </w:ins>
      <w:ins w:id="3" w:author="Corey Peak" w:date="2017-02-03T09:41:00Z">
        <w:r w:rsidR="007C7CCC">
          <w:rPr>
            <w:sz w:val="32"/>
            <w:szCs w:val="32"/>
          </w:rPr>
          <w:t>W</w:t>
        </w:r>
      </w:ins>
      <w:ins w:id="4" w:author="Corey Peak" w:date="2017-02-03T07:37:00Z">
        <w:r w:rsidR="00F33301" w:rsidRPr="007C7CCC">
          <w:rPr>
            <w:sz w:val="32"/>
            <w:szCs w:val="32"/>
          </w:rPr>
          <w:t>aning</w:t>
        </w:r>
      </w:ins>
      <w:ins w:id="5" w:author="Corey Peak" w:date="2017-02-03T07:36:00Z">
        <w:r w:rsidR="00F33301" w:rsidRPr="007C7CCC">
          <w:rPr>
            <w:sz w:val="32"/>
            <w:szCs w:val="32"/>
          </w:rPr>
          <w:t xml:space="preserve">  </w:t>
        </w:r>
      </w:ins>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w:t>
      </w:r>
      <w:bookmarkStart w:id="6" w:name="_GoBack"/>
      <w:bookmarkEnd w:id="6"/>
      <w:r>
        <w:t>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419F9F77" w14:textId="77777777" w:rsidR="00E90A82" w:rsidRDefault="00E90A82" w:rsidP="00B215BD"/>
    <w:p w14:paraId="7578E801" w14:textId="36F0551C" w:rsidR="000E73B9" w:rsidRPr="00E45923" w:rsidRDefault="00E90A82" w:rsidP="00B215BD">
      <w:commentRangeStart w:id="7"/>
      <w:r>
        <w:t>To Do</w:t>
      </w:r>
      <w:commentRangeEnd w:id="7"/>
      <w:r>
        <w:rPr>
          <w:rStyle w:val="CommentReference"/>
        </w:rPr>
        <w:commentReference w:id="7"/>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1FA6EDBF"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06495B98"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xml:space="preserve">= 48, </w:t>
      </w:r>
      <w:r w:rsidR="00971F99">
        <w:t xml:space="preserve">after </w:t>
      </w:r>
      <w:r w:rsidR="003E7E0B">
        <w:t>which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16A8E3B6"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0AB3E83B"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8" w:name="OLE_LINK1"/>
      <w:bookmarkStart w:id="9"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8"/>
      <w:bookmarkEnd w:id="9"/>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6FF151A4" w:rsidR="00E717A8" w:rsidRDefault="00E717A8" w:rsidP="00E717A8">
      <w:r>
        <w:t xml:space="preserve">Currently, a complete </w:t>
      </w:r>
      <w:proofErr w:type="spellStart"/>
      <w:r w:rsidR="00063B8A">
        <w:t>kOCV</w:t>
      </w:r>
      <w:proofErr w:type="spellEnd"/>
      <w:r w:rsidR="00063B8A">
        <w:t xml:space="preserve"> </w:t>
      </w:r>
      <w:r>
        <w:t>course of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78351679"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xml:space="preserve">, we can calculate the </w:t>
      </w:r>
      <w:r w:rsidR="001C0256">
        <w:lastRenderedPageBreak/>
        <w:t>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32F1ADAE"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d>
          </m:e>
        </m:nary>
      </m:oMath>
    </w:p>
    <w:p w14:paraId="5AE75B40" w14:textId="77777777" w:rsidR="006B2078" w:rsidRPr="00F03D33" w:rsidRDefault="006B2078" w:rsidP="005C7B32"/>
    <w:p w14:paraId="51948384" w14:textId="3014372F"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w:t>
      </w:r>
      <w:proofErr w:type="gramStart"/>
      <w:r>
        <w:t>is</w:t>
      </w:r>
      <w:proofErr w:type="gramEnd"/>
      <w:r>
        <w:t xml:space="preserve">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55D9253B"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and </w:t>
      </w:r>
      <m:oMath>
        <m:r>
          <w:rPr>
            <w:rFonts w:ascii="Cambria Math" w:hAnsi="Cambria Math"/>
          </w:rPr>
          <m:t>m</m:t>
        </m:r>
      </m:oMath>
      <w:r>
        <w:t xml:space="preserve"> is the daily migration rate.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3F1750E9"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49857AD0"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3"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lastRenderedPageBreak/>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DF04EB"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58CC4A2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1.5</m:t>
        </m:r>
      </m:oMath>
      <w:r w:rsidR="00234583">
        <w:t xml:space="preserve">, and </w:t>
      </w:r>
      <w:r w:rsidR="004D6579">
        <w:t>3.90</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80FAAC9"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3D7EC4">
        <w:t xml:space="preserve"> of </w:t>
      </w:r>
      <w:proofErr w:type="spellStart"/>
      <w:r w:rsidR="003D7EC4">
        <w:t>susceptibles</w:t>
      </w:r>
      <w:proofErr w:type="spellEnd"/>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r w:rsidR="00A06C37">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D06CB3"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B9791D">
        <w:t>7</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proofErr w:type="gramStart"/>
      <w:r w:rsidR="007F3DC4">
        <w:t>May,</w:t>
      </w:r>
      <w:proofErr w:type="gramEnd"/>
      <w:r w:rsidR="007F3DC4">
        <w:t xml:space="preserve">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=0.94</m:t>
        </m:r>
      </m:oMath>
      <w:r w:rsidR="009539A9">
        <w:t>) (Fig S6).</w:t>
      </w:r>
    </w:p>
    <w:p w14:paraId="7ECABF59" w14:textId="77777777" w:rsidR="00520DD4" w:rsidRDefault="00520DD4" w:rsidP="00520DD4"/>
    <w:p w14:paraId="4206D01F" w14:textId="380FDDE7"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4FC68D59"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t>population</w:t>
      </w:r>
      <w:r w:rsidR="00B4283C">
        <w:t xml:space="preserve"> mobility</w:t>
      </w:r>
      <w:r>
        <w:t xml:space="preserve"> that </w:t>
      </w:r>
      <w:proofErr w:type="gramStart"/>
      <w:r>
        <w:t>drives</w:t>
      </w:r>
      <w:proofErr w:type="gramEnd"/>
      <w:r>
        <w:t xml:space="preserve"> an net influx of susceptible people</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4"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proofErr w:type="gramStart"/>
      <w:r>
        <w:t xml:space="preserve">CMP and COB were supported </w:t>
      </w:r>
      <w:r w:rsidRPr="00C879B0">
        <w:t>by Cooperative Agreement U54GM088558 from the National Instit</w:t>
      </w:r>
      <w:r>
        <w:t>ute Of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77777777" w:rsidR="002B0917" w:rsidRPr="009D0774" w:rsidRDefault="002B0917" w:rsidP="002B0917">
            <w:pPr>
              <w:jc w:val="center"/>
              <w:rPr>
                <w:sz w:val="20"/>
                <w:szCs w:val="20"/>
              </w:rPr>
            </w:pPr>
            <w:r>
              <w:rPr>
                <w:sz w:val="20"/>
                <w:szCs w:val="20"/>
              </w:rPr>
              <w:t>35.9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2B0917"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2B0917"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2B0917"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2B0917"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Krylova O, Earn DJD. Effects of the infectious period distribution on predicted 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International Vaccine Institute. Country Investment Case Study on Cholera 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DF04EB"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DF04EB"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67211F64" w14:textId="77777777" w:rsidR="00C72407" w:rsidRDefault="00C72407" w:rsidP="00D60633"/>
    <w:p w14:paraId="6E415ABB" w14:textId="570D263D" w:rsidR="00C72407" w:rsidRPr="007A38D0" w:rsidRDefault="00C72407" w:rsidP="00D60633">
      <w:pPr>
        <w:rPr>
          <w:b/>
        </w:rPr>
      </w:pPr>
      <w:r w:rsidRPr="007A38D0">
        <w:rPr>
          <w:b/>
        </w:rPr>
        <w:t>Table S2.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lastRenderedPageBreak/>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5"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w:t>
      </w:r>
      <w:proofErr w:type="gramStart"/>
      <w:r>
        <w:rPr>
          <w:b/>
        </w:rPr>
        <w:t xml:space="preserve">Final epidemic size </w:t>
      </w:r>
      <w:r w:rsidR="00AD39E5">
        <w:rPr>
          <w:b/>
        </w:rPr>
        <w:t>distribution and choice of cutoff.</w:t>
      </w:r>
      <w:proofErr w:type="gramEnd"/>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proofErr w:type="gramStart"/>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B9791D"/>
    <w:p w14:paraId="79D9E5FE" w14:textId="3FB25A77" w:rsidR="00B9791D" w:rsidRDefault="00B9791D" w:rsidP="00B9791D">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0EDEC799" w14:textId="5AF9E692" w:rsidR="006A0A82" w:rsidRDefault="00B9791D" w:rsidP="00B9791D">
      <w:r>
        <w:lastRenderedPageBreak/>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573D6EAF" w14:textId="77777777" w:rsidR="00B9791D" w:rsidRDefault="00B9791D" w:rsidP="00B9791D"/>
    <w:p w14:paraId="3965790A" w14:textId="400F437C" w:rsidR="006A0A82" w:rsidRDefault="006A0A82" w:rsidP="00754E2D">
      <w:r>
        <w:rPr>
          <w:b/>
        </w:rPr>
        <w:t>Fig S</w:t>
      </w:r>
      <w:r w:rsidR="00B9791D">
        <w:rPr>
          <w:b/>
        </w:rPr>
        <w:t>6</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19D84CE4" w:rsidR="00002C0D" w:rsidRDefault="006A0A82" w:rsidP="00002C0D">
      <w:pPr>
        <w:rPr>
          <w:b/>
        </w:rPr>
      </w:pPr>
      <w:r>
        <w:rPr>
          <w:b/>
        </w:rPr>
        <w:t>Fig S</w:t>
      </w:r>
      <w:r w:rsidR="00B9791D">
        <w:rPr>
          <w:b/>
        </w:rPr>
        <w:t>7</w:t>
      </w:r>
      <w:r w:rsidR="00002C0D">
        <w:rPr>
          <w:b/>
        </w:rPr>
        <w:t>.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 xml:space="preserve">between </w:t>
      </w:r>
      <w:proofErr w:type="gramStart"/>
      <w:r w:rsidR="00002C0D">
        <w:rPr>
          <w:b/>
        </w:rPr>
        <w:t>October</w:t>
      </w:r>
      <w:r w:rsidR="00F97B12">
        <w:rPr>
          <w:b/>
        </w:rPr>
        <w:t>,</w:t>
      </w:r>
      <w:proofErr w:type="gramEnd"/>
      <w:r w:rsidR="00F97B12">
        <w:rPr>
          <w:b/>
        </w:rPr>
        <w:t xml:space="preserve"> 2016,</w:t>
      </w:r>
      <w:r w:rsidR="00002C0D">
        <w:rPr>
          <w:b/>
        </w:rPr>
        <w:t xml:space="preserve"> and</w:t>
      </w:r>
      <w:r w:rsidR="00F97B12">
        <w:rPr>
          <w:b/>
        </w:rPr>
        <w:t xml:space="preserve"> January, 2017</w:t>
      </w:r>
      <w:r w:rsidR="00002C0D">
        <w:rPr>
          <w:b/>
        </w:rPr>
        <w:t xml:space="preserve">. </w:t>
      </w:r>
    </w:p>
    <w:p w14:paraId="719104F0" w14:textId="49BEEE85" w:rsidR="00002C0D" w:rsidRDefault="00170538" w:rsidP="00002C0D">
      <w:r>
        <w:t>Using the daily case counts (</w:t>
      </w:r>
      <w:r w:rsidR="00EE12D3">
        <w:t xml:space="preserve">grey </w:t>
      </w:r>
      <w:r>
        <w:t xml:space="preserve">bars) and </w:t>
      </w:r>
      <w:r w:rsidR="00002C0D">
        <w:t xml:space="preserve">a generation interval with </w:t>
      </w:r>
      <w:r w:rsidR="00EE12D3">
        <w:t xml:space="preserve">median </w:t>
      </w:r>
      <w:r w:rsidR="00002C0D">
        <w:t xml:space="preserve">of 5 days and following a gamma distribution with shape=0.5 and rate=0.1 as per </w:t>
      </w:r>
      <w:r w:rsidR="00800170">
        <w:t>ref</w:t>
      </w:r>
      <w:r w:rsidR="00FC2CCF">
        <w:t xml:space="preserve"> </w:t>
      </w:r>
      <w:r w:rsidR="00002C0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002C0D">
        <w:fldChar w:fldCharType="separate"/>
      </w:r>
      <w:r w:rsidR="00C72407" w:rsidRPr="00C72407">
        <w:rPr>
          <w:noProof/>
        </w:rPr>
        <w:t>[30]</w:t>
      </w:r>
      <w:r w:rsidR="00002C0D">
        <w:fldChar w:fldCharType="end"/>
      </w:r>
      <w:r>
        <w:t>, we report a</w:t>
      </w:r>
      <w:r w:rsidR="00F97B12">
        <w:t xml:space="preserve"> mean</w:t>
      </w:r>
      <w:r>
        <w:t xml:space="preserve"> time-dependent reproductive number (red line) </w:t>
      </w:r>
      <w:r w:rsidR="00F97B12">
        <w:t>above unity for nearly two months. 95% confidence interval</w:t>
      </w:r>
      <w:r w:rsidR="00EE12D3">
        <w:t>s are</w:t>
      </w:r>
      <w:r w:rsidR="00F97B12">
        <w:t xml:space="preserve"> shown in pink</w:t>
      </w:r>
      <w:r>
        <w:t>.</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m:t>
        </m:r>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w:t>
      </w:r>
      <w:r w:rsidR="00EC352D">
        <w:lastRenderedPageBreak/>
        <w:t xml:space="preserve">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DF04EB"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4CEA9536"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average fraction</w:t>
      </w:r>
      <w:r w:rsidR="00793181">
        <w:t xml:space="preserve"> </w:t>
      </w:r>
      <w:r w:rsidR="00C72407">
        <w:t>of the population infectious on a given day during large recent epidemics in Zimbabwe (2008-2009) and Haiti (2010-2015) (Table S2</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where</w:t>
      </w:r>
      <w:r w:rsidR="00793181">
        <w:t xml:space="preserv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w:t>
      </w:r>
      <w:r w:rsidR="00D1341E">
        <w:lastRenderedPageBreak/>
        <w:t xml:space="preserve">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w:t>
      </w:r>
      <w:commentRangeStart w:id="10"/>
      <w:r w:rsidR="00D1341E">
        <w:t xml:space="preserve">coupled </w:t>
      </w:r>
      <w:commentRangeEnd w:id="10"/>
      <w:r w:rsidR="00793181">
        <w:rPr>
          <w:rStyle w:val="CommentReference"/>
        </w:rPr>
        <w:commentReference w:id="10"/>
      </w:r>
      <w:r w:rsidR="00D1341E">
        <w:t xml:space="preserve">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The interactive online supplement (found at</w:t>
      </w:r>
      <w:proofErr w:type="gramStart"/>
      <w:r>
        <w:t xml:space="preserve">: </w:t>
      </w:r>
      <w:r w:rsidR="00D73FCE">
        <w:t xml:space="preserve"> ,</w:t>
      </w:r>
      <w:proofErr w:type="gramEnd"/>
      <w:hyperlink r:id="rId16"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4373A2C9" w14:textId="77777777" w:rsidR="004D3805" w:rsidRDefault="004D3805" w:rsidP="004D3805">
      <w:pPr>
        <w:rPr>
          <w:b/>
        </w:rPr>
      </w:pPr>
    </w:p>
    <w:p w14:paraId="1D4F3F09" w14:textId="5E2C5AB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93181">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"[49]", "plainTextFormattedCitation" : "[49]", "previouslyFormattedCitation" : "[48]" }, "properties" : { "noteIndex" : 0 }, "schema" : "https://github.com/citation-style-language/schema/raw/master/csl-citation.json" }</w:instrText>
      </w:r>
      <w:r>
        <w:fldChar w:fldCharType="separate"/>
      </w:r>
      <w:r w:rsidR="00793181" w:rsidRPr="00793181">
        <w:rPr>
          <w:noProof/>
        </w:rPr>
        <w:t>[49]</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3.5 days</m:t>
            </m:r>
          </m:den>
        </m:f>
      </m:oMath>
      <w:r>
        <w:t xml:space="preserve"> for the duration of infectiousness (</w:t>
      </w:r>
      <m:oMath>
        <m:r>
          <w:rPr>
            <w:rFonts w:ascii="Cambria Math" w:hAnsi="Cambria Math"/>
          </w:rPr>
          <m:t>I→R</m:t>
        </m:r>
      </m:oMath>
      <w:r>
        <w:t>);</w:t>
      </w:r>
      <w:r>
        <w:fldChar w:fldCharType="begin" w:fldLock="1"/>
      </w:r>
      <w:r w:rsidR="00A515E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"[38,47]", "plainTextFormattedCitation" : "[38,47]", "previouslyFormattedCitation" : "[38,47]" }, "properties" : { "noteIndex" : 0 }, "schema" : "https://github.com/citation-style-language/schema/raw/master/csl-citation.json" }</w:instrText>
      </w:r>
      <w:r>
        <w:fldChar w:fldCharType="separate"/>
      </w:r>
      <w:r w:rsidR="007A38D0" w:rsidRPr="007A38D0">
        <w:rPr>
          <w:noProof/>
        </w:rPr>
        <w:t>[38,47]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93181">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"[50\u201352]", "plainTextFormattedCitation" : "[50\u201352]", "previouslyFormattedCitation" : "[49\u201351]" }, "properties" : { "noteIndex" : 0 }, "schema" : "https://github.com/citation-style-language/schema/raw/master/csl-citation.json" }</w:instrText>
      </w:r>
      <w:r>
        <w:fldChar w:fldCharType="separate"/>
      </w:r>
      <w:r w:rsidR="00793181" w:rsidRPr="00793181">
        <w:rPr>
          <w:noProof/>
        </w:rPr>
        <w:t>[50–52]</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7"/>
      <w:footerReference w:type="default" r:id="rId1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orey Peak" w:date="2017-02-09T07:08:00Z" w:initials="CP">
    <w:p w14:paraId="70AEC979" w14:textId="529743E7" w:rsidR="00BC21BE" w:rsidRDefault="00BC21BE">
      <w:pPr>
        <w:pStyle w:val="CommentText"/>
      </w:pPr>
      <w:r>
        <w:rPr>
          <w:rStyle w:val="CommentReference"/>
        </w:rPr>
        <w:annotationRef/>
      </w:r>
      <w:r>
        <w:t>To Do list:</w:t>
      </w:r>
    </w:p>
    <w:p w14:paraId="5196A2C8" w14:textId="77777777" w:rsidR="00BC21BE" w:rsidRDefault="00BC21BE">
      <w:pPr>
        <w:pStyle w:val="CommentText"/>
      </w:pPr>
    </w:p>
    <w:p w14:paraId="46CE06CE" w14:textId="3FC7DBC8" w:rsidR="00BC21BE" w:rsidRPr="00E90A82" w:rsidRDefault="00BC21BE">
      <w:pPr>
        <w:pStyle w:val="CommentText"/>
        <w:rPr>
          <w:b/>
        </w:rPr>
      </w:pPr>
      <w:r w:rsidRPr="00E90A82">
        <w:rPr>
          <w:b/>
        </w:rPr>
        <w:t>Sensitivity analyses</w:t>
      </w:r>
    </w:p>
    <w:p w14:paraId="5FEA6F97" w14:textId="5FE5F055" w:rsidR="00BC21BE" w:rsidRDefault="00BC21BE">
      <w:pPr>
        <w:pStyle w:val="CommentText"/>
      </w:pPr>
      <w:r>
        <w:tab/>
        <w:t>Age structure</w:t>
      </w:r>
    </w:p>
    <w:p w14:paraId="1645BD02" w14:textId="7E5C72D8" w:rsidR="00BC21BE" w:rsidRDefault="00BC21BE">
      <w:pPr>
        <w:pStyle w:val="CommentText"/>
      </w:pPr>
      <w:r>
        <w:tab/>
      </w:r>
      <w:proofErr w:type="gramStart"/>
      <w:r>
        <w:t>vaccinated</w:t>
      </w:r>
      <w:proofErr w:type="gramEnd"/>
      <w:r>
        <w:t xml:space="preserve"> or immune migrants</w:t>
      </w:r>
    </w:p>
    <w:p w14:paraId="7A35A9BD" w14:textId="07070295" w:rsidR="00BC21BE" w:rsidRDefault="00BC21BE">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BC21BE" w:rsidRDefault="00BC21BE">
      <w:pPr>
        <w:pStyle w:val="CommentText"/>
      </w:pPr>
      <w:r>
        <w:tab/>
      </w:r>
      <w:r>
        <w:tab/>
        <w:t>assumed generation interval</w:t>
      </w:r>
    </w:p>
    <w:p w14:paraId="0BDF5ADA" w14:textId="4C85030F" w:rsidR="00BC21BE" w:rsidRDefault="00BC21BE" w:rsidP="00FC53DB">
      <w:pPr>
        <w:pStyle w:val="CommentText"/>
      </w:pPr>
      <w:r>
        <w:tab/>
      </w:r>
      <w:r>
        <w:tab/>
      </w:r>
      <w:proofErr w:type="gramStart"/>
      <w:r>
        <w:t>missing</w:t>
      </w:r>
      <w:proofErr w:type="gramEnd"/>
      <w:r>
        <w:t xml:space="preserve"> data</w:t>
      </w:r>
    </w:p>
  </w:comment>
  <w:comment w:id="10" w:author="Corey Peak" w:date="2017-02-09T11:04:00Z" w:initials="CP">
    <w:p w14:paraId="5CF83177" w14:textId="2F518311" w:rsidR="00793181" w:rsidRDefault="00793181">
      <w:pPr>
        <w:pStyle w:val="CommentText"/>
      </w:pPr>
      <w:r>
        <w:rPr>
          <w:rStyle w:val="CommentReference"/>
        </w:rPr>
        <w:annotationRef/>
      </w:r>
      <w:r>
        <w:t>Amanda, is there an appropriate mathematical term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11C21" w14:textId="77777777" w:rsidR="00BC21BE" w:rsidRDefault="00BC21BE" w:rsidP="001850C4">
      <w:r>
        <w:separator/>
      </w:r>
    </w:p>
  </w:endnote>
  <w:endnote w:type="continuationSeparator" w:id="0">
    <w:p w14:paraId="1BA2A908" w14:textId="77777777" w:rsidR="00BC21BE" w:rsidRDefault="00BC21BE"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BC21BE" w:rsidRDefault="00BC21BE"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BC21BE" w:rsidRDefault="00BC21BE"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BC21BE" w:rsidRDefault="00BC21BE"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3181">
      <w:rPr>
        <w:rStyle w:val="PageNumber"/>
        <w:noProof/>
      </w:rPr>
      <w:t>1</w:t>
    </w:r>
    <w:r>
      <w:rPr>
        <w:rStyle w:val="PageNumber"/>
      </w:rPr>
      <w:fldChar w:fldCharType="end"/>
    </w:r>
  </w:p>
  <w:p w14:paraId="08A4DC5F" w14:textId="77777777" w:rsidR="00BC21BE" w:rsidRDefault="00BC21BE"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F8AC" w14:textId="77777777" w:rsidR="00BC21BE" w:rsidRDefault="00BC21BE" w:rsidP="001850C4">
      <w:r>
        <w:separator/>
      </w:r>
    </w:p>
  </w:footnote>
  <w:footnote w:type="continuationSeparator" w:id="0">
    <w:p w14:paraId="27F06357" w14:textId="77777777" w:rsidR="00BC21BE" w:rsidRDefault="00BC21BE"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6F8B"/>
    <w:rsid w:val="000679D4"/>
    <w:rsid w:val="00072529"/>
    <w:rsid w:val="000728B5"/>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0917"/>
    <w:rsid w:val="002B1D6D"/>
    <w:rsid w:val="002B3E01"/>
    <w:rsid w:val="002B44C8"/>
    <w:rsid w:val="002B71D7"/>
    <w:rsid w:val="002C24BA"/>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3F4E"/>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482B"/>
    <w:rsid w:val="009C4C8D"/>
    <w:rsid w:val="009C5323"/>
    <w:rsid w:val="009D0774"/>
    <w:rsid w:val="009D1224"/>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F150A"/>
    <w:rsid w:val="00BF2DA0"/>
    <w:rsid w:val="00C01BE6"/>
    <w:rsid w:val="00C023C4"/>
    <w:rsid w:val="00C032C9"/>
    <w:rsid w:val="00C04090"/>
    <w:rsid w:val="00C041CB"/>
    <w:rsid w:val="00C06A72"/>
    <w:rsid w:val="00C06EB8"/>
    <w:rsid w:val="00C07693"/>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36BA8"/>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esa.un.org/unpd/wpp/" TargetMode="External"/><Relationship Id="rId16" Type="http://schemas.openxmlformats.org/officeDocument/2006/relationships/hyperlink" Target="https://coreypeak.shinyapps.io/herd_protection_estimator/"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E8732-11BC-1546-81C4-7523C018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24</Pages>
  <Words>30692</Words>
  <Characters>174946</Characters>
  <Application>Microsoft Macintosh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22</cp:revision>
  <cp:lastPrinted>2016-10-19T21:00:00Z</cp:lastPrinted>
  <dcterms:created xsi:type="dcterms:W3CDTF">2017-02-03T12:43:00Z</dcterms:created>
  <dcterms:modified xsi:type="dcterms:W3CDTF">2017-02-09T16:10:00Z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