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55DB128B" w:rsidR="000E73B9" w:rsidRDefault="00A22B93">
      <w:r>
        <w:t xml:space="preserve">The impact of human mobility and imperfect vaccines on waning herd immunity and optimal </w:t>
      </w:r>
      <w:r w:rsidR="00423090">
        <w:t xml:space="preserve">oral cholera </w:t>
      </w:r>
      <w:r>
        <w:t>vaccination strategies</w:t>
      </w:r>
    </w:p>
    <w:p w14:paraId="314D6547" w14:textId="77777777" w:rsidR="000E73B9" w:rsidRDefault="000E73B9"/>
    <w:p w14:paraId="7B836D39" w14:textId="43D0B1A4" w:rsidR="00E45923" w:rsidRPr="00E45923" w:rsidRDefault="00E45923">
      <w:pPr>
        <w:rPr>
          <w:b/>
        </w:rPr>
      </w:pPr>
      <w:r w:rsidRPr="00E45923">
        <w:rPr>
          <w:b/>
        </w:rPr>
        <w:t>Authors:</w:t>
      </w:r>
    </w:p>
    <w:p w14:paraId="58B0FB31" w14:textId="77777777" w:rsidR="0035631B" w:rsidRDefault="000E73B9">
      <w:r>
        <w:t>Corey M. Peak</w:t>
      </w:r>
      <w:r w:rsidR="0035631B">
        <w:t>*</w:t>
      </w:r>
      <w:r>
        <w:t>, Amanda</w:t>
      </w:r>
      <w:r w:rsidR="00245BED">
        <w:t xml:space="preserve"> L. </w:t>
      </w:r>
      <w:r>
        <w:t xml:space="preserve">Reilly, Andrew </w:t>
      </w:r>
      <w:r w:rsidR="00245BED">
        <w:t xml:space="preserve">S. </w:t>
      </w:r>
      <w:proofErr w:type="spellStart"/>
      <w:r w:rsidR="00A22B93">
        <w:t>Azman</w:t>
      </w:r>
      <w:proofErr w:type="spellEnd"/>
      <w:r w:rsidR="00E45923">
        <w:t xml:space="preserve">, Caroline O. </w:t>
      </w:r>
      <w:proofErr w:type="spellStart"/>
      <w:r w:rsidR="00E45923">
        <w:t>Buckee</w:t>
      </w:r>
      <w:proofErr w:type="spellEnd"/>
    </w:p>
    <w:p w14:paraId="53252D57" w14:textId="77777777" w:rsidR="0035631B" w:rsidRDefault="0035631B"/>
    <w:p w14:paraId="7578E801" w14:textId="1CA73CC3" w:rsidR="000E73B9" w:rsidRPr="00E45923" w:rsidRDefault="0035631B">
      <w:r>
        <w:t xml:space="preserve">* </w:t>
      </w:r>
      <w:proofErr w:type="gramStart"/>
      <w:r>
        <w:t>peak@mail.harvard.edu</w:t>
      </w:r>
      <w:proofErr w:type="gramEnd"/>
      <w:r w:rsidR="000E73B9">
        <w:rPr>
          <w:b/>
        </w:rPr>
        <w:br w:type="page"/>
      </w:r>
    </w:p>
    <w:p w14:paraId="71522749" w14:textId="47916009" w:rsidR="000A51A6" w:rsidRDefault="00417BC4">
      <w:r>
        <w:rPr>
          <w:b/>
        </w:rPr>
        <w:lastRenderedPageBreak/>
        <w:t>Abstract</w:t>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32E117B7" w:rsidR="00417BC4" w:rsidRDefault="00EC6207" w:rsidP="00A22B93">
      <w:r>
        <w:t>Vaccine-derived h</w:t>
      </w:r>
      <w:r w:rsidR="00A22B93">
        <w:t xml:space="preserve">erd immunity can wane over time due to short-lived vaccine efficacy or migration of susceptible individuals into </w:t>
      </w:r>
      <w:r>
        <w:t>a vaccinated</w:t>
      </w:r>
      <w:r w:rsidR="00A22B93">
        <w:t xml:space="preserve"> </w:t>
      </w:r>
      <w:r>
        <w:t>community</w:t>
      </w:r>
      <w:r w:rsidR="00A22B93">
        <w:t xml:space="preserve">. </w:t>
      </w:r>
      <w:r w:rsidR="00142B0A">
        <w:t>The duration of herd immunity (DHI) can be an important operational marker for how long vaccination protect</w:t>
      </w:r>
      <w:r>
        <w:t>s</w:t>
      </w:r>
      <w:r w:rsidR="00142B0A">
        <w:t xml:space="preserve"> a community </w:t>
      </w:r>
      <w:r>
        <w:t xml:space="preserve">before needing complementary interventions or </w:t>
      </w:r>
      <w:r w:rsidR="00CE18E3">
        <w:t>re</w:t>
      </w:r>
      <w:r>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7AA0B6FE" w:rsidR="00417BC4" w:rsidRDefault="00A22B93" w:rsidP="00A22B93">
      <w:r>
        <w:t>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w:t>
      </w:r>
      <w:r>
        <w:t>show that migration and waning</w:t>
      </w:r>
      <w:r w:rsidR="0040551F">
        <w:t xml:space="preserve"> vaccine </w:t>
      </w:r>
      <w:r>
        <w:t>efficacy</w:t>
      </w:r>
      <w:r w:rsidR="0040551F">
        <w:t xml:space="preserve"> strongly influence DHI while birth/death processes have minimal impacts. We find that a blended “Mass then 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3B6CCC98" w:rsidR="000A51A6" w:rsidRPr="003355EB" w:rsidRDefault="003355EB" w:rsidP="00A22B93">
      <w:pPr>
        <w:rPr>
          <w:b/>
        </w:rPr>
      </w:pPr>
      <w:r>
        <w:t>W</w:t>
      </w:r>
      <w:r w:rsidR="00A76FDB">
        <w:t xml:space="preserve">e </w:t>
      </w:r>
      <w:r>
        <w:t>show that</w:t>
      </w:r>
      <w:r w:rsidR="00A76FDB">
        <w:t xml:space="preserve"> vaccines, and specifically oral cholera vaccines, can be powerful tools for quickly protecting a population for a certain period of time until complementary interventions can be installed</w:t>
      </w:r>
      <w:r w:rsidR="00EC6207">
        <w:t>. Vaccine-derived herd immunity can be sustained most efficiently by a blended “Mass then Maintain” strategy whereby a single mass vaccination campaign is followed by routine vaccination of susceptible individuals.</w:t>
      </w:r>
    </w:p>
    <w:p w14:paraId="6C1F2321" w14:textId="77777777" w:rsidR="00142B0A" w:rsidRDefault="00142B0A">
      <w:pPr>
        <w:rPr>
          <w:b/>
        </w:rPr>
      </w:pPr>
      <w:r>
        <w:rPr>
          <w:b/>
        </w:rPr>
        <w:br w:type="page"/>
      </w:r>
    </w:p>
    <w:p w14:paraId="6EDFA4E3" w14:textId="483EDAED" w:rsidR="0071157B" w:rsidRPr="001850C4" w:rsidRDefault="00324900">
      <w:pPr>
        <w:rPr>
          <w:b/>
        </w:rPr>
      </w:pPr>
      <w:r>
        <w:rPr>
          <w:b/>
        </w:rPr>
        <w:lastRenderedPageBreak/>
        <w:t>Introduction</w:t>
      </w:r>
    </w:p>
    <w:p w14:paraId="3C053FB8" w14:textId="6FA7AE0D" w:rsidR="00A22B93" w:rsidRPr="00D5161A" w:rsidRDefault="00D5161A">
      <w:r>
        <w:t>T</w:t>
      </w:r>
      <w:r w:rsidR="00A22B93">
        <w:t xml:space="preserve">he goal of routine and mass vaccination campaigns is </w:t>
      </w:r>
      <w:r>
        <w:t xml:space="preserve">frequently </w:t>
      </w:r>
      <w:r w:rsidR="00A22B93">
        <w:t xml:space="preserve">to achieve a </w:t>
      </w:r>
      <w:r>
        <w:t>state of herd immunity,</w:t>
      </w:r>
      <w:r>
        <w:fldChar w:fldCharType="begin" w:fldLock="1"/>
      </w:r>
      <w:r w:rsidR="00AE6CD2">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"&lt;sup&gt;1\u20133&lt;/sup&gt;", "plainTextFormattedCitation" : "1\u20133", "previouslyFormattedCitation" : "&lt;sup&gt;1\u20133&lt;/sup&gt;" }, "properties" : { "noteIndex" : 0 }, "schema" : "https://github.com/citation-style-language/schema/raw/master/csl-citation.json" }</w:instrText>
      </w:r>
      <w:r>
        <w:fldChar w:fldCharType="separate"/>
      </w:r>
      <w:r w:rsidR="00380776" w:rsidRPr="00380776">
        <w:rPr>
          <w:noProof/>
          <w:vertAlign w:val="superscript"/>
        </w:rPr>
        <w:t>1–3</w:t>
      </w:r>
      <w:r>
        <w:fldChar w:fldCharType="end"/>
      </w:r>
      <w:r>
        <w:t xml:space="preserve"> which occurs when the expected number of infections per case is reduced below one (i.e., the</w:t>
      </w:r>
      <w:r w:rsidR="00CE18E3">
        <w:t xml:space="preserve"> effective reproductive number </w:t>
      </w:r>
      <w:r>
        <w:t>R</w:t>
      </w:r>
      <w:r>
        <w:rPr>
          <w:vertAlign w:val="subscript"/>
        </w:rPr>
        <w:t>e</w:t>
      </w:r>
      <w:r>
        <w:t xml:space="preserve"> &lt; 1). Herd immunity emerges when vaccine coverage (VC) and vaccine effica</w:t>
      </w:r>
      <w:r w:rsidR="00575CD5">
        <w:t>cy (VE) are sufficiently high; c</w:t>
      </w:r>
      <w:r>
        <w:t>onversely, herd immunity can be lost over time</w:t>
      </w:r>
      <w:r w:rsidR="00CE18E3">
        <w:t xml:space="preserve"> when VE decreases (e.g., for short-lived vaccine direct effects) or</w:t>
      </w:r>
      <w:r>
        <w:t xml:space="preserve"> when VC decreases (e.g., through a net influx of susceptible, un</w:t>
      </w:r>
      <w:r w:rsidR="00CE18E3">
        <w:t>vaccinated individuals)</w:t>
      </w:r>
      <w:r>
        <w:t>.</w:t>
      </w:r>
    </w:p>
    <w:p w14:paraId="4F80E016" w14:textId="77777777" w:rsidR="00D552A1" w:rsidRDefault="00D552A1"/>
    <w:p w14:paraId="4D676FA0" w14:textId="4577D518" w:rsidR="002F2F2F" w:rsidRDefault="00BC2050">
      <w:r>
        <w:t xml:space="preserve">Although much attention is given to measuring the duration and magnitude of </w:t>
      </w:r>
      <w:r w:rsidR="00D5161A">
        <w:t>VE</w:t>
      </w:r>
      <w:r w:rsidR="00F539C6">
        <w:t xml:space="preserve">, many questions </w:t>
      </w:r>
      <w:r>
        <w:t xml:space="preserve">regarding </w:t>
      </w:r>
      <w:r w:rsidR="0003435B">
        <w:t xml:space="preserve">the duration of </w:t>
      </w:r>
      <w:r>
        <w:t xml:space="preserve">herd </w:t>
      </w:r>
      <w:r w:rsidR="00C8087F">
        <w:t>immunity</w:t>
      </w:r>
      <w:r w:rsidR="00D5161A">
        <w:t xml:space="preserve"> (DHI)</w:t>
      </w:r>
      <w:r>
        <w:t xml:space="preserve"> </w:t>
      </w:r>
      <w:r w:rsidR="00755E78">
        <w:t xml:space="preserve">remain. </w:t>
      </w:r>
      <w:r w:rsidR="00BE4FAD">
        <w:t>In practice</w:t>
      </w:r>
      <w:r w:rsidR="002F2F2F" w:rsidRPr="002F2F2F">
        <w:t>, vaccines can be a relatively quick stopgap</w:t>
      </w:r>
      <w:r w:rsidR="00CE18E3">
        <w:t xml:space="preserve"> measure</w:t>
      </w:r>
      <w:r w:rsidR="002F2F2F" w:rsidRPr="002F2F2F">
        <w:t xml:space="preserve"> to protect an at-risk population until longer-term solutions can be instituted, but there is a need to know how much time is “bought” by such a vaccination ca</w:t>
      </w:r>
      <w:r w:rsidR="00CE18E3">
        <w:t xml:space="preserve">mpaign. For routine </w:t>
      </w:r>
      <w:r w:rsidR="002F2F2F" w:rsidRPr="002F2F2F">
        <w:t xml:space="preserve">vaccination, the decision of when to boost or revaccinate will depend in part on the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2DCA871E" w:rsidR="00D552A1" w:rsidRDefault="00D552A1">
      <w:r>
        <w:t xml:space="preserve">We study the model system of oral cholera vaccines </w:t>
      </w:r>
      <w:r w:rsidR="00AF22DD">
        <w:t xml:space="preserve">(OCV) </w:t>
      </w:r>
      <w:r>
        <w:t xml:space="preserve">to address these questions. Due to </w:t>
      </w:r>
      <w:r w:rsidR="00CE18E3">
        <w:t xml:space="preserve">a </w:t>
      </w:r>
      <w:r>
        <w:t xml:space="preserve">reliable </w:t>
      </w:r>
      <w:r w:rsidR="00CE18E3">
        <w:t>VE</w:t>
      </w:r>
      <w:r>
        <w:t xml:space="preserve"> </w:t>
      </w:r>
      <w:r w:rsidR="00CE18E3">
        <w:t xml:space="preserve">profile </w:t>
      </w:r>
      <w:r>
        <w:t xml:space="preserve">and high </w:t>
      </w:r>
      <w:r w:rsidR="00CE18E3">
        <w:t>VC</w:t>
      </w:r>
      <w:r>
        <w:t xml:space="preserve"> through mass campaigns, cholera vaccines can generate po</w:t>
      </w:r>
      <w:r w:rsidR="003542BB">
        <w:t>werful herd protection effects</w:t>
      </w:r>
      <w:r>
        <w:t>.</w:t>
      </w:r>
      <w:r w:rsidR="003542BB">
        <w:fldChar w:fldCharType="begin" w:fldLock="1"/>
      </w:r>
      <w:r w:rsidR="00AE6CD2">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"&lt;sup&gt;4,5&lt;/sup&gt;", "plainTextFormattedCitation" : "4,5", "previouslyFormattedCitation" : "&lt;sup&gt;4,5&lt;/sup&gt;" }, "properties" : { "noteIndex" : 0 }, "schema" : "https://github.com/citation-style-language/schema/raw/master/csl-citation.json" }</w:instrText>
      </w:r>
      <w:r w:rsidR="003542BB">
        <w:fldChar w:fldCharType="separate"/>
      </w:r>
      <w:r w:rsidR="00380776" w:rsidRPr="00380776">
        <w:rPr>
          <w:noProof/>
          <w:vertAlign w:val="superscript"/>
        </w:rPr>
        <w:t>4,5</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3542BB">
        <w:fldChar w:fldCharType="separate"/>
      </w:r>
      <w:r w:rsidR="00380776" w:rsidRPr="00380776">
        <w:rPr>
          <w:noProof/>
          <w:vertAlign w:val="superscript"/>
        </w:rPr>
        <w:t>6</w:t>
      </w:r>
      <w:r w:rsidR="003542BB">
        <w:fldChar w:fldCharType="end"/>
      </w:r>
      <w:r w:rsidR="003542BB">
        <w:t xml:space="preserve"> </w:t>
      </w:r>
      <w:r w:rsidR="00BE4FAD">
        <w:t xml:space="preserve">While the </w:t>
      </w:r>
      <w:r w:rsidR="00541512">
        <w:t xml:space="preserve">value of </w:t>
      </w:r>
      <w:r w:rsidR="00BE4FAD">
        <w:t xml:space="preserve">reactive vaccination in response to outbreaks </w:t>
      </w:r>
      <w:r w:rsidR="00541512">
        <w:t>depends on the</w:t>
      </w:r>
      <w:r w:rsidR="00545E7A">
        <w:t xml:space="preserve"> </w:t>
      </w:r>
      <w:r w:rsidR="00CE18E3">
        <w:t>short-term (e.g., 0-6</w:t>
      </w:r>
      <w:r w:rsidR="00545E7A">
        <w:t xml:space="preserve"> month</w:t>
      </w:r>
      <w:r w:rsidR="00BE4FAD">
        <w:t>)</w:t>
      </w:r>
      <w:r w:rsidR="00545E7A">
        <w:t xml:space="preserve"> </w:t>
      </w:r>
      <w:r w:rsidR="00BE4FAD">
        <w:t>OCV effectiveness</w:t>
      </w:r>
      <w:r w:rsidR="003542BB">
        <w:t>,</w:t>
      </w:r>
      <w:r w:rsidR="003542BB">
        <w:fldChar w:fldCharType="begin" w:fldLock="1"/>
      </w:r>
      <w:r w:rsidR="00AE6CD2">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"&lt;sup&gt;7&lt;/sup&gt;", "plainTextFormattedCitation" : "7", "previouslyFormattedCitation" : "&lt;sup&gt;7&lt;/sup&gt;" }, "properties" : { "noteIndex" : 0 }, "schema" : "https://github.com/citation-style-language/schema/raw/master/csl-citation.json" }</w:instrText>
      </w:r>
      <w:r w:rsidR="003542BB">
        <w:fldChar w:fldCharType="separate"/>
      </w:r>
      <w:r w:rsidR="00380776" w:rsidRPr="00380776">
        <w:rPr>
          <w:noProof/>
          <w:vertAlign w:val="superscript"/>
        </w:rPr>
        <w:t>7</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3A663DCE" w:rsidR="003542BB" w:rsidRDefault="003542BB">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023416">
        <w:t>s</w:t>
      </w:r>
      <w:r w:rsidR="0099479A">
        <w:t xml:space="preserve"> with high VC</w:t>
      </w:r>
      <w:r>
        <w:t xml:space="preserve"> </w:t>
      </w:r>
      <w:r w:rsidR="00023416">
        <w:t>were</w:t>
      </w:r>
      <w:r>
        <w:t xml:space="preserve"> performed in July 2014 and June 2015, yet the camp sustained an outbreak of </w:t>
      </w:r>
      <w:r w:rsidR="00FF1173">
        <w:t>381</w:t>
      </w:r>
      <w:r w:rsidR="00023416">
        <w:t xml:space="preserve"> cases beginning in</w:t>
      </w:r>
      <w:r>
        <w:t xml:space="preserve"> </w:t>
      </w:r>
      <w:r w:rsidR="00023416">
        <w:t>October</w:t>
      </w:r>
      <w:r>
        <w:t xml:space="preserve"> 2016</w:t>
      </w:r>
      <w:r w:rsidR="00FF1173">
        <w:t xml:space="preserve"> (</w:t>
      </w:r>
      <w:hyperlink r:id="rId9" w:history="1">
        <w:r w:rsidR="00FF1173" w:rsidRPr="004166B7">
          <w:rPr>
            <w:rStyle w:val="Hyperlink"/>
          </w:rPr>
          <w:t>http://reliefweb.int/sites/reliefweb.int/files/resources/UNICEF%20South%20Sudan%20Humanitarian%20SitRep%20%2399%20-%2015%20Dec%202016.pdf</w:t>
        </w:r>
      </w:hyperlink>
      <w:r w:rsidR="00FF1173">
        <w:t>).</w:t>
      </w:r>
      <w:r>
        <w:fldChar w:fldCharType="begin" w:fldLock="1"/>
      </w:r>
      <w:r w:rsidR="00AE6CD2">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380776" w:rsidRPr="00380776">
        <w:rPr>
          <w:noProof/>
          <w:vertAlign w:val="superscript"/>
        </w:rPr>
        <w:t>8</w:t>
      </w:r>
      <w:r>
        <w:fldChar w:fldCharType="end"/>
      </w:r>
      <w:r>
        <w:t xml:space="preserve"> </w:t>
      </w:r>
      <w:r w:rsidR="0099479A">
        <w:t>Po</w:t>
      </w:r>
      <w:r w:rsidR="00023416">
        <w:t xml:space="preserve">ssible driving factors for the Camp’s susceptibility to an </w:t>
      </w:r>
      <w:r w:rsidR="0099479A">
        <w:t xml:space="preserve">outbreak </w:t>
      </w:r>
      <w:r w:rsidR="00023416">
        <w:t>include waning VE,</w:t>
      </w:r>
      <w:r w:rsidR="0099479A">
        <w:t xml:space="preserve"> influx of susceptible individuals</w:t>
      </w:r>
      <w:r w:rsidR="00023416">
        <w:t xml:space="preserve"> through birth and migration</w:t>
      </w:r>
      <w:r w:rsidR="0099479A">
        <w:t>, and death and resettlement of vaccinated individuals</w:t>
      </w:r>
      <w:r w:rsidR="00023416">
        <w:t>;</w:t>
      </w:r>
      <w:r w:rsidR="0099479A">
        <w:t xml:space="preserve"> </w:t>
      </w:r>
      <w:r w:rsidR="00023416">
        <w:t>however,</w:t>
      </w:r>
      <w:r w:rsidR="0099479A">
        <w:t xml:space="preserve"> the relative contributions of these factors and whether they are sufficient explanations remains to be seen. </w:t>
      </w:r>
    </w:p>
    <w:p w14:paraId="1E017F51" w14:textId="77777777" w:rsidR="003D39B4" w:rsidRDefault="003D39B4"/>
    <w:p w14:paraId="4AF9FDC6" w14:textId="78C58BDE" w:rsidR="00215957" w:rsidRPr="00A445BB" w:rsidRDefault="00A445BB" w:rsidP="00A445BB">
      <w:r>
        <w:t>Following a large scale-up in control measures, such as mass vaccination, a period of low incidence, called the honeymoon period, is expected.</w:t>
      </w:r>
      <w:r>
        <w:fldChar w:fldCharType="begin" w:fldLock="1"/>
      </w:r>
      <w:r w:rsidR="00AE6CD2">
        <w:instrText>ADDIN CSL_CITATION { "citationItems" : [ { "id" : "ITEM-1", "itemData" : { "DOI" : "10.1017/S0950268800067170", "ISSN" : "0950-2688", "PMID" : "3378585", "abstract" : "A mathematical model is developed to mimic the transmission dynamics of the measles virus in communities in the developing world with high population growth rates and high case fatality rates. The model is used to compare the impacts of different mass vaccination programmes upon morbidity and mortality arising from infection by measles virus. Analyses identify three conclusions of practical significance to the design of optimal vaccination programmes. First, there is no single optimum age at which to vaccinate children for all urban and rural communities in developing countries. For a given community the best age at which to vaccinate depends critically on the age distribution of cases of infection prior to the introduction of control measures. Second, numerical studies predict that the introduction of mass vaccination will induce a temporary phase of very low incidence of infection before the system settles to a new pattern of recurrent epidemics. Mass vaccination acts to lengthen the inter-epidemic period in the post-vaccination period when compared with that prevailing prior to control. Third, numerical simulations suggest that two-phase and two-stage vaccination programmes are of less benefit than one-stage programmes (achieving comparable coverage) aimed at young children. The paper ends with a discussion of the needs for: improved programmes of data collection; monitoring of the impact of current vaccination programmes; and the development of models that take account of viral transmission dynamics, host demography and economic factors.", "author" : [ { "dropping-particle" : "", "family" : "McLean", "given" : "A R", "non-dropping-particle" : "", "parse-names" : false, "suffix" : "" }, { "dropping-particle" : "", "family" : "Anderson", "given" : "R M", "non-dropping-particle" : "", "parse-names" : false, "suffix" : "" } ], "container-title" : "Epidemiology and infection", "id" : "ITEM-1", "issue" : "3", "issued" : { "date-parts" : [ [ "1988" ] ] }, "note" : "Coins &amp;quot;Honeymoon Period&amp;quot;", "page" : "419-442", "title" : "Measles in developing countries. Part II. The predicted impact of mass vaccination", "type" : "article-journal", "volume" : "100" }, "uris" : [ "http://www.mendeley.com/documents/?uuid=97610014-43b5-4a99-82eb-58ca9f100383"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380776" w:rsidRPr="00380776">
        <w:rPr>
          <w:noProof/>
          <w:vertAlign w:val="superscript"/>
        </w:rPr>
        <w:t>11</w:t>
      </w:r>
      <w:r>
        <w:fldChar w:fldCharType="end"/>
      </w:r>
      <w:r>
        <w:t xml:space="preserve"> Modeling studies of other disease systems (e.g., HIV,</w:t>
      </w:r>
      <w:r>
        <w:fldChar w:fldCharType="begin" w:fldLock="1"/>
      </w:r>
      <w:r w:rsidR="00AE6CD2">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"mendeley" : { "formattedCitation" : "&lt;sup&gt;12,13&lt;/sup&gt;", "plainTextFormattedCitation" : "12,13", "previouslyFormattedCitation" : "&lt;sup&gt;12,13&lt;/sup&gt;" }, "properties" : { "noteIndex" : 0 }, "schema" : "https://github.com/citation-style-language/schema/raw/master/csl-citation.json" }</w:instrText>
      </w:r>
      <w:r>
        <w:fldChar w:fldCharType="separate"/>
      </w:r>
      <w:r w:rsidR="00380776" w:rsidRPr="00380776">
        <w:rPr>
          <w:noProof/>
          <w:vertAlign w:val="superscript"/>
        </w:rPr>
        <w:t>12,13</w:t>
      </w:r>
      <w:r>
        <w:fldChar w:fldCharType="end"/>
      </w:r>
      <w:r>
        <w:t xml:space="preserve"> measles,</w:t>
      </w:r>
      <w:r>
        <w:fldChar w:fldCharType="begin" w:fldLock="1"/>
      </w:r>
      <w:r w:rsidR="00AE6CD2">
        <w:instrText>ADDIN CSL_CITATION { "citationItems" : [ { "id" : "ITEM-1",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"ITEM-1",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380776" w:rsidRPr="00380776">
        <w:rPr>
          <w:noProof/>
          <w:vertAlign w:val="superscript"/>
        </w:rPr>
        <w:t>14</w:t>
      </w:r>
      <w:r>
        <w:fldChar w:fldCharType="end"/>
      </w:r>
      <w:r>
        <w:t xml:space="preserve"> pertussis,</w:t>
      </w:r>
      <w:r>
        <w:fldChar w:fldCharType="begin" w:fldLock="1"/>
      </w:r>
      <w:r w:rsidR="00AE6CD2">
        <w:instrText>ADDIN CSL_CITATION { "citationItems" : [ { "id" : "ITEM-1",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"ITEM-1", "issue" : "07", "issued" : { "date-parts" : [ [ "2016", "6", "4" ] ] }, "page" : "835-849", "title" : "Pertussis immunity and epidemiology: mode and duration of vaccine-induced immunity", "type" : "article-journal", "volume" : "143" }, "uris" : [ "http://www.mendeley.com/documents/?uuid=315a933b-5be7-4653-955a-65c542265005"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00380776" w:rsidRPr="00380776">
        <w:rPr>
          <w:noProof/>
          <w:vertAlign w:val="superscript"/>
        </w:rPr>
        <w:t>15</w:t>
      </w:r>
      <w:r>
        <w:fldChar w:fldCharType="end"/>
      </w:r>
      <w:r>
        <w:t xml:space="preserve"> and rubella</w:t>
      </w:r>
      <w:r>
        <w:fldChar w:fldCharType="begin" w:fldLock="1"/>
      </w:r>
      <w:r w:rsidR="00AE6CD2">
        <w:instrText>ADDIN CSL_CITATION { "citationItems" : [ { "id" : "ITEM-1", "itemData" : { "DOI" : "10.1017/S0950268812000131", "ISSN" : "1469-4409", "PMID" : "22335852", "abstract" : "Childhood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"ITEM-1", "issue" : "12", "issued" : { "date-parts" : [ [ "2012", "12" ] ] }, "page" : "2290-301", "title" : "Impact of birth rate, seasonality and transmission rate on minimum levels of coverage needed for rubella vaccination.", "type" : "article-journal", "volume" : "140" }, "uris" : [ "http://www.mendeley.com/documents/?uuid=9b68227c-c688-49cf-b22c-d2b17c5c6cee"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380776" w:rsidRPr="00380776">
        <w:rPr>
          <w:noProof/>
          <w:vertAlign w:val="superscript"/>
        </w:rPr>
        <w:t>16</w:t>
      </w:r>
      <w:r>
        <w:fldChar w:fldCharType="end"/>
      </w:r>
      <w:r>
        <w:t>) have shown a relationship between herd immunity and factors such as the VE profile, VC, demographic turnover, and R</w:t>
      </w:r>
      <w:r>
        <w:rPr>
          <w:vertAlign w:val="subscript"/>
        </w:rPr>
        <w:t>0</w:t>
      </w:r>
      <w:r>
        <w:t xml:space="preserve">, but no study to our knowledge has demonstrated the relative contributions of these driving factors </w:t>
      </w:r>
      <w:r w:rsidR="00E701DB">
        <w:t>nor considered the impact of human migration</w:t>
      </w:r>
      <w:r>
        <w:t xml:space="preserve"> on waning herd immunity</w:t>
      </w:r>
      <w:r w:rsidR="00E701DB">
        <w:t xml:space="preserve"> and vaccination policy</w:t>
      </w:r>
      <w:r>
        <w:t>.</w:t>
      </w:r>
    </w:p>
    <w:p w14:paraId="05E008E1" w14:textId="77777777" w:rsidR="0099479A" w:rsidRDefault="0099479A"/>
    <w:p w14:paraId="79087810" w14:textId="0615D1B1" w:rsidR="0099479A" w:rsidRPr="00E701DB" w:rsidRDefault="00F539C6">
      <w:r>
        <w:lastRenderedPageBreak/>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any given </w:t>
      </w:r>
      <w:r w:rsidR="002F2F2F">
        <w:t>context</w:t>
      </w:r>
      <w:r w:rsidR="0065101F">
        <w:t xml:space="preserve"> (</w:t>
      </w:r>
      <w:hyperlink r:id="rId10" w:history="1">
        <w:r w:rsidR="0065101F" w:rsidRPr="001C5656">
          <w:rPr>
            <w:rStyle w:val="Hyperlink"/>
          </w:rPr>
          <w:t>https://coreypeak.shinyapps.io/herd_protection_estimator/</w:t>
        </w:r>
      </w:hyperlink>
      <w:r w:rsidR="0065101F">
        <w:t>)</w:t>
      </w:r>
      <w:r w:rsidR="00700D43">
        <w:t>.</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4998F42F" w:rsidR="00324900" w:rsidRPr="00324900" w:rsidRDefault="00324900" w:rsidP="005C7B32">
      <w:pPr>
        <w:rPr>
          <w:i/>
        </w:rPr>
      </w:pPr>
      <w:r w:rsidRPr="00324900">
        <w:rPr>
          <w:i/>
        </w:rPr>
        <w:t>Disease Model</w:t>
      </w:r>
    </w:p>
    <w:p w14:paraId="1943FA7B" w14:textId="675F45A8" w:rsidR="003B3505" w:rsidRDefault="005C7B32" w:rsidP="005C7B32">
      <w:r>
        <w:t xml:space="preserve">We developed a compartmental model framework of </w:t>
      </w:r>
      <w:r w:rsidR="00EB221D">
        <w:t xml:space="preserve">a </w:t>
      </w:r>
      <w:r>
        <w:t>population that is being targeted with vaccination. The population groups of principle interest for this study are individuals who are fully susceptible to disease (</w:t>
      </w:r>
      <m:oMath>
        <m:r>
          <w:rPr>
            <w:rFonts w:ascii="Cambria Math" w:hAnsi="Cambria Math"/>
          </w:rPr>
          <m:t>S</m:t>
        </m:r>
      </m:oMath>
      <w:r>
        <w:t xml:space="preserve">) and </w:t>
      </w:r>
      <w:r w:rsidR="00C346FB">
        <w:t>those</w:t>
      </w:r>
      <w:r>
        <w:t xml:space="preserve"> who were vaccinated </w:t>
      </w:r>
      <w:r w:rsidR="00EB221D" w:rsidRPr="002F2F2F">
        <w:rPr>
          <w:i/>
        </w:rPr>
        <w:t>n</w:t>
      </w:r>
      <w:r w:rsidR="00EB221D">
        <w:t xml:space="preserve">-months ago </w:t>
      </w:r>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w:t>
      </w:r>
      <w:r w:rsidR="00C346FB">
        <w:t xml:space="preserve"> (Figure CC)</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AE6CD2">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"&lt;sup&gt;17,18&lt;/sup&gt;", "plainTextFormattedCitation" : "17,18", "previouslyFormattedCitation" : "&lt;sup&gt;17,18&lt;/sup&gt;" }, "properties" : { "noteIndex" : 0 }, "schema" : "https://github.com/citation-style-language/schema/raw/master/csl-citation.json" }</w:instrText>
      </w:r>
      <w:r w:rsidR="003542BB">
        <w:fldChar w:fldCharType="separate"/>
      </w:r>
      <w:r w:rsidR="00380776" w:rsidRPr="00380776">
        <w:rPr>
          <w:noProof/>
          <w:vertAlign w:val="superscript"/>
        </w:rPr>
        <w:t>17,18</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E701DB">
        <w:t xml:space="preserve">from compartment </w:t>
      </w:r>
      <m:oMath>
        <m:r>
          <w:rPr>
            <w:rFonts w:ascii="Cambria Math" w:hAnsi="Cambria Math"/>
          </w:rPr>
          <m:t>S</m:t>
        </m:r>
      </m:oMath>
      <w:r w:rsidR="00E701DB">
        <w:t xml:space="preserve"> 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 months [0,1) post-vaccination on average,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months [1,2) post-vaccination, etc. </w:t>
      </w:r>
    </w:p>
    <w:p w14:paraId="5D2453F1" w14:textId="77777777" w:rsidR="006B582E" w:rsidRDefault="006B582E" w:rsidP="005C7B32"/>
    <w:p w14:paraId="05C9FCC8" w14:textId="5068CEFB" w:rsidR="006B582E" w:rsidRDefault="006B582E" w:rsidP="006B582E">
      <w:r>
        <w:t>We assume individuals within the populati</w:t>
      </w:r>
      <w:r w:rsidR="00C30928">
        <w:t xml:space="preserve">on are </w:t>
      </w:r>
      <w:proofErr w:type="gramStart"/>
      <w:r w:rsidR="00C30928">
        <w:t>well-mixed</w:t>
      </w:r>
      <w:proofErr w:type="gramEnd"/>
      <w:r w:rsidR="00C30928">
        <w:t xml:space="preserve"> and i</w:t>
      </w:r>
      <w:r>
        <w:t xml:space="preserve">ndividuals emigrate from the population at a rate that is equal for all compartments. Unless otherwise noted, the total system size is held constant by offsetting emigration with an equal rate of immigration. Our main results assume that immigration is entirely into the </w:t>
      </w:r>
      <w:proofErr w:type="gramStart"/>
      <m:oMath>
        <m:r>
          <w:rPr>
            <w:rFonts w:ascii="Cambria Math" w:hAnsi="Cambria Math"/>
          </w:rPr>
          <m:t>S</m:t>
        </m:r>
      </m:oMath>
      <w:proofErr w:type="gramEnd"/>
      <w:r w:rsidR="00C8088D">
        <w:t xml:space="preserve"> </w:t>
      </w:r>
      <w:r>
        <w:t xml:space="preserve">compartment, meaning incoming migrants bring neither vaccine-derived nor naturally acquired immunity into the population. </w:t>
      </w:r>
    </w:p>
    <w:p w14:paraId="30F32F5E" w14:textId="77777777" w:rsidR="006B582E" w:rsidRDefault="006B582E" w:rsidP="006B582E"/>
    <w:p w14:paraId="5225B6C9" w14:textId="12DFFB38"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AE6CD2">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"&lt;sup&gt;19&lt;/sup&gt;", "plainTextFormattedCitation" : "19", "previouslyFormattedCitation" : "&lt;sup&gt;19&lt;/sup&gt;" }, "properties" : { "noteIndex" : 0 }, "schema" : "https://github.com/citation-style-language/schema/raw/master/csl-citation.json" }</w:instrText>
      </w:r>
      <w:r>
        <w:fldChar w:fldCharType="separate"/>
      </w:r>
      <w:r w:rsidR="00380776" w:rsidRPr="00380776">
        <w:rPr>
          <w:noProof/>
          <w:vertAlign w:val="superscript"/>
        </w:rPr>
        <w:t>19</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7E41A807" w14:textId="77777777" w:rsidR="003B3505" w:rsidRDefault="003B3505" w:rsidP="005C7B32"/>
    <w:p w14:paraId="31BEB8E8" w14:textId="7C293A47" w:rsidR="006B582E" w:rsidRPr="006B582E" w:rsidRDefault="006B582E" w:rsidP="005C7B32">
      <w:r>
        <w:rPr>
          <w:i/>
        </w:rPr>
        <w:t>Vaccine Efficacy Parameterization</w:t>
      </w:r>
    </w:p>
    <w:p w14:paraId="50E2C944" w14:textId="02467D94" w:rsidR="005C7B32" w:rsidRDefault="00C346FB" w:rsidP="005C7B32">
      <w:r>
        <w:t xml:space="preserve">We adapted monthly </w:t>
      </w:r>
      <w:proofErr w:type="gramStart"/>
      <m:oMath>
        <m:r>
          <w:rPr>
            <w:rFonts w:ascii="Cambria Math" w:hAnsi="Cambria Math"/>
          </w:rPr>
          <m:t>VE(</m:t>
        </m:r>
        <w:proofErr w:type="gramEnd"/>
        <m:r>
          <w:rPr>
            <w:rFonts w:ascii="Cambria Math" w:hAnsi="Cambria Math"/>
          </w:rPr>
          <m:t>t)</m:t>
        </m:r>
      </m:oMath>
      <w:r>
        <w:t xml:space="preserve"> estimates u</w:t>
      </w:r>
      <w:r w:rsidR="003542BB">
        <w:t>sing data from Clemens et al.</w:t>
      </w:r>
      <w:r w:rsidR="003542BB">
        <w:fldChar w:fldCharType="begin" w:fldLock="1"/>
      </w:r>
      <w:r w:rsidR="00AE6CD2">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"&lt;sup&gt;20&lt;/sup&gt;", "plainTextFormattedCitation" : "20", "previouslyFormattedCitation" : "&lt;sup&gt;20&lt;/sup&gt;" }, "properties" : { "noteIndex" : 0 }, "schema" : "https://github.com/citation-style-language/schema/raw/master/csl-citation.json" }</w:instrText>
      </w:r>
      <w:r w:rsidR="003542BB">
        <w:fldChar w:fldCharType="separate"/>
      </w:r>
      <w:r w:rsidR="00380776" w:rsidRPr="00380776">
        <w:rPr>
          <w:noProof/>
          <w:vertAlign w:val="superscript"/>
        </w:rPr>
        <w:t>20</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AE6CD2">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"&lt;sup&gt;21&lt;/sup&gt;", "plainTextFormattedCitation" : "21", "previouslyFormattedCitation" : "&lt;sup&gt;21&lt;/sup&gt;" }, "properties" : { "noteIndex" : 0 }, "schema" : "https://github.com/citation-style-language/schema/raw/master/csl-citation.json" }</w:instrText>
      </w:r>
      <w:r w:rsidR="003542BB">
        <w:fldChar w:fldCharType="separate"/>
      </w:r>
      <w:r w:rsidR="00380776" w:rsidRPr="00380776">
        <w:rPr>
          <w:noProof/>
          <w:vertAlign w:val="superscript"/>
        </w:rPr>
        <w:t>21</w:t>
      </w:r>
      <w:r w:rsidR="003542BB">
        <w:fldChar w:fldCharType="end"/>
      </w:r>
      <w:r w:rsidR="00BE4FAD">
        <w:t xml:space="preserve"> We </w:t>
      </w:r>
      <w:r>
        <w:t xml:space="preserve">define </w:t>
      </w:r>
      <w:proofErr w:type="gramStart"/>
      <m:oMath>
        <m:r>
          <w:rPr>
            <w:rFonts w:ascii="Cambria Math" w:hAnsi="Cambria Math"/>
          </w:rPr>
          <m:t>VE(</m:t>
        </m:r>
        <w:proofErr w:type="gramEnd"/>
        <m:r>
          <w:rPr>
            <w:rFonts w:ascii="Cambria Math" w:hAnsi="Cambria Math"/>
          </w:rPr>
          <m:t>1)</m:t>
        </m:r>
      </m:oMath>
      <w:r>
        <w:t xml:space="preserve"> to be the </w:t>
      </w:r>
      <w:r w:rsidR="00C8088D" w:rsidRPr="00C8088D">
        <w:t>VE</w:t>
      </w:r>
      <w:r>
        <w:t xml:space="preserve"> for months [0,1) post-vaccination, </w:t>
      </w:r>
      <m:oMath>
        <m:r>
          <w:rPr>
            <w:rFonts w:ascii="Cambria Math" w:hAnsi="Cambria Math"/>
          </w:rPr>
          <m:t>VE(2)</m:t>
        </m:r>
      </m:oMath>
      <w:r>
        <w:t xml:space="preserve"> to be the VE for months [1,2) post-vaccination, etc. We parameterized the time-varying distribution </w:t>
      </w:r>
      <w:proofErr w:type="gramStart"/>
      <m:oMath>
        <m:r>
          <w:rPr>
            <w:rFonts w:ascii="Cambria Math" w:hAnsi="Cambria Math"/>
          </w:rPr>
          <m:t>VE(</m:t>
        </m:r>
        <w:proofErr w:type="gramEnd"/>
        <m:r>
          <w:rPr>
            <w:rFonts w:ascii="Cambria Math" w:hAnsi="Cambria Math"/>
          </w:rPr>
          <m:t>t)</m:t>
        </m:r>
      </m:oMath>
      <w:r>
        <w:t xml:space="preserve"> of WC and BS-WC vac</w:t>
      </w:r>
      <w:r w:rsidR="003542BB">
        <w:t>cines using tables provided by Durham et al.</w:t>
      </w:r>
      <w:r w:rsidR="003542BB">
        <w:fldChar w:fldCharType="begin" w:fldLock="1"/>
      </w:r>
      <w:r w:rsidR="00AE6CD2">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"&lt;sup&gt;21&lt;/sup&gt;", "plainTextFormattedCitation" : "21", "previouslyFormattedCitation" : "&lt;sup&gt;21&lt;/sup&gt;" }, "properties" : { "noteIndex" : 0 }, "schema" : "https://github.com/citation-style-language/schema/raw/master/csl-citation.json" }</w:instrText>
      </w:r>
      <w:r w:rsidR="003542BB">
        <w:fldChar w:fldCharType="separate"/>
      </w:r>
      <w:r w:rsidR="00380776" w:rsidRPr="00380776">
        <w:rPr>
          <w:noProof/>
          <w:vertAlign w:val="superscript"/>
        </w:rPr>
        <w:t>21</w:t>
      </w:r>
      <w:r w:rsidR="003542BB">
        <w:fldChar w:fldCharType="end"/>
      </w:r>
      <w:r w:rsidR="003542BB">
        <w:t xml:space="preserve"> </w:t>
      </w:r>
      <w:r>
        <w:t>and linear interpellat</w:t>
      </w:r>
      <w:r w:rsidR="002347AA">
        <w:t>ions between 6-month</w:t>
      </w:r>
      <w:r w:rsidR="00C30928">
        <w:t xml:space="preserve"> mean VE</w:t>
      </w:r>
      <w:r w:rsidR="002347AA">
        <w:t xml:space="preserve">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35E0F94F" w14:textId="77777777" w:rsidR="00FB25E1" w:rsidRDefault="00FB25E1" w:rsidP="005C7B32"/>
    <w:p w14:paraId="54ADB133" w14:textId="67DA25BE" w:rsidR="006B582E" w:rsidRPr="006B582E" w:rsidRDefault="006B582E" w:rsidP="005C7B32">
      <w:pPr>
        <w:rPr>
          <w:i/>
        </w:rPr>
      </w:pPr>
      <w:r>
        <w:rPr>
          <w:i/>
        </w:rPr>
        <w:t>Mobility Parameterization</w:t>
      </w:r>
    </w:p>
    <w:p w14:paraId="10DBF619" w14:textId="6AC1E25A" w:rsidR="000E5266" w:rsidRDefault="00C30928" w:rsidP="005C7B32">
      <w:r>
        <w:t>We</w:t>
      </w:r>
      <w:r w:rsidR="00FB25E1">
        <w:t xml:space="preserve"> estimated migration rates from three settings</w:t>
      </w:r>
      <w:r>
        <w:t xml:space="preserve"> where OCVs have been used in order to create benchmarks for realistic mobility rates</w:t>
      </w:r>
      <w:r w:rsidR="00FB25E1">
        <w:t>.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AE6CD2">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"&lt;sup&gt;9&lt;/sup&gt;", "plainTextFormattedCitation" : "9", "previouslyFormattedCitation" : "&lt;sup&gt;9&lt;/sup&gt;" }, "properties" : { "noteIndex" : 0 }, "schema" : "https://github.com/citation-style-language/schema/raw/master/csl-citation.json" }</w:instrText>
      </w:r>
      <w:r w:rsidR="00046565">
        <w:fldChar w:fldCharType="separate"/>
      </w:r>
      <w:r w:rsidR="00380776" w:rsidRPr="00380776">
        <w:rPr>
          <w:noProof/>
          <w:vertAlign w:val="superscript"/>
        </w:rPr>
        <w:t>9</w:t>
      </w:r>
      <w:r w:rsidR="00046565">
        <w:fldChar w:fldCharType="end"/>
      </w:r>
      <w:r w:rsidR="00FB25E1">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AE6CD2">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"&lt;sup&gt;10&lt;/sup&gt;", "plainTextFormattedCitation" : "10", "previouslyFormattedCitation" : "&lt;sup&gt;10&lt;/sup&gt;" }, "properties" : { "noteIndex" : 0 }, "schema" : "https://github.com/citation-style-language/schema/raw/master/csl-citation.json" }</w:instrText>
      </w:r>
      <w:r w:rsidR="00046565">
        <w:fldChar w:fldCharType="separate"/>
      </w:r>
      <w:r w:rsidR="00380776" w:rsidRPr="00380776">
        <w:rPr>
          <w:noProof/>
          <w:vertAlign w:val="superscript"/>
        </w:rPr>
        <w:t>10</w:t>
      </w:r>
      <w:r w:rsidR="00046565">
        <w:fldChar w:fldCharType="end"/>
      </w:r>
      <w:r w:rsidR="00FB25E1">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w:t>
      </w:r>
      <w:r w:rsidR="002C409D">
        <w:lastRenderedPageBreak/>
        <w:t>February to October 2016</w:t>
      </w:r>
      <w:r w:rsidR="00B62E25">
        <w:t>, during</w:t>
      </w:r>
      <w:r w:rsidR="002C409D">
        <w:t xml:space="preserve"> which IOM reports a rather stable population of 104,000 people and approximately 2,000 entries/exits per month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03238EC0" w:rsidR="005C7B32" w:rsidRDefault="007059D1" w:rsidP="005C7B32">
      <w:r>
        <w:t>We define the duration of herd immunity (DHI)</w:t>
      </w:r>
      <w:r w:rsidR="00541512">
        <w:t xml:space="preserve"> </w:t>
      </w:r>
      <w:r>
        <w:t>as the time following a vaccination campaign with 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below one. </w:t>
      </w:r>
      <w:r w:rsidR="005C7B32">
        <w:t>We calculate</w:t>
      </w:r>
    </w:p>
    <w:p w14:paraId="18EFD82C" w14:textId="77777777" w:rsidR="005C7B32" w:rsidRDefault="005C7B32" w:rsidP="005C7B32"/>
    <w:p w14:paraId="4444C5EF" w14:textId="11911B72" w:rsidR="005C7B32" w:rsidRDefault="00966387"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0D98D412" w:rsidR="005C7B32" w:rsidRPr="002F2F2F" w:rsidRDefault="00D77E67" w:rsidP="005C7B32">
      <w:proofErr w:type="gramStart"/>
      <w:r>
        <w:t>and</w:t>
      </w:r>
      <w:proofErr w:type="gramEnd"/>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0ACF0E19"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w:t>
      </w:r>
      <w:proofErr w:type="spellStart"/>
      <w:r>
        <w:t>reak</w:t>
      </w:r>
      <w:proofErr w:type="spellEnd"/>
      <w:r>
        <w:t xml:space="preserve">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rsidR="00046565">
        <w:fldChar w:fldCharType="separate"/>
      </w:r>
      <w:r w:rsidR="00380776" w:rsidRPr="00380776">
        <w:rPr>
          <w:noProof/>
          <w:vertAlign w:val="superscript"/>
        </w:rPr>
        <w:t>22</w:t>
      </w:r>
      <w:r w:rsidR="00046565">
        <w:fldChar w:fldCharType="end"/>
      </w:r>
      <w:r w:rsidR="00C8088D">
        <w:t xml:space="preserve"> T</w:t>
      </w:r>
      <w:r w:rsidR="00C346FB">
        <w:t xml:space="preserve">he closed-form solution for </w:t>
      </w:r>
      <w:r w:rsidR="00C8088D">
        <w:t xml:space="preserve">the probability of a small </w:t>
      </w:r>
      <w:r w:rsidR="00C346FB">
        <w:t xml:space="preserve">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m:t>
        </m:r>
        <m:r>
          <w:rPr>
            <w:rFonts w:ascii="Cambria Math" w:hAnsi="Cambria Math"/>
          </w:rPr>
          <m:t>=</m:t>
        </m:r>
        <w:proofErr w:type="gramStart"/>
        <m:r>
          <w:rPr>
            <w:rFonts w:ascii="Cambria Math" w:hAnsi="Cambria Math"/>
          </w:rPr>
          <m:t>1,2,3,…</m:t>
        </m:r>
      </m:oMath>
      <w:r w:rsidR="00D77E67">
        <w:t>)</w:t>
      </w:r>
      <w:proofErr w:type="gramEnd"/>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BE2545">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"&lt;sup&gt;22,23&lt;/sup&gt;", "plainTextFormattedCitation" : "22,23", "previouslyFormattedCitation" : "&lt;sup&gt;22,23&lt;/sup&gt;" }, "properties" : { "noteIndex" : 0 }, "schema" : "https://github.com/citation-style-language/schema/raw/master/csl-citation.json" }</w:instrText>
      </w:r>
      <w:r w:rsidR="00046565">
        <w:fldChar w:fldCharType="separate"/>
      </w:r>
      <w:r w:rsidR="00380776" w:rsidRPr="00380776">
        <w:rPr>
          <w:noProof/>
          <w:vertAlign w:val="superscript"/>
        </w:rPr>
        <w:t>22,23</w:t>
      </w:r>
      <w:r w:rsidR="00046565">
        <w:fldChar w:fldCharType="end"/>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44C1F6F9" w14:textId="1E1CE1F4" w:rsidR="006B582E" w:rsidRPr="006B582E" w:rsidRDefault="006B582E" w:rsidP="005C7B32">
      <w:pPr>
        <w:rPr>
          <w:i/>
        </w:rPr>
      </w:pPr>
      <w:r>
        <w:rPr>
          <w:i/>
        </w:rPr>
        <w:t>Re-Vaccination Strategies</w:t>
      </w:r>
    </w:p>
    <w:p w14:paraId="105130E1" w14:textId="6045BF83"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 and</w:t>
      </w:r>
      <w:r w:rsidR="00B62E25">
        <w:t xml:space="preserve"> (3)</w:t>
      </w:r>
      <w:r>
        <w:t xml:space="preserve"> </w:t>
      </w:r>
      <w:r w:rsidR="00B62E25">
        <w:t>mass vaccination followed by routine vaccination</w:t>
      </w:r>
      <w:r w:rsidR="00BE2545">
        <w:t xml:space="preserve">, i.e., “Mass then </w:t>
      </w:r>
      <w:proofErr w:type="gramStart"/>
      <w:r w:rsidR="00BE2545">
        <w:t>Maintain</w:t>
      </w:r>
      <w:proofErr w:type="gramEnd"/>
      <w:r w:rsidR="00BE2545">
        <w:t>.”</w:t>
      </w:r>
      <w:r>
        <w:t xml:space="preserve"> Routine vaccination </w:t>
      </w:r>
      <w:r w:rsidR="00C8088D">
        <w:t>includes the daily allocation of a certain number of vaccine courses to</w:t>
      </w:r>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BE2545">
        <w:t>.</w:t>
      </w:r>
      <w:r w:rsidR="00046565">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046565">
        <w:fldChar w:fldCharType="separate"/>
      </w:r>
      <w:r w:rsidR="00380776" w:rsidRPr="00380776">
        <w:rPr>
          <w:noProof/>
          <w:vertAlign w:val="superscript"/>
        </w:rPr>
        <w:t>6</w:t>
      </w:r>
      <w:r w:rsidR="00046565">
        <w:fldChar w:fldCharType="end"/>
      </w:r>
      <w:r w:rsidR="00BE2545">
        <w:t xml:space="preserve"> However, b</w:t>
      </w:r>
      <w:r w:rsidR="00E86EA7">
        <w:t>ecause the</w:t>
      </w:r>
      <w:r w:rsidR="00BE2545">
        <w:t xml:space="preserve"> timescale of interest for this study is measured in years</w:t>
      </w:r>
      <w:r>
        <w:t xml:space="preserve">, not days, we assume </w:t>
      </w:r>
      <w:r w:rsidR="00A13B26">
        <w:t>mass vaccination</w:t>
      </w:r>
      <w:r>
        <w:t xml:space="preserve"> campaigns elapse </w:t>
      </w:r>
      <w:r w:rsidR="00BE2545">
        <w:t>instantaneously</w:t>
      </w:r>
      <w:r w:rsidR="00E86EA7">
        <w:t>. Furthermore, we focus on the number of vaccine courses rather than the number of actual vaccines per course</w:t>
      </w:r>
      <w:r w:rsidR="00DB4165">
        <w:t xml:space="preserve"> for generalizability across disease systems.</w:t>
      </w:r>
    </w:p>
    <w:p w14:paraId="53D88260" w14:textId="77777777" w:rsidR="009D0774" w:rsidRDefault="009D0774" w:rsidP="005C7B32"/>
    <w:p w14:paraId="1206957E" w14:textId="7DE49DD6"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Case Study</w:t>
      </w:r>
    </w:p>
    <w:p w14:paraId="76A2A3DB" w14:textId="4CA8FA3E" w:rsidR="0083178D" w:rsidRDefault="00505B2E" w:rsidP="00505B2E">
      <w:r>
        <w:t>To demonstrate the value of estimating waning herd immunity, we focus on the recent experiences with vaccination</w:t>
      </w:r>
      <w:r w:rsidR="00E601F2">
        <w:t>, population changes,</w:t>
      </w:r>
      <w:r>
        <w:t xml:space="preserve"> and an outbreak in the </w:t>
      </w:r>
      <w:proofErr w:type="spellStart"/>
      <w:r>
        <w:t>Bentiu</w:t>
      </w:r>
      <w:proofErr w:type="spellEnd"/>
      <w:r>
        <w:t xml:space="preserve"> </w:t>
      </w:r>
      <w:proofErr w:type="spellStart"/>
      <w:r>
        <w:t>PoC</w:t>
      </w:r>
      <w:proofErr w:type="spellEnd"/>
      <w:r>
        <w:t xml:space="preserve"> Camp. T</w:t>
      </w:r>
      <w:r w:rsidR="006168CB">
        <w:t xml:space="preserve">o approximate the Camp population size, we isolated </w:t>
      </w:r>
      <w:r>
        <w:t>four</w:t>
      </w:r>
      <w:r w:rsidR="006168CB">
        <w:t xml:space="preserve"> key periods of population </w:t>
      </w:r>
      <w:r w:rsidR="006168CB">
        <w:lastRenderedPageBreak/>
        <w:t>change:</w:t>
      </w:r>
      <w:r w:rsidR="00E601F2">
        <w:t xml:space="preserve"> (1)</w:t>
      </w:r>
      <w:r w:rsidR="006168CB">
        <w:t xml:space="preserve"> nearly linear growth</w:t>
      </w:r>
      <w:r>
        <w:t xml:space="preserve"> </w:t>
      </w:r>
      <w:r w:rsidR="00E601F2">
        <w:t>from February 2014 to June 2014; (2)</w:t>
      </w:r>
      <w:r>
        <w:t xml:space="preserve"> nearly exponential growth from June 2014</w:t>
      </w:r>
      <w:r w:rsidR="006168CB">
        <w:t xml:space="preserve"> until a peak in December 2015;</w:t>
      </w:r>
      <w:r w:rsidR="00E601F2">
        <w:t xml:space="preserve"> (3)</w:t>
      </w:r>
      <w:r w:rsidR="006168CB">
        <w:t xml:space="preserve"> nearly </w:t>
      </w:r>
      <w:r>
        <w:t>exponential</w:t>
      </w:r>
      <w:r w:rsidR="006168CB">
        <w:t xml:space="preserve"> population decay until stabilization in </w:t>
      </w:r>
      <w:r w:rsidR="007C5881">
        <w:t>May 2016</w:t>
      </w:r>
      <w:r w:rsidR="006168CB">
        <w:t xml:space="preserve">; and </w:t>
      </w:r>
      <w:r w:rsidR="00E601F2">
        <w:t xml:space="preserve">(4) </w:t>
      </w:r>
      <w:r w:rsidR="006168CB">
        <w:t>nearly constant population size until the end of t</w:t>
      </w:r>
      <w:r w:rsidR="001E049A">
        <w:t>he case study in December 2016 (</w:t>
      </w:r>
      <w:r w:rsidR="00E601F2">
        <w:t xml:space="preserve">Supplemental </w:t>
      </w:r>
      <w:r w:rsidR="001E049A">
        <w:t xml:space="preserve">Figure </w:t>
      </w:r>
      <w:proofErr w:type="spellStart"/>
      <w:r w:rsidR="001E049A">
        <w:t>GG</w:t>
      </w:r>
      <w:r w:rsidR="004E0107">
        <w:t>_Pop</w:t>
      </w:r>
      <w:proofErr w:type="spellEnd"/>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AE6CD2">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"&lt;sup&gt;24&lt;/sup&gt;", "plainTextFormattedCitation" : "24", "previouslyFormattedCitation" : "&lt;sup&gt;24&lt;/sup&gt;" }, "properties" : { "noteIndex" : 0 }, "schema" : "https://github.com/citation-style-language/schema/raw/master/csl-citation.json" }</w:instrText>
      </w:r>
      <w:r w:rsidR="00E601F2">
        <w:fldChar w:fldCharType="separate"/>
      </w:r>
      <w:r w:rsidR="00380776" w:rsidRPr="00380776">
        <w:rPr>
          <w:noProof/>
          <w:vertAlign w:val="superscript"/>
        </w:rPr>
        <w:t>24</w:t>
      </w:r>
      <w:r w:rsidR="00E601F2">
        <w:fldChar w:fldCharType="end"/>
      </w:r>
      <w:r w:rsidR="00176FEC">
        <w:t xml:space="preserve"> We assumed this to be our demographic turnover rate as a conservatively high estimate</w:t>
      </w:r>
      <w:r w:rsidR="00FB1466">
        <w:t>,</w:t>
      </w:r>
      <w:r w:rsidR="00176FEC">
        <w:t xml:space="preserve"> which we show to still be slow relative to other drivers</w:t>
      </w:r>
      <w:r w:rsidR="00E601F2">
        <w:t xml:space="preserve"> of waning herd immunity</w:t>
      </w:r>
      <w:r w:rsidR="00176FEC">
        <w:t>.</w:t>
      </w:r>
      <w:r w:rsidR="00FB1466">
        <w:t xml:space="preserve"> </w:t>
      </w:r>
    </w:p>
    <w:p w14:paraId="7DB1C4DC" w14:textId="5C62ED22" w:rsidR="00CF2EF3" w:rsidRDefault="00FB1466" w:rsidP="00FB1466">
      <w:r>
        <w:br/>
        <w:t>We estimated the susceptibility profile over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in six scenarios (Table 1). In the first scenario, we used empirical measures of all four key </w:t>
      </w:r>
      <w:r w:rsidR="00E601F2">
        <w:t>drivers of waning herd immunity,</w:t>
      </w:r>
      <w:r>
        <w:t xml:space="preserve"> s</w:t>
      </w:r>
      <w:r w:rsidR="00E601F2">
        <w:t>pecifically:</w:t>
      </w:r>
      <w:r>
        <w:t xml:space="preserve"> an empirical dis</w:t>
      </w:r>
      <w:r w:rsidR="00E601F2">
        <w:t xml:space="preserve">tribution of </w:t>
      </w:r>
      <m:oMath>
        <m:r>
          <w:rPr>
            <w:rFonts w:ascii="Cambria Math" w:hAnsi="Cambria Math"/>
          </w:rPr>
          <m:t>VE</m:t>
        </m:r>
        <m:d>
          <m:dPr>
            <m:ctrlPr>
              <w:rPr>
                <w:rFonts w:ascii="Cambria Math" w:hAnsi="Cambria Math"/>
                <w:i/>
              </w:rPr>
            </m:ctrlPr>
          </m:dPr>
          <m:e>
            <m:r>
              <w:rPr>
                <w:rFonts w:ascii="Cambria Math" w:hAnsi="Cambria Math"/>
              </w:rPr>
              <m:t>t</m:t>
            </m:r>
          </m:e>
        </m:d>
      </m:oMath>
      <w:r w:rsidR="00E601F2">
        <w:t xml:space="preserve"> for Shanchol;</w:t>
      </w:r>
      <w:r>
        <w:t xml:space="preserve"> </w:t>
      </w:r>
      <w:r w:rsidR="00E601F2">
        <w:t>a</w:t>
      </w:r>
      <w:r>
        <w:t xml:space="preserve"> dynamic populat</w:t>
      </w:r>
      <w:r w:rsidR="00E601F2">
        <w:t>ion size (</w:t>
      </w:r>
      <m:oMath>
        <m:r>
          <w:rPr>
            <w:rFonts w:ascii="Cambria Math" w:hAnsi="Cambria Math"/>
          </w:rPr>
          <m:t>N</m:t>
        </m:r>
        <m:d>
          <m:dPr>
            <m:ctrlPr>
              <w:rPr>
                <w:rFonts w:ascii="Cambria Math" w:hAnsi="Cambria Math"/>
                <w:i/>
              </w:rPr>
            </m:ctrlPr>
          </m:dPr>
          <m:e>
            <m:r>
              <w:rPr>
                <w:rFonts w:ascii="Cambria Math" w:hAnsi="Cambria Math"/>
              </w:rPr>
              <m:t>t</m:t>
            </m:r>
          </m:e>
        </m:d>
      </m:oMath>
      <w:r w:rsidR="00E601F2">
        <w:t>) described above;</w:t>
      </w:r>
      <w:r>
        <w:t xml:space="preserve"> routine migration obs</w:t>
      </w:r>
      <w:r w:rsidR="00E601F2">
        <w:t>erved through entries and exits;</w:t>
      </w:r>
      <w:r>
        <w:t xml:space="preserve"> and 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t xml:space="preserve">. We compare this “observed” scenario with counterfactual scenarios </w:t>
      </w:r>
      <w:r w:rsidR="00E601F2">
        <w:t>that</w:t>
      </w:r>
      <w:r>
        <w:t xml:space="preserve"> eliminate at least one of these drivers and will therefore cause herd immunity to wane more slowly. We constructed a composite counterfactual “best case” scenario in which: </w:t>
      </w:r>
      <m:oMath>
        <m:r>
          <w:rPr>
            <w:rFonts w:ascii="Cambria Math" w:hAnsi="Cambria Math"/>
          </w:rPr>
          <m:t>VE</m:t>
        </m:r>
      </m:oMath>
      <w:r w:rsidR="00E601F2">
        <w:t xml:space="preserve"> </w:t>
      </w:r>
      <w:r>
        <w:t>was held constant at its maximum value (</w:t>
      </w:r>
      <m:oMath>
        <m:r>
          <w:rPr>
            <w:rFonts w:ascii="Cambria Math" w:hAnsi="Cambria Math"/>
          </w:rPr>
          <m:t>VE</m:t>
        </m:r>
      </m:oMath>
      <w:r>
        <w:t xml:space="preserve"> = 0.583) for all time since vaccination with Shanchol; the population size was held constant at approximately the level</w:t>
      </w:r>
      <w:r w:rsidR="00E601F2">
        <w:t xml:space="preserve"> observed during the outbreak (</w:t>
      </w:r>
      <m:oMath>
        <m:r>
          <w:rPr>
            <w:rFonts w:ascii="Cambria Math" w:hAnsi="Cambria Math"/>
          </w:rPr>
          <m:t>N</m:t>
        </m:r>
      </m:oMath>
      <w:r>
        <w:t xml:space="preserve"> = 100,000); routine m</w:t>
      </w:r>
      <w:proofErr w:type="spellStart"/>
      <w:r w:rsidR="007C5881">
        <w:t>igration</w:t>
      </w:r>
      <w:proofErr w:type="spellEnd"/>
      <w:r w:rsidR="007C5881">
        <w:t xml:space="preserve"> rates were set to zero;</w:t>
      </w:r>
      <w:r>
        <w:t xml:space="preserve"> and birth/death rates set to zero. To isolate the impact of each driver</w:t>
      </w:r>
      <w:r w:rsidR="00CF2EF3">
        <w:t xml:space="preserve"> of waning herd immunity, we simulated </w:t>
      </w:r>
      <w:proofErr w:type="spellStart"/>
      <w:r w:rsidR="00CF2EF3">
        <w:t>univariate</w:t>
      </w:r>
      <w:proofErr w:type="spellEnd"/>
      <w:r w:rsidR="00CF2EF3">
        <w:t xml:space="preserve"> counterfactual scenarios under which one driver is set to the “observed” condition while the other three were held at the counterfactual condition (Table 1).</w:t>
      </w:r>
    </w:p>
    <w:p w14:paraId="238E0059" w14:textId="77777777" w:rsidR="00FB1466" w:rsidRDefault="00FB1466" w:rsidP="00FB1466"/>
    <w:p w14:paraId="62A433B5" w14:textId="3C914200" w:rsidR="009D0774" w:rsidRPr="009D0774" w:rsidRDefault="00FB1466" w:rsidP="00286A28">
      <w:r>
        <w:t>Next, we create a measure of attributable percent to assess the relative strength of each driver of waning herd immunity in this case study. We c</w:t>
      </w:r>
      <w:r w:rsidR="009D0774">
        <w:t xml:space="preserve">alculate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7C5881">
        <w:t xml:space="preserve"> </w:t>
      </w:r>
      <w:r w:rsidR="009D0774">
        <w:t>on Oct 16, 2016 in</w:t>
      </w:r>
      <w:r w:rsidR="00286A28">
        <w:t xml:space="preserve"> each </w:t>
      </w:r>
      <w:proofErr w:type="spellStart"/>
      <w:r w:rsidR="00286A28">
        <w:t>uni</w:t>
      </w:r>
      <w:r w:rsidR="007C5881">
        <w:t>variate</w:t>
      </w:r>
      <w:proofErr w:type="spellEnd"/>
      <w:r w:rsidR="007C5881">
        <w:t xml:space="preserve"> counterfactual scenario </w:t>
      </w:r>
      <m:oMath>
        <m:r>
          <w:rPr>
            <w:rFonts w:ascii="Cambria Math" w:hAnsi="Cambria Math"/>
          </w:rPr>
          <m:t>i</m:t>
        </m:r>
      </m:oMath>
      <w:r w:rsidR="00286A28">
        <w:t xml:space="preserve"> and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xml:space="preserve"> for the composite </w:t>
      </w:r>
      <w:r w:rsidR="009D0774">
        <w:t>counter</w:t>
      </w:r>
      <w:r w:rsidR="00CF2EF3">
        <w:t xml:space="preserve">factual </w:t>
      </w:r>
      <w:r w:rsidR="0047120A">
        <w:t>scenario</w:t>
      </w:r>
      <w:r w:rsidR="009D0774">
        <w:t>.</w:t>
      </w:r>
      <w:r w:rsidR="00286A28">
        <w:t xml:space="preserve"> </w:t>
      </w:r>
      <w:r w:rsidR="009D0774">
        <w:t xml:space="preserve">For each </w:t>
      </w:r>
      <w:proofErr w:type="spellStart"/>
      <w:r w:rsidR="009D0774">
        <w:t>univariate</w:t>
      </w:r>
      <w:proofErr w:type="spellEnd"/>
      <w:r w:rsidR="009D0774">
        <w:t xml:space="preserve"> scenario</w:t>
      </w:r>
      <w:r w:rsidR="00286A28">
        <w:t xml:space="preserve"> </w:t>
      </w:r>
      <m:oMath>
        <m:r>
          <w:rPr>
            <w:rFonts w:ascii="Cambria Math" w:hAnsi="Cambria Math"/>
          </w:rPr>
          <m:t>i</m:t>
        </m:r>
      </m:oMath>
      <w:r w:rsidR="009D0774">
        <w:t xml:space="preserve">, </w:t>
      </w:r>
      <w:r w:rsidR="00286A28">
        <w:t xml:space="preserve">we </w:t>
      </w:r>
      <w:r w:rsidR="009D0774">
        <w:t>calculate the difference</w:t>
      </w:r>
      <w:r w:rsidR="006168CB">
        <w:t xml:space="preserv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Finally, we c</w:t>
      </w:r>
      <w:proofErr w:type="spellStart"/>
      <w:r w:rsidR="006168CB">
        <w:t>alculate</w:t>
      </w:r>
      <w:proofErr w:type="spellEnd"/>
      <w:r w:rsidR="006168CB">
        <w:t xml:space="preserve"> the percent of waning herd immunity attributable to each driver</w:t>
      </w:r>
      <w:r w:rsidR="007C5881">
        <w:t xml:space="preserve"> </w:t>
      </w: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rsidR="007C5881">
        <w:t>.</w:t>
      </w:r>
    </w:p>
    <w:p w14:paraId="450CC59E" w14:textId="77777777" w:rsidR="00BE6A6A" w:rsidRDefault="00BE6A6A" w:rsidP="005C7B32"/>
    <w:p w14:paraId="11786E70" w14:textId="52DC3CFD" w:rsidR="006B582E" w:rsidRPr="006B582E" w:rsidRDefault="006B582E" w:rsidP="005C7B32">
      <w:commentRangeStart w:id="0"/>
      <w:r>
        <w:rPr>
          <w:i/>
        </w:rPr>
        <w:t>Disease Model Parameterization</w:t>
      </w:r>
      <w:commentRangeEnd w:id="0"/>
      <w:r>
        <w:rPr>
          <w:rStyle w:val="CommentReference"/>
        </w:rPr>
        <w:commentReference w:id="0"/>
      </w:r>
    </w:p>
    <w:p w14:paraId="61167686" w14:textId="38BDA700" w:rsidR="004737E0" w:rsidRDefault="00BE6A6A" w:rsidP="005C7B32">
      <w:r>
        <w:t>During simulations with disease transmission, we utilize compartments for individuals who are exposed but not yet infect</w:t>
      </w:r>
      <w:r w:rsidR="007C5881">
        <w:t>ious (</w:t>
      </w:r>
      <m:oMath>
        <m:r>
          <w:rPr>
            <w:rFonts w:ascii="Cambria Math" w:hAnsi="Cambria Math"/>
          </w:rPr>
          <m:t>E</m:t>
        </m:r>
      </m:oMath>
      <w:r w:rsidR="007C5881">
        <w:t>), infectious (</w:t>
      </w:r>
      <m:oMath>
        <m:r>
          <w:rPr>
            <w:rFonts w:ascii="Cambria Math" w:hAnsi="Cambria Math"/>
          </w:rPr>
          <m:t>I</m:t>
        </m:r>
      </m:oMath>
      <w:r>
        <w:t>), and recovered and immune (</w:t>
      </w:r>
      <m:oMath>
        <m:r>
          <w:rPr>
            <w:rFonts w:ascii="Cambria Math" w:hAnsi="Cambria Math"/>
          </w:rPr>
          <m:t>R</m:t>
        </m:r>
      </m:oMath>
      <w:r>
        <w:t xml:space="preserve">) (Figure CC).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w:t>
      </w:r>
      <w:r w:rsidR="00B62E25">
        <w:t xml:space="preserve"> the incubation period</w:t>
      </w:r>
      <w:r>
        <w:t xml:space="preserve"> </w:t>
      </w:r>
      <w:r w:rsidR="00B62E25">
        <w:t>(</w:t>
      </w:r>
      <m:oMath>
        <m:r>
          <w:rPr>
            <w:rFonts w:ascii="Cambria Math" w:hAnsi="Cambria Math"/>
          </w:rPr>
          <m:t>E→I</m:t>
        </m:r>
      </m:oMath>
      <w:r w:rsidR="00B62E25">
        <w:t>)</w:t>
      </w:r>
      <w:r>
        <w:t>;</w:t>
      </w:r>
      <w:r w:rsidR="00BE2545">
        <w:fldChar w:fldCharType="begin" w:fldLock="1"/>
      </w:r>
      <w:r w:rsidR="00AE6CD2">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"&lt;sup&gt;25&lt;/sup&gt;", "plainTextFormattedCitation" : "25", "previouslyFormattedCitation" : "&lt;sup&gt;25&lt;/sup&gt;" }, "properties" : { "noteIndex" : 0 }, "schema" : "https://github.com/citation-style-language/schema/raw/master/csl-citation.json" }</w:instrText>
      </w:r>
      <w:r w:rsidR="00BE2545">
        <w:fldChar w:fldCharType="separate"/>
      </w:r>
      <w:r w:rsidR="00380776" w:rsidRPr="00380776">
        <w:rPr>
          <w:noProof/>
          <w:vertAlign w:val="superscript"/>
        </w:rPr>
        <w:t>25</w:t>
      </w:r>
      <w:r w:rsidR="00BE2545">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w:t>
      </w:r>
      <w:r w:rsidR="00B62E25">
        <w:t>the duration of infectiousness (</w:t>
      </w:r>
      <m:oMath>
        <m:r>
          <w:rPr>
            <w:rFonts w:ascii="Cambria Math" w:hAnsi="Cambria Math"/>
          </w:rPr>
          <m:t>I→R</m:t>
        </m:r>
      </m:oMath>
      <w:r w:rsidR="00B62E25">
        <w:t>)</w:t>
      </w:r>
      <w:r>
        <w:t>;</w:t>
      </w:r>
      <w:r w:rsidR="00046565">
        <w:fldChar w:fldCharType="begin" w:fldLock="1"/>
      </w:r>
      <w:r w:rsidR="00AE6CD2">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"&lt;sup&gt;26,27&lt;/sup&gt;", "plainTextFormattedCitation" : "26,27", "previouslyFormattedCitation" : "&lt;sup&gt;26,27&lt;/sup&gt;" }, "properties" : { "noteIndex" : 0 }, "schema" : "https://github.com/citation-style-language/schema/raw/master/csl-citation.json" }</w:instrText>
      </w:r>
      <w:r w:rsidR="00046565">
        <w:fldChar w:fldCharType="separate"/>
      </w:r>
      <w:r w:rsidR="00380776" w:rsidRPr="00380776">
        <w:rPr>
          <w:noProof/>
          <w:vertAlign w:val="superscript"/>
        </w:rPr>
        <w:t>26,27</w:t>
      </w:r>
      <w:r w:rsidR="00046565">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w:t>
      </w:r>
      <w:r w:rsidR="00B62E25">
        <w:t>the duration of natural immunity (</w:t>
      </w:r>
      <m:oMath>
        <m:r>
          <w:rPr>
            <w:rFonts w:ascii="Cambria Math" w:hAnsi="Cambria Math"/>
          </w:rPr>
          <m:t>R→S</m:t>
        </m:r>
      </m:oMath>
      <w:r w:rsidR="00B62E25">
        <w:t>).</w:t>
      </w:r>
      <w:r w:rsidR="00046565">
        <w:fldChar w:fldCharType="begin" w:fldLock="1"/>
      </w:r>
      <w:r w:rsidR="00AE6CD2">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"&lt;sup&gt;28\u201330&lt;/sup&gt;", "plainTextFormattedCitation" : "28\u201330", "previouslyFormattedCitation" : "&lt;sup&gt;28\u201330&lt;/sup&gt;" }, "properties" : { "noteIndex" : 0 }, "schema" : "https://github.com/citation-style-language/schema/raw/master/csl-citation.json" }</w:instrText>
      </w:r>
      <w:r w:rsidR="00046565">
        <w:fldChar w:fldCharType="separate"/>
      </w:r>
      <w:r w:rsidR="00380776" w:rsidRPr="00380776">
        <w:rPr>
          <w:noProof/>
          <w:vertAlign w:val="superscript"/>
        </w:rPr>
        <w:t>28–30</w:t>
      </w:r>
      <w:r w:rsidR="00046565">
        <w:fldChar w:fldCharType="end"/>
      </w:r>
      <w:r w:rsidR="00B62E25">
        <w:t xml:space="preserve"> Infection of susceptible individuals (</w:t>
      </w:r>
      <m:oMath>
        <m:r>
          <w:rPr>
            <w:rFonts w:ascii="Cambria Math" w:hAnsi="Cambria Math"/>
          </w:rPr>
          <m:t>S→I</m:t>
        </m:r>
      </m:oMath>
      <w:r w:rsidR="00B62E25">
        <w:t>)</w:t>
      </w:r>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w:t>
      </w:r>
      <w:r w:rsidR="00B62E25">
        <w:rPr>
          <w:rFonts w:ascii="Cambria" w:hAnsi="Cambria"/>
        </w:rPr>
        <w:t xml:space="preserve"> </w:t>
      </w:r>
      <w:r w:rsidR="002E6C5E">
        <w:rPr>
          <w:rFonts w:ascii="Cambria" w:hAnsi="Cambria"/>
        </w:rPr>
        <w:t>The force of infection on</w:t>
      </w:r>
      <w:r w:rsidR="00B62E25">
        <w:rPr>
          <w:rFonts w:ascii="Cambria" w:hAnsi="Cambria"/>
        </w:rPr>
        <w:t xml:space="preserve">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sidR="00B62E25">
        <w:rPr>
          <w:rFonts w:ascii="Cambria" w:hAnsi="Cambria"/>
        </w:rPr>
        <w:t xml:space="preserve">) is scaled </w:t>
      </w:r>
      <w:r w:rsidR="002E6C5E">
        <w:rPr>
          <w:rFonts w:ascii="Cambria" w:hAnsi="Cambria"/>
        </w:rPr>
        <w:t xml:space="preserve">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sidR="002E6C5E">
        <w:rPr>
          <w:rFonts w:ascii="Cambria" w:hAnsi="Cambria"/>
        </w:rPr>
        <w:t>.</w:t>
      </w:r>
    </w:p>
    <w:p w14:paraId="57A7BED4" w14:textId="77777777" w:rsidR="00F539C6" w:rsidRDefault="00F539C6"/>
    <w:p w14:paraId="2623DBFA" w14:textId="77777777" w:rsidR="00BE2545" w:rsidRDefault="00BE2545">
      <w:pPr>
        <w:rPr>
          <w:b/>
        </w:rPr>
      </w:pPr>
      <w:r>
        <w:rPr>
          <w:b/>
        </w:rPr>
        <w:br w:type="page"/>
      </w:r>
    </w:p>
    <w:p w14:paraId="59509F89" w14:textId="7019BAE5" w:rsidR="00F539C6" w:rsidRPr="001850C4" w:rsidRDefault="00F539C6">
      <w:pPr>
        <w:rPr>
          <w:b/>
        </w:rPr>
      </w:pPr>
      <w:r w:rsidRPr="001850C4">
        <w:rPr>
          <w:b/>
        </w:rPr>
        <w:lastRenderedPageBreak/>
        <w:t>RESULTS</w:t>
      </w:r>
    </w:p>
    <w:p w14:paraId="2877BFB4" w14:textId="77777777" w:rsidR="00463D05" w:rsidRDefault="00463D05"/>
    <w:p w14:paraId="2625FAFD" w14:textId="1A867275" w:rsidR="006B582E" w:rsidRPr="006B582E" w:rsidRDefault="00BE2545">
      <w:pPr>
        <w:rPr>
          <w:i/>
        </w:rPr>
      </w:pPr>
      <w:r>
        <w:rPr>
          <w:i/>
        </w:rPr>
        <w:t>Herd p</w:t>
      </w:r>
      <w:r w:rsidR="006B582E">
        <w:rPr>
          <w:i/>
        </w:rPr>
        <w:t>rotection</w:t>
      </w:r>
      <w:r>
        <w:rPr>
          <w:i/>
        </w:rPr>
        <w:t xml:space="preserve"> depends on VE and migration</w:t>
      </w:r>
    </w:p>
    <w:p w14:paraId="27FD66C6" w14:textId="0056E53A" w:rsidR="00044C95"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BB6260">
        <w:t xml:space="preserve">(Figure </w:t>
      </w:r>
      <w:r w:rsidR="00C345A8">
        <w:t>AA</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w:t>
      </w:r>
      <w:r w:rsidR="00BE2545">
        <w:t xml:space="preserve">demographic turnover through births and </w:t>
      </w:r>
      <w:r w:rsidR="00575CD5">
        <w:t xml:space="preserve">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(Supplemental Figure AA)</w:t>
      </w:r>
      <w:r w:rsidR="008B07D1">
        <w:t>.</w:t>
      </w:r>
    </w:p>
    <w:p w14:paraId="540A596A" w14:textId="77777777" w:rsidR="00BB6260" w:rsidRDefault="00BB6260" w:rsidP="00CF37BB"/>
    <w:p w14:paraId="41490E58" w14:textId="7639F7B1" w:rsidR="006B582E" w:rsidRPr="00AC44CF" w:rsidRDefault="00936B69" w:rsidP="00CF37BB">
      <w:pPr>
        <w:rPr>
          <w:i/>
        </w:rPr>
      </w:pPr>
      <w:r>
        <w:rPr>
          <w:i/>
        </w:rPr>
        <w:t>Outbreak probability changes over time</w:t>
      </w:r>
      <w:r w:rsidR="00AC44CF">
        <w:rPr>
          <w:i/>
        </w:rPr>
        <w:t xml:space="preserve"> with </w:t>
      </w:r>
      <w:proofErr w:type="gramStart"/>
      <w:r w:rsidR="00AC44CF">
        <w:rPr>
          <w:i/>
        </w:rPr>
        <w:t>R</w:t>
      </w:r>
      <w:r w:rsidR="00AC44CF">
        <w:rPr>
          <w:i/>
          <w:vertAlign w:val="subscript"/>
        </w:rPr>
        <w:t>e</w:t>
      </w:r>
      <w:r w:rsidR="00AC44CF">
        <w:rPr>
          <w:i/>
        </w:rPr>
        <w:t>(</w:t>
      </w:r>
      <w:proofErr w:type="gramEnd"/>
      <w:r w:rsidR="00AC44CF">
        <w:rPr>
          <w:i/>
        </w:rPr>
        <w:t>t)</w:t>
      </w:r>
    </w:p>
    <w:p w14:paraId="2C1518C4" w14:textId="0B339581"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AE6CD2">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"&lt;sup&gt;31&lt;/sup&gt;", "plainTextFormattedCitation" : "31", "previouslyFormattedCitation" : "&lt;sup&gt;31&lt;/sup&gt;" }, "properties" : { "noteIndex" : 0 }, "schema" : "https://github.com/citation-style-language/schema/raw/master/csl-citation.json" }</w:instrText>
      </w:r>
      <w:r w:rsidR="00046565">
        <w:fldChar w:fldCharType="separate"/>
      </w:r>
      <w:r w:rsidR="00380776" w:rsidRPr="00380776">
        <w:rPr>
          <w:noProof/>
          <w:vertAlign w:val="superscript"/>
        </w:rPr>
        <w:t>31</w:t>
      </w:r>
      <w:r w:rsidR="00046565">
        <w:fldChar w:fldCharType="end"/>
      </w:r>
      <w:r>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 xml:space="preserve">tal grey line, </w:t>
      </w:r>
      <w:r w:rsidR="004C3907">
        <w:t>which corresponds to R</w:t>
      </w:r>
      <w:r w:rsidR="004C3907">
        <w:rPr>
          <w:vertAlign w:val="subscript"/>
        </w:rPr>
        <w:t>e</w:t>
      </w:r>
      <w:r w:rsidR="004C3907">
        <w:t xml:space="preserve"> = 1 and, consequently, a </w:t>
      </w:r>
      <w:r w:rsidR="00611687">
        <w:t xml:space="preserve">24.6% </w:t>
      </w:r>
      <w:r w:rsidR="004C3907">
        <w:t>chance</w:t>
      </w:r>
      <w:r w:rsidR="00611687">
        <w:t xml:space="preserve"> of an outbreak</w:t>
      </w:r>
      <w:r w:rsidR="004C3907">
        <w:t xml:space="preserve"> </w:t>
      </w:r>
      <m:oMath>
        <m:r>
          <w:rPr>
            <w:rFonts w:ascii="Cambria Math" w:hAnsi="Cambria Math"/>
          </w:rPr>
          <m:t>≥</m:t>
        </m:r>
      </m:oMath>
      <w:r w:rsidR="00611687">
        <w:t>10 cases</w:t>
      </w:r>
      <w:r w:rsidR="004C3907">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p>
    <w:p w14:paraId="238ECFE3" w14:textId="77777777" w:rsidR="003D3632" w:rsidRDefault="003D3632" w:rsidP="00CF37BB"/>
    <w:p w14:paraId="055D8E9E" w14:textId="57F178FA" w:rsidR="006B582E" w:rsidRPr="00AC44CF" w:rsidRDefault="00AC44CF" w:rsidP="00CF37BB">
      <w:pPr>
        <w:rPr>
          <w:i/>
        </w:rPr>
      </w:pPr>
      <w:r>
        <w:rPr>
          <w:i/>
        </w:rPr>
        <w:t>Herd i</w:t>
      </w:r>
      <w:r w:rsidR="006B582E">
        <w:rPr>
          <w:i/>
        </w:rPr>
        <w:t>mmunity</w:t>
      </w:r>
      <w:r>
        <w:rPr>
          <w:i/>
        </w:rPr>
        <w:t xml:space="preserve"> requires sufficient VC that increases with R</w:t>
      </w:r>
      <w:r>
        <w:rPr>
          <w:i/>
          <w:vertAlign w:val="subscript"/>
        </w:rPr>
        <w:t>0</w:t>
      </w:r>
    </w:p>
    <w:p w14:paraId="1115B56C" w14:textId="47E99AE3" w:rsidR="003D3632" w:rsidRDefault="003D3632" w:rsidP="003D3632">
      <w:commentRangeStart w:id="1"/>
      <w:r>
        <w:t xml:space="preserve">Of interest to policy-makers is not just the duration of any herd protection, but specifically the DHI. Figure VC shows the strong positive dependence of DHI on high initial </w:t>
      </w:r>
      <w:r w:rsidR="00AC44CF">
        <w:t>VC</w:t>
      </w:r>
      <w:r>
        <w:t xml:space="preserve"> and low R</w:t>
      </w:r>
      <w:r>
        <w:softHyphen/>
      </w:r>
      <w:r>
        <w:rPr>
          <w:vertAlign w:val="subscript"/>
        </w:rPr>
        <w:t>0</w:t>
      </w:r>
      <w:r>
        <w:rPr>
          <w:vertAlign w:val="subscript"/>
        </w:rPr>
        <w:softHyphen/>
      </w:r>
      <w:r>
        <w:rPr>
          <w:vertAlign w:val="subscript"/>
        </w:rPr>
        <w:softHyphen/>
      </w:r>
      <w:r>
        <w:t xml:space="preserve">. DHI is also shortened in the presence of increasing migration and birth/death rates (Supplemental Information TBD). </w:t>
      </w:r>
      <w:commentRangeEnd w:id="1"/>
      <w:r w:rsidR="00DD3003">
        <w:rPr>
          <w:rStyle w:val="CommentReference"/>
        </w:rPr>
        <w:commentReference w:id="1"/>
      </w:r>
    </w:p>
    <w:p w14:paraId="37C3474B" w14:textId="77777777" w:rsidR="00F539C6" w:rsidRDefault="00F539C6"/>
    <w:p w14:paraId="40699E4C" w14:textId="04EB75E7" w:rsidR="006B582E" w:rsidRPr="006B582E" w:rsidRDefault="00AC44CF">
      <w:pPr>
        <w:rPr>
          <w:i/>
        </w:rPr>
      </w:pPr>
      <w:r>
        <w:rPr>
          <w:i/>
        </w:rPr>
        <w:t>Optimizing r</w:t>
      </w:r>
      <w:r w:rsidR="006B582E">
        <w:rPr>
          <w:i/>
        </w:rPr>
        <w:t>evaccination</w:t>
      </w:r>
      <w:r>
        <w:rPr>
          <w:i/>
        </w:rPr>
        <w:t xml:space="preserve"> with</w:t>
      </w:r>
      <w:r w:rsidR="006B582E">
        <w:rPr>
          <w:i/>
        </w:rPr>
        <w:t xml:space="preserve"> “Mass then Maintain” strategies</w:t>
      </w:r>
    </w:p>
    <w:p w14:paraId="5AD8BA13" w14:textId="38EEADDA"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AC44CF">
        <w:t xml:space="preserve"> (Figure FF)</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w:t>
      </w:r>
      <w:r w:rsidR="006D6B6D">
        <w:lastRenderedPageBreak/>
        <w:t>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w:t>
      </w:r>
      <w:r w:rsidR="003B6D69">
        <w:t>rough “Mass then Maintain”, and</w:t>
      </w:r>
      <w:r w:rsidR="003B3505">
        <w:t xml:space="preserve"> </w:t>
      </w:r>
      <w:r w:rsidR="00E3037F">
        <w:t>4.0 years through routine v</w:t>
      </w:r>
      <w:r w:rsidR="00B23DD8">
        <w:t>accination</w:t>
      </w:r>
      <w:r w:rsidR="00E86EA7">
        <w:t xml:space="preserve"> </w:t>
      </w:r>
      <w:r w:rsidR="009E526A">
        <w:t xml:space="preserve">(Figure </w:t>
      </w:r>
      <w:r w:rsidR="00E86EA7">
        <w:t>FF</w:t>
      </w:r>
      <w:r w:rsidR="009E526A">
        <w:t>)</w:t>
      </w:r>
      <w:r w:rsidR="00493178">
        <w:t>.</w:t>
      </w:r>
      <w:r w:rsidR="00077B6C">
        <w:t xml:space="preserve"> </w:t>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4B4F63B2" w14:textId="574BC3C1" w:rsidR="00966387" w:rsidRDefault="004203D1">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OCV impact, there is a tension between </w:t>
      </w:r>
      <w:r w:rsidR="00167FD3">
        <w:t xml:space="preserve">targeting </w:t>
      </w:r>
      <w:r w:rsidR="00C04090">
        <w:t xml:space="preserve">remote </w:t>
      </w:r>
      <w:r w:rsidR="00167FD3">
        <w:t>communities</w:t>
      </w:r>
      <w:r w:rsidR="00C04090">
        <w:t xml:space="preserve">, where OCV protection </w:t>
      </w:r>
      <w:r w:rsidR="002C24BA">
        <w:t>is</w:t>
      </w:r>
      <w:r w:rsidR="00C04090">
        <w:t xml:space="preserve"> long-lasting</w:t>
      </w:r>
      <w:r w:rsidR="002C24BA">
        <w:t xml:space="preserve"> but cholera introduction is rare</w:t>
      </w:r>
      <w:r w:rsidR="00C04090">
        <w:t>, and highly mobile communities, where the opposite is expected.</w:t>
      </w:r>
      <w:r w:rsidR="000E5D49">
        <w:t xml:space="preserve"> </w:t>
      </w:r>
      <w:r w:rsidR="00551453">
        <w:t xml:space="preserve">Figure DD </w:t>
      </w:r>
      <w:r w:rsidR="000E5D49">
        <w:t>show</w:t>
      </w:r>
      <w:r w:rsidR="00551453">
        <w:t>s</w:t>
      </w:r>
      <w:r w:rsidR="00456D57">
        <w:t xml:space="preserve"> that communities with intermediate levels of connectedness 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501B43">
        <w:t xml:space="preserve"> of Figure DD,</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AE6CD2">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"&lt;sup&gt;10&lt;/sup&gt;", "plainTextFormattedCitation" : "10", "previouslyFormattedCitation" : "&lt;sup&gt;10&lt;/sup&gt;" }, "properties" : { "noteIndex" : 0 }, "schema" : "https://github.com/citation-style-language/schema/raw/master/csl-citation.json" }</w:instrText>
      </w:r>
      <w:r w:rsidR="00046565">
        <w:fldChar w:fldCharType="separate"/>
      </w:r>
      <w:r w:rsidR="00380776" w:rsidRPr="00380776">
        <w:rPr>
          <w:noProof/>
          <w:vertAlign w:val="superscript"/>
        </w:rPr>
        <w:t>10</w:t>
      </w:r>
      <w:r w:rsidR="00046565">
        <w:fldChar w:fldCharType="end"/>
      </w:r>
      <w:r w:rsidR="00503E17">
        <w:t xml:space="preserve"> </w:t>
      </w:r>
    </w:p>
    <w:p w14:paraId="6A781B34" w14:textId="77777777" w:rsidR="00966387" w:rsidRDefault="00966387"/>
    <w:p w14:paraId="0642283E" w14:textId="22160BD1" w:rsidR="00966387" w:rsidRDefault="00D87EEC">
      <w:pPr>
        <w:rPr>
          <w:i/>
        </w:rPr>
      </w:pPr>
      <w:r>
        <w:rPr>
          <w:i/>
        </w:rPr>
        <w:t>Case Study</w:t>
      </w:r>
      <w:r w:rsidR="00966387">
        <w:rPr>
          <w:i/>
        </w:rPr>
        <w:t xml:space="preserve">: </w:t>
      </w:r>
      <w:proofErr w:type="spellStart"/>
      <w:r w:rsidR="00966387">
        <w:rPr>
          <w:i/>
        </w:rPr>
        <w:t>Bentiu</w:t>
      </w:r>
      <w:proofErr w:type="spellEnd"/>
      <w:r w:rsidR="00966387">
        <w:rPr>
          <w:i/>
        </w:rPr>
        <w:t xml:space="preserve"> </w:t>
      </w:r>
      <w:proofErr w:type="spellStart"/>
      <w:r w:rsidR="00966387">
        <w:rPr>
          <w:i/>
        </w:rPr>
        <w:t>PoC</w:t>
      </w:r>
      <w:proofErr w:type="spellEnd"/>
      <w:r>
        <w:rPr>
          <w:i/>
        </w:rPr>
        <w:t xml:space="preserve"> Camp</w:t>
      </w:r>
    </w:p>
    <w:p w14:paraId="5CCF5D4C" w14:textId="77F4916D" w:rsidR="00520DD4" w:rsidRDefault="009B1E00" w:rsidP="00520DD4">
      <w:r>
        <w:t xml:space="preserve">The </w:t>
      </w:r>
      <w:proofErr w:type="spellStart"/>
      <w:r>
        <w:t>Bentiu</w:t>
      </w:r>
      <w:proofErr w:type="spellEnd"/>
      <w:r>
        <w:t xml:space="preserve"> </w:t>
      </w:r>
      <w:proofErr w:type="spellStart"/>
      <w:r>
        <w:t>PoC</w:t>
      </w:r>
      <w:proofErr w:type="spellEnd"/>
      <w:r>
        <w:t xml:space="preserve"> Camp grew from 4</w:t>
      </w:r>
      <w:r w:rsidR="00DA6BB9">
        <w:t>,</w:t>
      </w:r>
      <w:r>
        <w:t xml:space="preserve">291 occupants in February 2014 to a peak of 140,101 in December 2015 and then converged to approximately 100,000 in </w:t>
      </w:r>
      <w:r w:rsidR="007C5881">
        <w:t>May</w:t>
      </w:r>
      <w:r>
        <w:t xml:space="preserve"> 2016 (Figure GG panel A). Two large OCV campaigns were performed using enough vaccines to achieve coverage of 82% in July 2014 and 90% in June 2015. We</w:t>
      </w:r>
      <w:r w:rsidR="00966387">
        <w:t xml:space="preserve"> </w:t>
      </w:r>
      <w:r>
        <w:t>estimate</w:t>
      </w:r>
      <w:r w:rsidR="00966387">
        <w:t xml:space="preserve"> the population fraction susceptible </w:t>
      </w:r>
      <w:r w:rsidR="00104461">
        <w:t>increased</w:t>
      </w:r>
      <w:r w:rsidR="00966387">
        <w:t xml:space="preserve"> to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=0.78</m:t>
        </m:r>
      </m:oMath>
      <w:r w:rsidR="00966387">
        <w:t xml:space="preserve"> by October 16, 2016, at which time the first cholera case of the outbreak was detected (Figure GG panel B).</w:t>
      </w:r>
      <w:r>
        <w:t xml:space="preserve"> </w:t>
      </w:r>
      <w:r w:rsidR="00966387">
        <w:t xml:space="preserve">For example, </w:t>
      </w:r>
      <w:r w:rsidR="00104461">
        <w:t>if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=1.5</w:t>
      </w:r>
      <w:r>
        <w:t xml:space="preserve">, then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66387">
        <w:t xml:space="preserve"> on October 16, 2016 </w:t>
      </w:r>
      <w:r>
        <w:t>would</w:t>
      </w:r>
      <w:r w:rsidR="00966387">
        <w:t xml:space="preserve"> </w:t>
      </w:r>
      <w:r w:rsidR="00104461">
        <w:t>equal</w:t>
      </w:r>
      <w:r w:rsidR="00966387">
        <w:t xml:space="preserve"> 1.18,</w:t>
      </w:r>
      <w:r>
        <w:t xml:space="preserve"> which</w:t>
      </w:r>
      <w:r w:rsidR="00966387">
        <w:t xml:space="preserve"> </w:t>
      </w:r>
      <w:r>
        <w:t>corresponds</w:t>
      </w:r>
      <w:r w:rsidR="00966387">
        <w:t xml:space="preserve"> to a </w:t>
      </w:r>
      <w:r w:rsidR="00BF150A">
        <w:t xml:space="preserve">sizeable </w:t>
      </w:r>
      <w:r w:rsidR="00966387">
        <w:t>30% probability that the introduction of a single cholera case would spark an outbreak of at least 50 cases (Figure GG panel C).</w:t>
      </w:r>
      <w:r w:rsidR="00BF150A">
        <w:t xml:space="preserve"> To assess what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F150A">
        <w:t xml:space="preserve"> may be plausible in this setting, we estimated the time-dependent reproductive number from the observed case data using multiple retrospective methods. We found that </w:t>
      </w:r>
      <w:r w:rsidR="00520DD4">
        <w:t xml:space="preserve">a mean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441D19">
        <w:t xml:space="preserve"> of up to 3</w:t>
      </w:r>
      <w:r w:rsidR="00BF150A">
        <w:t xml:space="preserve"> </w:t>
      </w:r>
      <w:r w:rsidR="00520DD4">
        <w:t>was</w:t>
      </w:r>
      <w:r w:rsidR="00BF150A">
        <w:t xml:space="preserve"> consistent with these data (Supplemental Figure </w:t>
      </w:r>
      <w:proofErr w:type="spellStart"/>
      <w:r w:rsidR="00BF150A">
        <w:t>GG</w:t>
      </w:r>
      <w:r w:rsidR="00441D19">
        <w:t>_Rt</w:t>
      </w:r>
      <w:proofErr w:type="spellEnd"/>
      <w:r w:rsidR="00BF150A">
        <w:t>).</w:t>
      </w:r>
    </w:p>
    <w:p w14:paraId="7ECABF59" w14:textId="77777777" w:rsidR="00520DD4" w:rsidRDefault="00520DD4" w:rsidP="00520DD4"/>
    <w:p w14:paraId="4206D01F" w14:textId="132EA68A" w:rsidR="00624556" w:rsidRPr="00DF6B9D" w:rsidRDefault="00100825" w:rsidP="00520DD4">
      <w:r>
        <w:t xml:space="preserve">The drivers of waning herd immunity in this population, from strongest to weakest, were population growth </w:t>
      </w:r>
      <w:proofErr w:type="gramStart"/>
      <m:oMath>
        <m:r>
          <w:rPr>
            <w:rFonts w:ascii="Cambria Math" w:hAnsi="Cambria Math"/>
          </w:rPr>
          <m:t>N(</m:t>
        </m:r>
        <w:proofErr w:type="gramEnd"/>
        <m:r>
          <w:rPr>
            <w:rFonts w:ascii="Cambria Math" w:hAnsi="Cambria Math"/>
          </w:rPr>
          <m:t>t)</m:t>
        </m:r>
      </m:oMath>
      <w:r>
        <w:t>,</w:t>
      </w:r>
      <w:r w:rsidR="009D0774">
        <w:t xml:space="preserve"> routine migration, waning </w:t>
      </w:r>
      <m:oMath>
        <m:r>
          <w:rPr>
            <w:rFonts w:ascii="Cambria Math" w:hAnsi="Cambria Math"/>
          </w:rPr>
          <m:t>VE(t)</m:t>
        </m:r>
      </m:oMath>
      <w:r>
        <w:t>, 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=0.46</m:t>
        </m:r>
      </m:oMath>
      <w:r>
        <w:t xml:space="preserve">, which would render </w:t>
      </w:r>
      <w:r w:rsidR="00DF6B9D">
        <w:t xml:space="preserve">herd immunity even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DF6B9D">
        <w:t>.</w:t>
      </w:r>
    </w:p>
    <w:p w14:paraId="2B7FCEB2" w14:textId="77777777" w:rsidR="00403CC2" w:rsidRDefault="00403CC2">
      <w:pPr>
        <w:rPr>
          <w:b/>
        </w:rPr>
      </w:pPr>
      <w:r>
        <w:rPr>
          <w:b/>
        </w:rPr>
        <w:br w:type="page"/>
      </w:r>
    </w:p>
    <w:p w14:paraId="07742BCA" w14:textId="247EB202" w:rsidR="00403CC2" w:rsidRPr="00403CC2" w:rsidRDefault="00403CC2" w:rsidP="00403CC2">
      <w:pPr>
        <w:rPr>
          <w:b/>
        </w:rPr>
      </w:pPr>
      <w:r w:rsidRPr="00403CC2">
        <w:rPr>
          <w:b/>
        </w:rPr>
        <w:lastRenderedPageBreak/>
        <w:t xml:space="preserve">Table 1. Drivers of waning herd immunity in </w:t>
      </w:r>
      <w:proofErr w:type="spellStart"/>
      <w:r w:rsidRPr="00403CC2">
        <w:rPr>
          <w:b/>
        </w:rPr>
        <w:t>Bentiu</w:t>
      </w:r>
      <w:proofErr w:type="spellEnd"/>
      <w:r w:rsidRPr="00403CC2">
        <w:rPr>
          <w:b/>
        </w:rPr>
        <w:t xml:space="preserve"> </w:t>
      </w:r>
      <w:proofErr w:type="spellStart"/>
      <w:r w:rsidRPr="00403CC2">
        <w:rPr>
          <w:b/>
        </w:rPr>
        <w:t>PoC</w:t>
      </w:r>
      <w:proofErr w:type="spellEnd"/>
    </w:p>
    <w:tbl>
      <w:tblPr>
        <w:tblStyle w:val="TableGrid"/>
        <w:tblW w:w="0" w:type="auto"/>
        <w:tblInd w:w="-522" w:type="dxa"/>
        <w:tblLayout w:type="fixed"/>
        <w:tblLook w:val="04A0" w:firstRow="1" w:lastRow="0" w:firstColumn="1" w:lastColumn="0" w:noHBand="0" w:noVBand="1"/>
      </w:tblPr>
      <w:tblGrid>
        <w:gridCol w:w="1620"/>
        <w:gridCol w:w="1080"/>
        <w:gridCol w:w="1170"/>
        <w:gridCol w:w="1080"/>
        <w:gridCol w:w="1170"/>
        <w:gridCol w:w="1170"/>
        <w:gridCol w:w="720"/>
        <w:gridCol w:w="1440"/>
      </w:tblGrid>
      <w:tr w:rsidR="00A26E68" w:rsidRPr="009D0774" w14:paraId="3ED90BCB" w14:textId="552522B7" w:rsidTr="00A26E6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170" w:type="dxa"/>
            <w:vAlign w:val="center"/>
          </w:tcPr>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080" w:type="dxa"/>
            <w:vAlign w:val="center"/>
          </w:tcPr>
          <w:p w14:paraId="514941D3" w14:textId="7E656737" w:rsidR="00A26E68" w:rsidRDefault="00A26E68" w:rsidP="00D65AB7">
            <w:pPr>
              <w:jc w:val="center"/>
              <w:rPr>
                <w:b/>
                <w:sz w:val="20"/>
                <w:szCs w:val="20"/>
              </w:rPr>
            </w:pPr>
            <w:r>
              <w:rPr>
                <w:b/>
                <w:sz w:val="20"/>
                <w:szCs w:val="20"/>
              </w:rPr>
              <w:t>Birth &amp;</w:t>
            </w:r>
          </w:p>
          <w:p w14:paraId="1ACFC1AA" w14:textId="026F1280" w:rsidR="007C15E6" w:rsidRPr="009D0774" w:rsidRDefault="007C15E6" w:rsidP="00D65AB7">
            <w:pPr>
              <w:jc w:val="center"/>
              <w:rPr>
                <w:b/>
                <w:sz w:val="20"/>
                <w:szCs w:val="20"/>
              </w:rPr>
            </w:pPr>
            <w:r w:rsidRPr="009D0774">
              <w:rPr>
                <w:b/>
                <w:sz w:val="20"/>
                <w:szCs w:val="20"/>
              </w:rPr>
              <w:t>Death</w:t>
            </w:r>
          </w:p>
        </w:tc>
        <w:tc>
          <w:tcPr>
            <w:tcW w:w="1170" w:type="dxa"/>
            <w:vAlign w:val="center"/>
          </w:tcPr>
          <w:p w14:paraId="2F456309" w14:textId="538201A7" w:rsidR="007C15E6" w:rsidRPr="009D0774" w:rsidRDefault="007C15E6" w:rsidP="00D65AB7">
            <w:pPr>
              <w:jc w:val="center"/>
              <w:rPr>
                <w:b/>
                <w:sz w:val="20"/>
                <w:szCs w:val="20"/>
              </w:rPr>
            </w:pPr>
            <w:r w:rsidRPr="009D0774">
              <w:rPr>
                <w:b/>
                <w:sz w:val="20"/>
                <w:szCs w:val="20"/>
              </w:rPr>
              <w:t>Routine Migration</w:t>
            </w:r>
          </w:p>
        </w:tc>
        <w:tc>
          <w:tcPr>
            <w:tcW w:w="1170" w:type="dxa"/>
            <w:vAlign w:val="center"/>
          </w:tcPr>
          <w:p w14:paraId="30F9F414" w14:textId="77777777" w:rsidR="00A26E68" w:rsidRPr="00A26E68" w:rsidRDefault="00A26E68" w:rsidP="00A26E68">
            <w:pPr>
              <w:jc w:val="center"/>
              <w:rPr>
                <w:b/>
                <w:sz w:val="20"/>
                <w:szCs w:val="20"/>
              </w:rPr>
            </w:pPr>
            <m:oMathPara>
              <m:oMath>
                <m:r>
                  <m:rPr>
                    <m:sty m:val="bi"/>
                  </m:rPr>
                  <w:rPr>
                    <w:rFonts w:ascii="Cambria Math" w:hAnsi="Cambria Math"/>
                    <w:sz w:val="20"/>
                    <w:szCs w:val="20"/>
                  </w:rPr>
                  <m:t>X(t)</m:t>
                </m:r>
              </m:oMath>
            </m:oMathPara>
          </w:p>
          <w:p w14:paraId="13F526AA" w14:textId="4D0860EC" w:rsidR="00A26E68" w:rsidRPr="00A26E68" w:rsidRDefault="00A26E68" w:rsidP="00A26E68">
            <w:pPr>
              <w:jc w:val="center"/>
              <w:rPr>
                <w:b/>
                <w:sz w:val="20"/>
                <w:szCs w:val="20"/>
                <w:vertAlign w:val="subscript"/>
              </w:rPr>
            </w:pPr>
            <w:proofErr w:type="gramStart"/>
            <w:r>
              <w:rPr>
                <w:b/>
                <w:sz w:val="20"/>
                <w:szCs w:val="20"/>
              </w:rPr>
              <w:t>on</w:t>
            </w:r>
            <w:proofErr w:type="gramEnd"/>
            <w:r>
              <w:rPr>
                <w:b/>
                <w:sz w:val="20"/>
                <w:szCs w:val="20"/>
              </w:rPr>
              <w:t xml:space="preserve"> Oct 16, 2016</w:t>
            </w:r>
          </w:p>
        </w:tc>
        <w:tc>
          <w:tcPr>
            <w:tcW w:w="72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m:t>
                </m:r>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A26E68" w:rsidRPr="009D0774" w14:paraId="75941E69" w14:textId="77777777" w:rsidTr="00A26E68">
        <w:tc>
          <w:tcPr>
            <w:tcW w:w="1620" w:type="dxa"/>
            <w:shd w:val="clear" w:color="auto" w:fill="auto"/>
            <w:vAlign w:val="center"/>
          </w:tcPr>
          <w:p w14:paraId="3F663B80" w14:textId="624FD6B9"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20B6C078" w:rsidR="007C15E6" w:rsidRPr="009D0774" w:rsidRDefault="007C15E6" w:rsidP="00D65AB7">
            <w:pPr>
              <w:jc w:val="center"/>
              <w:rPr>
                <w:sz w:val="20"/>
                <w:szCs w:val="20"/>
              </w:rPr>
            </w:pPr>
            <w:r w:rsidRPr="009D0774">
              <w:rPr>
                <w:sz w:val="20"/>
                <w:szCs w:val="20"/>
              </w:rPr>
              <w:t>VE=0.583</w:t>
            </w:r>
          </w:p>
        </w:tc>
        <w:tc>
          <w:tcPr>
            <w:tcW w:w="1170" w:type="dxa"/>
            <w:shd w:val="clear" w:color="auto" w:fill="D9D9D9" w:themeFill="background1" w:themeFillShade="D9"/>
            <w:vAlign w:val="center"/>
          </w:tcPr>
          <w:p w14:paraId="7B786504" w14:textId="1E027EA8"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7291B587" w14:textId="64D6A120" w:rsidR="007C15E6" w:rsidRPr="009D0774" w:rsidRDefault="007C15E6" w:rsidP="00D65AB7">
            <w:pPr>
              <w:jc w:val="center"/>
              <w:rPr>
                <w:sz w:val="20"/>
                <w:szCs w:val="20"/>
              </w:rPr>
            </w:pPr>
            <w:r w:rsidRPr="009D0774">
              <w:rPr>
                <w:sz w:val="20"/>
                <w:szCs w:val="20"/>
              </w:rPr>
              <w:t>0.46</w:t>
            </w:r>
          </w:p>
        </w:tc>
        <w:tc>
          <w:tcPr>
            <w:tcW w:w="72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A26E68" w:rsidRPr="009D0774" w14:paraId="35D323DB" w14:textId="13FB3E72" w:rsidTr="00A26E6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011020CF" w14:textId="4081CCDF" w:rsidR="007C15E6" w:rsidRPr="009D0774" w:rsidRDefault="007C15E6" w:rsidP="00642CB4">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987B263" w14:textId="4D4C69D7" w:rsidR="007C15E6" w:rsidRPr="009D0774" w:rsidRDefault="007C15E6" w:rsidP="00D65AB7">
            <w:pPr>
              <w:jc w:val="center"/>
              <w:rPr>
                <w:sz w:val="20"/>
                <w:szCs w:val="20"/>
              </w:rPr>
            </w:pPr>
            <w:r w:rsidRPr="009D0774">
              <w:rPr>
                <w:sz w:val="20"/>
                <w:szCs w:val="20"/>
              </w:rPr>
              <w:t>0.51</w:t>
            </w:r>
          </w:p>
        </w:tc>
        <w:tc>
          <w:tcPr>
            <w:tcW w:w="720" w:type="dxa"/>
            <w:vAlign w:val="center"/>
          </w:tcPr>
          <w:p w14:paraId="42B31062" w14:textId="244AFA59" w:rsidR="007C15E6" w:rsidRPr="009D0774" w:rsidRDefault="007C15E6" w:rsidP="007C15E6">
            <w:pPr>
              <w:jc w:val="center"/>
              <w:rPr>
                <w:sz w:val="20"/>
                <w:szCs w:val="20"/>
              </w:rPr>
            </w:pPr>
            <w:r>
              <w:rPr>
                <w:sz w:val="20"/>
                <w:szCs w:val="20"/>
              </w:rPr>
              <w:t>0.05</w:t>
            </w:r>
          </w:p>
        </w:tc>
        <w:tc>
          <w:tcPr>
            <w:tcW w:w="1440" w:type="dxa"/>
            <w:vAlign w:val="center"/>
          </w:tcPr>
          <w:p w14:paraId="289769CA" w14:textId="771A3012" w:rsidR="007C15E6" w:rsidRPr="009D0774" w:rsidRDefault="007C15E6" w:rsidP="009D0774">
            <w:pPr>
              <w:jc w:val="center"/>
              <w:rPr>
                <w:sz w:val="20"/>
                <w:szCs w:val="20"/>
              </w:rPr>
            </w:pPr>
            <w:r w:rsidRPr="009D0774">
              <w:rPr>
                <w:sz w:val="20"/>
                <w:szCs w:val="20"/>
              </w:rPr>
              <w:t>11.6%</w:t>
            </w:r>
          </w:p>
        </w:tc>
      </w:tr>
      <w:tr w:rsidR="00A26E68" w:rsidRPr="009D0774" w14:paraId="23694327" w14:textId="53C24412" w:rsidTr="00A26E6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m:r>
                <m:rPr>
                  <m:sty m:val="bi"/>
                </m:rPr>
                <w:rPr>
                  <w:rFonts w:ascii="Cambria Math" w:hAnsi="Cambria Math"/>
                  <w:sz w:val="20"/>
                  <w:szCs w:val="20"/>
                </w:rPr>
                <m:t>(</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5507A8D5" w:rsidR="007C15E6" w:rsidRPr="009D0774" w:rsidRDefault="007C15E6" w:rsidP="00642CB4">
            <w:pPr>
              <w:jc w:val="center"/>
              <w:rPr>
                <w:sz w:val="20"/>
                <w:szCs w:val="20"/>
              </w:rPr>
            </w:pPr>
            <w:r w:rsidRPr="009D0774">
              <w:rPr>
                <w:sz w:val="20"/>
                <w:szCs w:val="20"/>
              </w:rPr>
              <w:t xml:space="preserve">VE=0.583 </w:t>
            </w:r>
          </w:p>
        </w:tc>
        <w:tc>
          <w:tcPr>
            <w:tcW w:w="117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08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4DB7E8C2" w14:textId="355FDDBF" w:rsidR="007C15E6" w:rsidRPr="009D0774" w:rsidRDefault="007C15E6" w:rsidP="00D65AB7">
            <w:pPr>
              <w:jc w:val="center"/>
              <w:rPr>
                <w:sz w:val="20"/>
                <w:szCs w:val="20"/>
              </w:rPr>
            </w:pPr>
            <w:r w:rsidRPr="009D0774">
              <w:rPr>
                <w:sz w:val="20"/>
                <w:szCs w:val="20"/>
              </w:rPr>
              <w:t>0.66</w:t>
            </w:r>
          </w:p>
        </w:tc>
        <w:tc>
          <w:tcPr>
            <w:tcW w:w="720" w:type="dxa"/>
            <w:vAlign w:val="center"/>
          </w:tcPr>
          <w:p w14:paraId="0D858296" w14:textId="0DC54906" w:rsidR="007C15E6" w:rsidRPr="009D0774" w:rsidRDefault="007C15E6" w:rsidP="007C15E6">
            <w:pPr>
              <w:jc w:val="center"/>
              <w:rPr>
                <w:sz w:val="20"/>
                <w:szCs w:val="20"/>
              </w:rPr>
            </w:pPr>
            <w:r>
              <w:rPr>
                <w:sz w:val="20"/>
                <w:szCs w:val="20"/>
              </w:rPr>
              <w:t>0.2</w:t>
            </w:r>
          </w:p>
        </w:tc>
        <w:tc>
          <w:tcPr>
            <w:tcW w:w="1440" w:type="dxa"/>
            <w:vAlign w:val="center"/>
          </w:tcPr>
          <w:p w14:paraId="5EBA50A3" w14:textId="6A886487" w:rsidR="007C15E6" w:rsidRPr="009D0774" w:rsidRDefault="007C15E6" w:rsidP="009D0774">
            <w:pPr>
              <w:jc w:val="center"/>
              <w:rPr>
                <w:sz w:val="20"/>
                <w:szCs w:val="20"/>
              </w:rPr>
            </w:pPr>
            <w:r w:rsidRPr="009D0774">
              <w:rPr>
                <w:sz w:val="20"/>
                <w:szCs w:val="20"/>
              </w:rPr>
              <w:t>46.5%</w:t>
            </w:r>
          </w:p>
        </w:tc>
      </w:tr>
      <w:tr w:rsidR="00A26E68" w:rsidRPr="009D0774" w14:paraId="685635D3" w14:textId="2CB45ED9" w:rsidTr="00A26E6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4603A75C"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2FE39155" w14:textId="18C5D125"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C6D9F1" w:themeFill="text2" w:themeFillTint="33"/>
            <w:vAlign w:val="center"/>
          </w:tcPr>
          <w:p w14:paraId="484B2EE3" w14:textId="3EA30C4A" w:rsidR="007C15E6" w:rsidRPr="009D0774" w:rsidRDefault="00726209"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7BC92BE" w14:textId="54C73927" w:rsidR="007C15E6" w:rsidRPr="009D0774" w:rsidRDefault="00B160BF" w:rsidP="00D65AB7">
            <w:pPr>
              <w:jc w:val="center"/>
              <w:rPr>
                <w:sz w:val="20"/>
                <w:szCs w:val="20"/>
              </w:rPr>
            </w:pPr>
            <w:r>
              <w:rPr>
                <w:sz w:val="20"/>
                <w:szCs w:val="20"/>
              </w:rPr>
              <w:t>0.49</w:t>
            </w:r>
          </w:p>
        </w:tc>
        <w:tc>
          <w:tcPr>
            <w:tcW w:w="720" w:type="dxa"/>
            <w:vAlign w:val="center"/>
          </w:tcPr>
          <w:p w14:paraId="5CF8A0D1" w14:textId="0727E559" w:rsidR="007C15E6" w:rsidRPr="009D0774" w:rsidRDefault="007C15E6" w:rsidP="007C15E6">
            <w:pPr>
              <w:jc w:val="center"/>
              <w:rPr>
                <w:sz w:val="20"/>
                <w:szCs w:val="20"/>
              </w:rPr>
            </w:pPr>
            <w:r>
              <w:rPr>
                <w:sz w:val="20"/>
                <w:szCs w:val="20"/>
              </w:rPr>
              <w:t>0.02</w:t>
            </w:r>
          </w:p>
        </w:tc>
        <w:tc>
          <w:tcPr>
            <w:tcW w:w="1440" w:type="dxa"/>
            <w:vAlign w:val="center"/>
          </w:tcPr>
          <w:p w14:paraId="1EA7784F" w14:textId="55EF6B6A" w:rsidR="007C15E6" w:rsidRPr="009D0774" w:rsidRDefault="007C15E6" w:rsidP="009D0774">
            <w:pPr>
              <w:jc w:val="center"/>
              <w:rPr>
                <w:sz w:val="20"/>
                <w:szCs w:val="20"/>
              </w:rPr>
            </w:pPr>
            <w:r w:rsidRPr="009D0774">
              <w:rPr>
                <w:sz w:val="20"/>
                <w:szCs w:val="20"/>
              </w:rPr>
              <w:t>4.7%</w:t>
            </w:r>
          </w:p>
        </w:tc>
      </w:tr>
      <w:tr w:rsidR="00A26E68" w:rsidRPr="009D0774" w14:paraId="767B0A44" w14:textId="19BF417F" w:rsidTr="00A26E68">
        <w:tc>
          <w:tcPr>
            <w:tcW w:w="1620" w:type="dxa"/>
            <w:shd w:val="clear" w:color="auto" w:fill="auto"/>
            <w:vAlign w:val="center"/>
          </w:tcPr>
          <w:p w14:paraId="6C8AA8F7" w14:textId="2F345610" w:rsidR="007C15E6" w:rsidRPr="009D0774" w:rsidRDefault="007C15E6" w:rsidP="00D65AB7">
            <w:pPr>
              <w:jc w:val="center"/>
              <w:rPr>
                <w:b/>
                <w:sz w:val="20"/>
                <w:szCs w:val="20"/>
              </w:rPr>
            </w:pPr>
            <w:r w:rsidRPr="009D0774">
              <w:rPr>
                <w:b/>
                <w:sz w:val="20"/>
                <w:szCs w:val="20"/>
              </w:rPr>
              <w:t>Only Routine Migration</w:t>
            </w:r>
          </w:p>
        </w:tc>
        <w:tc>
          <w:tcPr>
            <w:tcW w:w="1080" w:type="dxa"/>
            <w:shd w:val="clear" w:color="auto" w:fill="D9D9D9" w:themeFill="background1" w:themeFillShade="D9"/>
            <w:vAlign w:val="center"/>
          </w:tcPr>
          <w:p w14:paraId="1E80FDF6" w14:textId="577878B8"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559B89BA" w14:textId="21B8ACC9"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170" w:type="dxa"/>
            <w:shd w:val="clear" w:color="auto" w:fill="C6D9F1" w:themeFill="text2" w:themeFillTint="33"/>
            <w:vAlign w:val="center"/>
          </w:tcPr>
          <w:p w14:paraId="4853604A" w14:textId="438E514F" w:rsidR="007C15E6" w:rsidRPr="009D0774" w:rsidRDefault="00A26E68"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m:t>
                    </m:r>
                    <m:r>
                      <w:rPr>
                        <w:rFonts w:ascii="Cambria Math" w:hAnsi="Cambria Math"/>
                        <w:sz w:val="20"/>
                        <w:szCs w:val="20"/>
                      </w:rPr>
                      <m:t xml:space="preserve"> years</m:t>
                    </m:r>
                  </m:den>
                </m:f>
              </m:oMath>
            </m:oMathPara>
          </w:p>
        </w:tc>
        <w:tc>
          <w:tcPr>
            <w:tcW w:w="1170" w:type="dxa"/>
            <w:shd w:val="clear" w:color="auto" w:fill="auto"/>
            <w:vAlign w:val="center"/>
          </w:tcPr>
          <w:p w14:paraId="41A1C7CE" w14:textId="268410BF" w:rsidR="007C15E6" w:rsidRPr="009D0774" w:rsidRDefault="007C15E6" w:rsidP="00D65AB7">
            <w:pPr>
              <w:jc w:val="center"/>
              <w:rPr>
                <w:sz w:val="20"/>
                <w:szCs w:val="20"/>
              </w:rPr>
            </w:pPr>
            <w:r w:rsidRPr="009D0774">
              <w:rPr>
                <w:sz w:val="20"/>
                <w:szCs w:val="20"/>
              </w:rPr>
              <w:t>0.62</w:t>
            </w:r>
          </w:p>
        </w:tc>
        <w:tc>
          <w:tcPr>
            <w:tcW w:w="720" w:type="dxa"/>
            <w:vAlign w:val="center"/>
          </w:tcPr>
          <w:p w14:paraId="76326CC5" w14:textId="172E2F28" w:rsidR="007C15E6" w:rsidRPr="009D0774" w:rsidRDefault="007C15E6" w:rsidP="007C15E6">
            <w:pPr>
              <w:jc w:val="center"/>
              <w:rPr>
                <w:sz w:val="20"/>
                <w:szCs w:val="20"/>
              </w:rPr>
            </w:pPr>
            <w:r>
              <w:rPr>
                <w:sz w:val="20"/>
                <w:szCs w:val="20"/>
              </w:rPr>
              <w:t>0.16</w:t>
            </w:r>
          </w:p>
        </w:tc>
        <w:tc>
          <w:tcPr>
            <w:tcW w:w="1440" w:type="dxa"/>
            <w:vAlign w:val="center"/>
          </w:tcPr>
          <w:p w14:paraId="594073F6" w14:textId="493E4D90" w:rsidR="007C15E6" w:rsidRPr="009D0774" w:rsidRDefault="007C15E6" w:rsidP="009D0774">
            <w:pPr>
              <w:jc w:val="center"/>
              <w:rPr>
                <w:sz w:val="20"/>
                <w:szCs w:val="20"/>
              </w:rPr>
            </w:pPr>
            <w:r w:rsidRPr="009D0774">
              <w:rPr>
                <w:sz w:val="20"/>
                <w:szCs w:val="20"/>
              </w:rPr>
              <w:t>37.2%</w:t>
            </w:r>
          </w:p>
        </w:tc>
      </w:tr>
      <w:tr w:rsidR="00A26E68" w:rsidRPr="009D0774" w14:paraId="11F1D063" w14:textId="77777777" w:rsidTr="00A26E6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080" w:type="dxa"/>
            <w:shd w:val="clear" w:color="auto" w:fill="C6D9F1" w:themeFill="text2" w:themeFillTint="33"/>
            <w:vAlign w:val="center"/>
          </w:tcPr>
          <w:p w14:paraId="4B273664" w14:textId="62B9A9B9" w:rsidR="00B160BF" w:rsidRPr="009D0774" w:rsidRDefault="00A26E68"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C6D9F1" w:themeFill="text2" w:themeFillTint="33"/>
            <w:vAlign w:val="center"/>
          </w:tcPr>
          <w:p w14:paraId="3A5E82EE" w14:textId="4CE3018B" w:rsidR="00B160BF" w:rsidRPr="009D0774" w:rsidRDefault="00A26E68"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m:t>
                    </m:r>
                    <m:r>
                      <w:rPr>
                        <w:rFonts w:ascii="Cambria Math" w:hAnsi="Cambria Math"/>
                        <w:sz w:val="20"/>
                        <w:szCs w:val="20"/>
                      </w:rPr>
                      <m:t xml:space="preserve"> years</m:t>
                    </m:r>
                  </m:den>
                </m:f>
              </m:oMath>
            </m:oMathPara>
          </w:p>
        </w:tc>
        <w:tc>
          <w:tcPr>
            <w:tcW w:w="1170" w:type="dxa"/>
            <w:shd w:val="clear" w:color="auto" w:fill="auto"/>
            <w:vAlign w:val="center"/>
          </w:tcPr>
          <w:p w14:paraId="56D1ADD1" w14:textId="197A6F99" w:rsidR="00B160BF" w:rsidRPr="009D0774" w:rsidRDefault="00B160BF" w:rsidP="00D65AB7">
            <w:pPr>
              <w:jc w:val="center"/>
              <w:rPr>
                <w:sz w:val="20"/>
                <w:szCs w:val="20"/>
              </w:rPr>
            </w:pPr>
            <w:r w:rsidRPr="009D0774">
              <w:rPr>
                <w:sz w:val="20"/>
                <w:szCs w:val="20"/>
              </w:rPr>
              <w:t>0.78</w:t>
            </w:r>
          </w:p>
        </w:tc>
        <w:tc>
          <w:tcPr>
            <w:tcW w:w="720" w:type="dxa"/>
            <w:vAlign w:val="center"/>
          </w:tcPr>
          <w:p w14:paraId="61495B5E" w14:textId="23C6D666" w:rsidR="00B160BF" w:rsidRPr="00786B9B" w:rsidRDefault="00B160BF" w:rsidP="007C15E6">
            <w:pPr>
              <w:jc w:val="center"/>
              <w:rPr>
                <w:sz w:val="20"/>
                <w:szCs w:val="20"/>
              </w:rPr>
            </w:pPr>
            <w:r w:rsidRPr="00786B9B">
              <w:rPr>
                <w:sz w:val="20"/>
                <w:szCs w:val="20"/>
              </w:rPr>
              <w:t>0.32</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40E15BC2" w14:textId="5FB2DD44" w:rsidR="00624556" w:rsidRPr="00966387" w:rsidRDefault="00624556" w:rsidP="00624556"/>
    <w:p w14:paraId="2D8145F1" w14:textId="330E89D2" w:rsidR="00BE2545" w:rsidRPr="00167FD3" w:rsidRDefault="00BE2545">
      <w:r>
        <w:rPr>
          <w:b/>
        </w:rPr>
        <w:br w:type="page"/>
      </w:r>
    </w:p>
    <w:p w14:paraId="383A7E96" w14:textId="1BAF41F0" w:rsidR="00F539C6" w:rsidRPr="001850C4" w:rsidRDefault="00F539C6">
      <w:pPr>
        <w:rPr>
          <w:b/>
        </w:rPr>
      </w:pPr>
      <w:r w:rsidRPr="001850C4">
        <w:rPr>
          <w:b/>
        </w:rPr>
        <w:lastRenderedPageBreak/>
        <w:t>DISCUSSION</w:t>
      </w:r>
    </w:p>
    <w:p w14:paraId="0A3EFFA7" w14:textId="77777777" w:rsidR="00575CD5" w:rsidRDefault="00575CD5" w:rsidP="00575CD5">
      <w:r>
        <w:t>Our results can help inform decision-makers about the time window they can expect a population to resist a cholera outbreak even if the pathogen were to be introduced. During this window, WASH interventions can be scaled-up to provide longer-term protection, or a data-driven routine re-vaccination schedule can be determined. We developed an interactive tool to facilitate implementation of these results for a user-defined setting (</w:t>
      </w:r>
      <w:hyperlink r:id="rId14"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16CD59D1" w:rsidR="00575CD5" w:rsidRDefault="00575CD5" w:rsidP="007A6AEE">
      <w:r>
        <w:t>One practical implementation of “Mass then Maintain” can include a high-coverage mass campaign followed by routine vaccination of new members of the population (through birth or immigration). Recent work has also shown serological triggers for periodic mass v</w:t>
      </w:r>
      <w:r w:rsidR="003B6D69">
        <w:t>accination can be an effective and efficient</w:t>
      </w:r>
      <w:r>
        <w:t xml:space="preserve"> method to maintain herd immunity.</w:t>
      </w:r>
      <w:r>
        <w:fldChar w:fldCharType="begin" w:fldLock="1"/>
      </w:r>
      <w:r w:rsidR="00AE6CD2">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r w:rsidR="00380776" w:rsidRPr="00380776">
        <w:rPr>
          <w:noProof/>
          <w:vertAlign w:val="superscript"/>
        </w:rPr>
        <w:t>32</w:t>
      </w:r>
      <w:r>
        <w:fldChar w:fldCharType="end"/>
      </w:r>
      <w:r>
        <w:t xml:space="preserve"> The authors suggest th</w:t>
      </w:r>
      <w:r w:rsidR="003B6D69">
        <w:t xml:space="preserve">at in high-incidence areas (or </w:t>
      </w:r>
      <w:r>
        <w:t xml:space="preserve">when VE is moderate or low), serological triggers could come so often that frequent planned vaccinations may be more appropriate. Indeed, in our example with imperfect OCVs, at least annual mass vaccination may be needed to maintain herd immunity. </w:t>
      </w:r>
    </w:p>
    <w:p w14:paraId="08682F25" w14:textId="77777777" w:rsidR="00575CD5" w:rsidRDefault="00575CD5" w:rsidP="00575CD5"/>
    <w:p w14:paraId="100B7ACA" w14:textId="17AC5B35" w:rsidR="00575CD5" w:rsidRDefault="00575CD5" w:rsidP="00575CD5">
      <w:r>
        <w:t>Current guidelines for the optimal use of the OCV stockpile r</w:t>
      </w:r>
      <w:r w:rsidR="003B6D69">
        <w:t>ecommend the consideration of “a</w:t>
      </w:r>
      <w:r>
        <w:t>reas with i</w:t>
      </w:r>
      <w:r w:rsidR="007A6AEE">
        <w:t>mportant population movements”</w:t>
      </w:r>
      <w:r>
        <w:t>.</w:t>
      </w:r>
      <w:r w:rsidR="007A6AEE">
        <w:fldChar w:fldCharType="begin" w:fldLock="1"/>
      </w:r>
      <w:r w:rsidR="00AE6CD2">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"&lt;sup&gt;33&lt;/sup&gt;", "plainTextFormattedCitation" : "33", "previouslyFormattedCitation" : "&lt;sup&gt;33&lt;/sup&gt;" }, "properties" : { "noteIndex" : 0 }, "schema" : "https://github.com/citation-style-language/schema/raw/master/csl-citation.json" }</w:instrText>
      </w:r>
      <w:r w:rsidR="007A6AEE">
        <w:fldChar w:fldCharType="separate"/>
      </w:r>
      <w:r w:rsidR="00380776" w:rsidRPr="00380776">
        <w:rPr>
          <w:noProof/>
          <w:vertAlign w:val="superscript"/>
        </w:rPr>
        <w:t>33</w:t>
      </w:r>
      <w:r w:rsidR="007A6AEE">
        <w:fldChar w:fldCharType="end"/>
      </w:r>
      <w:r w:rsidR="007A6AEE">
        <w:t xml:space="preserve"> </w:t>
      </w:r>
      <w:r>
        <w:t xml:space="preserve">The role of mobility in connecting a heterogeneous transmission landscape was demonstrated by </w:t>
      </w:r>
      <w:proofErr w:type="spellStart"/>
      <w:r>
        <w:t>Azman</w:t>
      </w:r>
      <w:proofErr w:type="spellEnd"/>
      <w:r>
        <w:t xml:space="preserve"> et al.</w:t>
      </w:r>
      <w:r>
        <w:fldChar w:fldCharType="begin" w:fldLock="1"/>
      </w:r>
      <w:r w:rsidR="00AE6CD2">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00380776" w:rsidRPr="00380776">
        <w:rPr>
          <w:noProof/>
          <w:vertAlign w:val="superscript"/>
        </w:rPr>
        <w:t>34</w:t>
      </w:r>
      <w:r>
        <w:fldChar w:fldCharType="end"/>
      </w:r>
      <w:r>
        <w:t xml:space="preserve"> </w:t>
      </w:r>
      <w:r w:rsidR="003B6D69">
        <w:t>H</w:t>
      </w:r>
      <w:r>
        <w:t>ere we</w:t>
      </w:r>
      <w:r w:rsidR="003B6D69">
        <w:t xml:space="preserve"> further</w:t>
      </w:r>
      <w:r>
        <w:t xml:space="preserve"> show there are two competing effects of high mobility on </w:t>
      </w:r>
      <w:r w:rsidR="007A6AEE">
        <w:t>expected vaccine impact</w:t>
      </w:r>
      <w:r>
        <w:t>. First, we expect 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 in high-mobility settings. Together, these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 We find that the optimal migration rate shifts lower (i.e., preferring less mobile populations) in settings with a high average R</w:t>
      </w:r>
      <w:r>
        <w:rPr>
          <w:vertAlign w:val="subscript"/>
        </w:rPr>
        <w:t>0</w:t>
      </w:r>
      <w:r>
        <w:t xml:space="preserve">. Our primary results assume an outbreak is at least 10 cases. If this threshold is increased to 100 or 1,000 cases, the probabilities of “outbreaks” decreases, but the optimal migration rate is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380776" w:rsidRPr="00380776">
        <w:rPr>
          <w:noProof/>
          <w:vertAlign w:val="superscript"/>
        </w:rPr>
        <w:t>22</w:t>
      </w:r>
      <w:r>
        <w:fldChar w:fldCharType="end"/>
      </w:r>
    </w:p>
    <w:p w14:paraId="0B74B373" w14:textId="77777777" w:rsidR="00FA75B1" w:rsidRDefault="00FA75B1"/>
    <w:p w14:paraId="371705BA" w14:textId="67FBB00A" w:rsidR="00F539C6" w:rsidRPr="006118CA" w:rsidRDefault="00575CD5">
      <w:r>
        <w:t>We demonstrate</w:t>
      </w:r>
      <w:r w:rsidR="00F539C6">
        <w:t xml:space="preserve">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xml:space="preserve">. Such re-emergence does not imply vaccine </w:t>
      </w:r>
      <w:r w:rsidR="008861F0">
        <w:lastRenderedPageBreak/>
        <w:t>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w:t>
      </w:r>
      <w:r w:rsidR="0009137F">
        <w:t>.</w:t>
      </w:r>
      <w:r w:rsidR="0009137F">
        <w:fldChar w:fldCharType="begin" w:fldLock="1"/>
      </w:r>
      <w:r w:rsidR="00AE6CD2">
        <w:instrText>ADDIN CSL_CITATION { "citationItems" : [ { "id" : "ITEM-1", "itemData" : { "author" : [ { "dropping-particle" : "", "family" : "Azman", "given" : "Andrew", "non-dropping-particle" : "", "parse-names" : false, "suffix" : "" }, { "dropping-particle" : "", "family" : "Luquero", "given" : "Francisco J", "non-dropping-particle" : "", "parse-names" : false, "suffix" : "" }, { "dropping-particle" : "", "family" : "Rodrigues", "given" : "Amabelia", "non-dropping-particle" : "", "parse-names" : false, "suffix" : "" }, { "dropping-particle" : "", "family" : "Grais", "given" : "Rebecca F", "non-dropping-particle" : "", "parse-names" : false, "suffix" : "" }, { "dropping-particle" : "", "family" : "Banga", "given" : "Cunhate Na", "non-dropping-particle" : "", "parse-names" : false, "suffix" : "" }, { "dropping-particle" : "", "family" : "Palma", "given" : "Pedro Pablo", "non-dropping-particle" : "", "parse-names" : false, "suffix" : "" }, { "dropping-particle" : "", "family" : "Grenfell", "given" : "Bryan T", "non-dropping-particle" : "", "parse-names" : false, "suffix" : "" }, { "dropping-particle" : "", "family" : "Lessler", "given" : "Justin", "non-dropping-particle" : "", "parse-names" : false, "suffix" : "" } ], "container-title" : "PLoS neglected tropical diseases", "id" : "ITEM-1", "issued" : { "date-parts" : [ [ "2012" ] ] }, "page" : "1-8", "title" : "Urban Cholera Transmission Hotspots and their Implications for Reactive Vaccination : Evidence from Bissau City", "type" : "article-journal" }, "uris" : [ "http://www.mendeley.com/documents/?uuid=b4f83783-53bf-4f43-bb50-7f7c2aa6f683" ] } ], "mendeley" : { "formattedCitation" : "&lt;sup&gt;35&lt;/sup&gt;", "plainTextFormattedCitation" : "35", "previouslyFormattedCitation" : "&lt;sup&gt;35&lt;/sup&gt;" }, "properties" : { "noteIndex" : 0 }, "schema" : "https://github.com/citation-style-language/schema/raw/master/csl-citation.json" }</w:instrText>
      </w:r>
      <w:r w:rsidR="0009137F">
        <w:fldChar w:fldCharType="separate"/>
      </w:r>
      <w:r w:rsidR="00380776" w:rsidRPr="00380776">
        <w:rPr>
          <w:noProof/>
          <w:vertAlign w:val="superscript"/>
        </w:rPr>
        <w:t>35</w:t>
      </w:r>
      <w:r w:rsidR="0009137F">
        <w:fldChar w:fldCharType="end"/>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4A92749B" w:rsidR="003D3BBD" w:rsidRDefault="003D3BBD" w:rsidP="00F038DC">
      <w:r>
        <w:t>Cholera vaccine efficacy has been shown to vary by age of recipient,</w:t>
      </w:r>
      <w:r w:rsidR="0009137F">
        <w:fldChar w:fldCharType="begin" w:fldLock="1"/>
      </w:r>
      <w:r w:rsidR="00AE6CD2">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"&lt;sup&gt;21&lt;/sup&gt;", "plainTextFormattedCitation" : "21", "previouslyFormattedCitation" : "&lt;sup&gt;21&lt;/sup&gt;" }, "properties" : { "noteIndex" : 0 }, "schema" : "https://github.com/citation-style-language/schema/raw/master/csl-citation.json" }</w:instrText>
      </w:r>
      <w:r w:rsidR="0009137F">
        <w:fldChar w:fldCharType="separate"/>
      </w:r>
      <w:r w:rsidR="00380776" w:rsidRPr="00380776">
        <w:rPr>
          <w:noProof/>
          <w:vertAlign w:val="superscript"/>
        </w:rPr>
        <w:t>21</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p>
    <w:p w14:paraId="5D8B4ED0" w14:textId="79B93738" w:rsidR="00A12181" w:rsidRDefault="00A12181" w:rsidP="00F038DC"/>
    <w:p w14:paraId="269CD9E9" w14:textId="5265A364"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AE6CD2">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"&lt;sup&gt;36&lt;/sup&gt;", "plainTextFormattedCitation" : "36", "previouslyFormattedCitation" : "&lt;sup&gt;36&lt;/sup&gt;" }, "properties" : { "noteIndex" : 0 }, "schema" : "https://github.com/citation-style-language/schema/raw/master/csl-citation.json" }</w:instrText>
      </w:r>
      <w:r w:rsidR="00601E61">
        <w:fldChar w:fldCharType="separate"/>
      </w:r>
      <w:r w:rsidR="00380776" w:rsidRPr="00380776">
        <w:rPr>
          <w:noProof/>
          <w:vertAlign w:val="superscript"/>
        </w:rPr>
        <w:t>36</w:t>
      </w:r>
      <w:r w:rsidR="00601E61">
        <w:fldChar w:fldCharType="end"/>
      </w:r>
      <w:r w:rsidR="007353D3">
        <w:t xml:space="preserve"> We find the “Mass then Maintain” strategy continues to outperform </w:t>
      </w:r>
      <w:r w:rsidR="00E87CB3">
        <w:t>routine vaccination or periodic mass vaccination even when there is a perfect vaccine (i.e., VE=1 indefinitely). We also find that intermediate levels of migration continue to maximize vaccine impact for a perfect vaccine, but the optimal migration rate increases with vaccine performanc</w:t>
      </w:r>
      <w:r w:rsidR="00527DCB">
        <w:t>e</w:t>
      </w:r>
      <w:r w:rsidR="00A065FB">
        <w:t xml:space="preserve"> (Figure </w:t>
      </w:r>
      <w:proofErr w:type="spellStart"/>
      <w:r w:rsidR="00A065FB">
        <w:t>DD_Supplement</w:t>
      </w:r>
      <w:proofErr w:type="spellEnd"/>
      <w:r w:rsidR="00A065FB">
        <w:t>)</w:t>
      </w:r>
      <w:r w:rsidR="00527DCB">
        <w:t>.</w:t>
      </w:r>
      <w:r w:rsidR="00AE6CD2">
        <w:t xml:space="preserve"> These findings support the use of mass vaccination to quickly introduce a new vaccine that henceforth is to become a member of the routine immunization program, as was done 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170BC3">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"&lt;sup&gt;3&lt;/sup&gt;", "plainTextFormattedCitation" : "3", "previouslyFormattedCitation" : "&lt;sup&gt;3&lt;/sup&gt;" }, "properties" : { "noteIndex" : 0 }, "schema" : "https://github.com/citation-style-language/schema/raw/master/csl-citation.json" }</w:instrText>
      </w:r>
      <w:r w:rsidR="00AE6CD2">
        <w:fldChar w:fldCharType="separate"/>
      </w:r>
      <w:r w:rsidR="00AE6CD2" w:rsidRPr="00AE6CD2">
        <w:rPr>
          <w:noProof/>
          <w:vertAlign w:val="superscript"/>
        </w:rPr>
        <w:t>3</w:t>
      </w:r>
      <w:r w:rsidR="00AE6CD2">
        <w:fldChar w:fldCharType="end"/>
      </w:r>
    </w:p>
    <w:p w14:paraId="41BC4726" w14:textId="77777777" w:rsidR="00E87CB3" w:rsidRDefault="00E87CB3" w:rsidP="00E87CB3"/>
    <w:p w14:paraId="4EF38A31" w14:textId="78ADCC15" w:rsidR="00E87CB3" w:rsidRDefault="00FE63D9" w:rsidP="004B689C">
      <w:r>
        <w:t>The phenomenon of waning herd immunity also has strong implications on disease control strategies that include mass vaccination or “mop up” vaccination</w:t>
      </w:r>
      <w:r w:rsidR="004B689C">
        <w:t>, such as measles</w:t>
      </w:r>
      <w:r w:rsidR="00170BC3">
        <w:fldChar w:fldCharType="begin" w:fldLock="1"/>
      </w:r>
      <w:r w:rsidR="004B689C">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"&lt;sup&gt;37&lt;/sup&gt;", "plainTextFormattedCitation" : "37", "previouslyFormattedCitation" : "&lt;sup&gt;37&lt;/sup&gt;" }, "properties" : { "noteIndex" : 0 }, "schema" : "https://github.com/citation-style-language/schema/raw/master/csl-citation.json" }</w:instrText>
      </w:r>
      <w:r w:rsidR="00170BC3">
        <w:fldChar w:fldCharType="separate"/>
      </w:r>
      <w:r w:rsidR="00170BC3" w:rsidRPr="00170BC3">
        <w:rPr>
          <w:noProof/>
          <w:vertAlign w:val="superscript"/>
        </w:rPr>
        <w:t>37</w:t>
      </w:r>
      <w:r w:rsidR="00170BC3">
        <w:fldChar w:fldCharType="end"/>
      </w:r>
      <w:r w:rsidR="004B689C">
        <w:t xml:space="preserve"> and yellow fever.</w:t>
      </w:r>
      <w:r w:rsidR="004B689C">
        <w:fldChar w:fldCharType="begin" w:fldLock="1"/>
      </w:r>
      <w:r w:rsidR="004B689C">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"&lt;sup&gt;38&lt;/sup&gt;", "plainTextFormattedCitation" : "38" }, "properties" : { "noteIndex" : 0 }, "schema" : "https://github.com/citation-style-language/schema/raw/master/csl-citation.json" }</w:instrText>
      </w:r>
      <w:r w:rsidR="004B689C">
        <w:fldChar w:fldCharType="separate"/>
      </w:r>
      <w:r w:rsidR="004B689C" w:rsidRPr="004B689C">
        <w:rPr>
          <w:noProof/>
          <w:vertAlign w:val="superscript"/>
        </w:rPr>
        <w:t>38</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4B689C">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"&lt;sup&gt;39&lt;/sup&gt;", "plainTextFormattedCitation" : "39", "previouslyFormattedCitation" : "&lt;sup&gt;38&lt;/sup&gt;" }, "properties" : { "noteIndex" : 0 }, "schema" : "https://github.com/citation-style-language/schema/raw/master/csl-citation.json" }</w:instrText>
      </w:r>
      <w:r w:rsidR="00A61C71">
        <w:fldChar w:fldCharType="separate"/>
      </w:r>
      <w:r w:rsidR="004B689C" w:rsidRPr="004B689C">
        <w:rPr>
          <w:noProof/>
          <w:vertAlign w:val="superscript"/>
        </w:rPr>
        <w:t>39</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 xml:space="preserve">Human mobility and </w:t>
      </w:r>
      <w:r>
        <w:lastRenderedPageBreak/>
        <w:t>waning herd immunity are key considerations for when these urban populations should be revaccinated.</w:t>
      </w:r>
    </w:p>
    <w:p w14:paraId="3E9F5610" w14:textId="77777777" w:rsidR="00D552F7" w:rsidRDefault="00D552F7" w:rsidP="00F038DC"/>
    <w:p w14:paraId="135FD3EF" w14:textId="77777777" w:rsidR="002B44C8" w:rsidRDefault="002B44C8">
      <w:pPr>
        <w:rPr>
          <w:b/>
        </w:rPr>
      </w:pPr>
      <w:r>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1875F02" w14:textId="3EC4D44A" w:rsidR="001B42D3" w:rsidRDefault="00700D43" w:rsidP="00F038DC">
      <w:pPr>
        <w:rPr>
          <w:b/>
        </w:rPr>
      </w:pPr>
      <w:r>
        <w:rPr>
          <w:b/>
        </w:rPr>
        <w:t>Figure AA</w:t>
      </w:r>
      <w:r w:rsidRPr="00700D43">
        <w:rPr>
          <w:b/>
        </w:rPr>
        <w:t>. 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Pr>
          <w:b/>
        </w:rPr>
        <w:t xml:space="preserve">. </w:t>
      </w:r>
    </w:p>
    <w:p w14:paraId="6A27E26D" w14:textId="1154944A" w:rsidR="00700D43" w:rsidRDefault="00700D43" w:rsidP="00F038DC">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5CE2A6E3" w14:textId="77777777" w:rsidR="001B42D3" w:rsidRDefault="00700D43" w:rsidP="00F038DC">
      <w:r>
        <w:rPr>
          <w:b/>
        </w:rPr>
        <w:t xml:space="preserve">Figure BB. </w:t>
      </w:r>
      <w:proofErr w:type="gramStart"/>
      <w:r>
        <w:rPr>
          <w:b/>
        </w:rPr>
        <w:t>Changes in the probability of an outbreak as a function of years since vaccination.</w:t>
      </w:r>
      <w:proofErr w:type="gramEnd"/>
      <w:r>
        <w:t xml:space="preserve"> </w:t>
      </w:r>
    </w:p>
    <w:p w14:paraId="071416EB" w14:textId="7E293DFC" w:rsidR="00700D43" w:rsidRDefault="00700D43" w:rsidP="00F038DC">
      <w:r>
        <w:t xml:space="preserve">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771860A2" w14:textId="77777777" w:rsidR="00F83CD8" w:rsidRDefault="00F83CD8" w:rsidP="00F038DC"/>
    <w:p w14:paraId="19F0D955" w14:textId="77777777" w:rsidR="001B42D3" w:rsidRDefault="006173F9" w:rsidP="00F038DC">
      <w:r>
        <w:rPr>
          <w:b/>
        </w:rPr>
        <w:t>Figure VC</w:t>
      </w:r>
      <w:r>
        <w:t>.</w:t>
      </w:r>
      <w:r>
        <w:rPr>
          <w:b/>
        </w:rPr>
        <w:t xml:space="preserve"> </w:t>
      </w:r>
      <w:proofErr w:type="gramStart"/>
      <w:r>
        <w:rPr>
          <w:b/>
        </w:rPr>
        <w:t>Duration of Herd Immunity (DHI) as a function of vaccine coverage and basic reproductive number.</w:t>
      </w:r>
      <w:proofErr w:type="gramEnd"/>
      <w:r>
        <w:t xml:space="preserve"> </w:t>
      </w:r>
    </w:p>
    <w:p w14:paraId="5F1A8483" w14:textId="47CE61FA" w:rsidR="006173F9" w:rsidRPr="00541512" w:rsidRDefault="006173F9" w:rsidP="00F038DC">
      <w:r>
        <w:t xml:space="preserve">DHI is maximized in settings with high vaccine coverage and low basic reproductive numbers. </w:t>
      </w:r>
      <w:r w:rsidR="00541512">
        <w:t>Uncolored regions never obtain herd immunity (e.g., VC &lt; 0.5 and R</w:t>
      </w:r>
      <w:r w:rsidR="00541512">
        <w:rPr>
          <w:vertAlign w:val="subscript"/>
        </w:rPr>
        <w:t>0</w:t>
      </w:r>
      <w:r w:rsidR="00541512">
        <w:t xml:space="preserve"> &gt; 1.5).</w:t>
      </w:r>
    </w:p>
    <w:p w14:paraId="46B73293" w14:textId="77777777" w:rsidR="000E7967" w:rsidRDefault="000E7967" w:rsidP="00F038DC"/>
    <w:p w14:paraId="7C6B0661" w14:textId="77777777" w:rsidR="001B42D3" w:rsidRDefault="000E7967" w:rsidP="00F038DC">
      <w:r>
        <w:rPr>
          <w:b/>
        </w:rPr>
        <w:t>Figure CC. Compartmental model framework.</w:t>
      </w:r>
      <w:r>
        <w:t xml:space="preserve"> </w:t>
      </w:r>
    </w:p>
    <w:p w14:paraId="7D1C17FA" w14:textId="30E0C022" w:rsidR="000E7967" w:rsidRDefault="000E7967" w:rsidP="00F038DC">
      <w:r>
        <w:t>For our main results, we assume a direct disease transmission process and a leaky vaccine action model. Individuals who are vaccinated progress through stages V</w:t>
      </w:r>
      <w:r>
        <w:rPr>
          <w:vertAlign w:val="subscript"/>
        </w:rPr>
        <w:t>1</w:t>
      </w:r>
      <w:r>
        <w:t>, V</w:t>
      </w:r>
      <w:r>
        <w:rPr>
          <w:vertAlign w:val="subscript"/>
        </w:rPr>
        <w:t>2</w:t>
      </w:r>
      <w:proofErr w:type="gramStart"/>
      <w:r>
        <w:t>, ....</w:t>
      </w:r>
      <w:proofErr w:type="gramEnd"/>
      <w:r>
        <w:t xml:space="preserve">,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w:t>
      </w:r>
      <w:proofErr w:type="gramStart"/>
      <w:r>
        <w:t>VE(</w:t>
      </w:r>
      <w:proofErr w:type="spellStart"/>
      <w:proofErr w:type="gramEnd"/>
      <w:r>
        <w:t>i</w:t>
      </w:r>
      <w:proofErr w:type="spellEnd"/>
      <w:r>
        <w:t>)).</w:t>
      </w:r>
    </w:p>
    <w:p w14:paraId="4748FDF0" w14:textId="77777777" w:rsidR="00B862CB" w:rsidRDefault="00B862CB" w:rsidP="00F038DC"/>
    <w:p w14:paraId="11D240E6" w14:textId="77777777" w:rsidR="001B42D3" w:rsidRDefault="00B862CB" w:rsidP="00837827">
      <w:r>
        <w:rPr>
          <w:b/>
        </w:rPr>
        <w:t>Figure DD. Vaccine targeting optimized in settings with intermediate rates of migration.</w:t>
      </w:r>
      <w:r>
        <w:t xml:space="preserve"> </w:t>
      </w:r>
    </w:p>
    <w:p w14:paraId="5642C51D" w14:textId="4A107AB1" w:rsidR="00B862CB" w:rsidRPr="00B862CB" w:rsidRDefault="009A3CE6" w:rsidP="00837827">
      <w:r>
        <w:t xml:space="preserve">Vaccine impact is measured by the decrease in the N-year cumulative probability of an outbreak comparing a mass </w:t>
      </w:r>
      <w:r w:rsidR="00103784">
        <w:t xml:space="preserve">WC </w:t>
      </w:r>
      <w:r>
        <w:t>vaccination campaign with VC=1 versus no vaccination, and is shown to reach maxima</w:t>
      </w:r>
      <w:r w:rsidR="00103784">
        <w:t xml:space="preserve"> (triangles)</w:t>
      </w:r>
      <w:r>
        <w:t xml:space="preserve"> at intermediate levels of connectivity. The ti</w:t>
      </w:r>
      <w:r w:rsidR="005D6069">
        <w:t xml:space="preserve">me </w:t>
      </w:r>
      <w:r>
        <w:t xml:space="preserve">since vaccination (colored lines) modifies these maxima. </w:t>
      </w:r>
      <w:r w:rsidR="00503E17">
        <w:t>Vertical grey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p w14:paraId="1921ED51" w14:textId="77777777" w:rsidR="001B42D3" w:rsidRDefault="00246BDD" w:rsidP="00D77E67">
      <w:pPr>
        <w:rPr>
          <w:b/>
        </w:rPr>
      </w:pPr>
      <w:r>
        <w:rPr>
          <w:b/>
        </w:rPr>
        <w:t>Figure FF. Vaccine strategies to maximize DHI.</w:t>
      </w:r>
    </w:p>
    <w:p w14:paraId="18569DF4" w14:textId="4599F54C" w:rsidR="00246BDD" w:rsidRPr="001B42D3" w:rsidRDefault="006F2CC8" w:rsidP="00D77E67">
      <w:pPr>
        <w:rPr>
          <w:b/>
        </w:rPr>
      </w:pPr>
      <w:r w:rsidRPr="006F2CC8">
        <w:t>(A)</w:t>
      </w:r>
      <w:r>
        <w:t xml:space="preserve"> </w:t>
      </w:r>
      <w:r w:rsidR="00246BDD" w:rsidRPr="006F2CC8">
        <w:t>Recurring</w:t>
      </w:r>
      <w:r>
        <w:t xml:space="preserve"> mass vaccination</w:t>
      </w:r>
      <w:r w:rsidR="00246BDD">
        <w:t xml:space="preserve"> with 100% coverage of </w:t>
      </w:r>
      <w:proofErr w:type="spellStart"/>
      <w:r w:rsidR="00246BDD">
        <w:t>susceptibles</w:t>
      </w:r>
      <w:proofErr w:type="spellEnd"/>
      <w:r w:rsidR="00246BDD">
        <w:t xml:space="preserve"> every year (dashed line) </w:t>
      </w:r>
      <w:r>
        <w:t>or two years (dotted line) is shown to periodically achieve then lose herd immunity, as recorded by the faded horizontal lines below. (B) M</w:t>
      </w:r>
      <w:r w:rsidR="00246BDD">
        <w:t>ass vaccination of 80% followed by routine vaccination of 8 (green), 12 (teal), or</w:t>
      </w:r>
      <w:r>
        <w:t xml:space="preserve"> 16 (purple) individuals per day is shown to maximize DHI. (C) Routine vaccination only. The following are held constant for all simulations: population size = 10,000; maximum </w:t>
      </w:r>
      <w:r>
        <w:lastRenderedPageBreak/>
        <w:t>vaccine courses = 30,000; R</w:t>
      </w:r>
      <w:r>
        <w:rPr>
          <w:vertAlign w:val="subscript"/>
        </w:rPr>
        <w:t>0</w:t>
      </w:r>
      <w:r>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t>REFERE</w:t>
      </w:r>
      <w:r>
        <w:rPr>
          <w:b/>
        </w:rPr>
        <w:t>NCES</w:t>
      </w:r>
    </w:p>
    <w:p w14:paraId="003D32E5" w14:textId="4179666D" w:rsidR="004B689C" w:rsidRPr="004B689C" w:rsidRDefault="000A51A6" w:rsidP="004B689C">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4B689C" w:rsidRPr="004B689C">
        <w:rPr>
          <w:rFonts w:ascii="Cambria" w:hAnsi="Cambria"/>
          <w:noProof/>
        </w:rPr>
        <w:t>1</w:t>
      </w:r>
      <w:r w:rsidR="004B689C" w:rsidRPr="004B689C">
        <w:rPr>
          <w:rFonts w:ascii="Cambria" w:hAnsi="Cambria"/>
          <w:noProof/>
        </w:rPr>
        <w:tab/>
        <w:t xml:space="preserve">Fine PE. Herd immunity: history, theory, practice. </w:t>
      </w:r>
      <w:r w:rsidR="004B689C" w:rsidRPr="004B689C">
        <w:rPr>
          <w:rFonts w:ascii="Cambria" w:hAnsi="Cambria"/>
          <w:i/>
          <w:iCs/>
          <w:noProof/>
        </w:rPr>
        <w:t>Epidemiol Rev</w:t>
      </w:r>
      <w:r w:rsidR="004B689C" w:rsidRPr="004B689C">
        <w:rPr>
          <w:rFonts w:ascii="Cambria" w:hAnsi="Cambria"/>
          <w:noProof/>
        </w:rPr>
        <w:t xml:space="preserve"> 1993; </w:t>
      </w:r>
      <w:r w:rsidR="004B689C" w:rsidRPr="004B689C">
        <w:rPr>
          <w:rFonts w:ascii="Cambria" w:hAnsi="Cambria"/>
          <w:b/>
          <w:bCs/>
          <w:noProof/>
        </w:rPr>
        <w:t>15</w:t>
      </w:r>
      <w:r w:rsidR="004B689C" w:rsidRPr="004B689C">
        <w:rPr>
          <w:rFonts w:ascii="Cambria" w:hAnsi="Cambria"/>
          <w:noProof/>
        </w:rPr>
        <w:t>: 265–302.</w:t>
      </w:r>
    </w:p>
    <w:p w14:paraId="46D62F1E"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w:t>
      </w:r>
      <w:r w:rsidRPr="004B689C">
        <w:rPr>
          <w:rFonts w:ascii="Cambria" w:hAnsi="Cambria"/>
          <w:noProof/>
        </w:rPr>
        <w:tab/>
        <w:t xml:space="preserve">Anderson RM, May RM. Vaccination and herd immunity to infectious diseases. </w:t>
      </w:r>
      <w:r w:rsidRPr="004B689C">
        <w:rPr>
          <w:rFonts w:ascii="Cambria" w:hAnsi="Cambria"/>
          <w:i/>
          <w:iCs/>
          <w:noProof/>
        </w:rPr>
        <w:t>Nature</w:t>
      </w:r>
      <w:r w:rsidRPr="004B689C">
        <w:rPr>
          <w:rFonts w:ascii="Cambria" w:hAnsi="Cambria"/>
          <w:noProof/>
        </w:rPr>
        <w:t xml:space="preserve"> 1985; </w:t>
      </w:r>
      <w:r w:rsidRPr="004B689C">
        <w:rPr>
          <w:rFonts w:ascii="Cambria" w:hAnsi="Cambria"/>
          <w:b/>
          <w:bCs/>
          <w:noProof/>
        </w:rPr>
        <w:t>318</w:t>
      </w:r>
      <w:r w:rsidRPr="004B689C">
        <w:rPr>
          <w:rFonts w:ascii="Cambria" w:hAnsi="Cambria"/>
          <w:noProof/>
        </w:rPr>
        <w:t>: 323–9.</w:t>
      </w:r>
    </w:p>
    <w:p w14:paraId="21DA6705"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w:t>
      </w:r>
      <w:r w:rsidRPr="004B689C">
        <w:rPr>
          <w:rFonts w:ascii="Cambria" w:hAnsi="Cambria"/>
          <w:noProof/>
        </w:rPr>
        <w:tab/>
        <w:t xml:space="preserve">Heymann DL, Aylward RB. Mass vaccination: When and why. </w:t>
      </w:r>
      <w:r w:rsidRPr="004B689C">
        <w:rPr>
          <w:rFonts w:ascii="Cambria" w:hAnsi="Cambria"/>
          <w:i/>
          <w:iCs/>
          <w:noProof/>
        </w:rPr>
        <w:t>Curr Top Microbiol Immunol</w:t>
      </w:r>
      <w:r w:rsidRPr="004B689C">
        <w:rPr>
          <w:rFonts w:ascii="Cambria" w:hAnsi="Cambria"/>
          <w:noProof/>
        </w:rPr>
        <w:t xml:space="preserve"> 2006; </w:t>
      </w:r>
      <w:r w:rsidRPr="004B689C">
        <w:rPr>
          <w:rFonts w:ascii="Cambria" w:hAnsi="Cambria"/>
          <w:b/>
          <w:bCs/>
          <w:noProof/>
        </w:rPr>
        <w:t>304</w:t>
      </w:r>
      <w:r w:rsidRPr="004B689C">
        <w:rPr>
          <w:rFonts w:ascii="Cambria" w:hAnsi="Cambria"/>
          <w:noProof/>
        </w:rPr>
        <w:t>: 1–16.</w:t>
      </w:r>
    </w:p>
    <w:p w14:paraId="52AEF9DD"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4</w:t>
      </w:r>
      <w:r w:rsidRPr="004B689C">
        <w:rPr>
          <w:rFonts w:ascii="Cambria" w:hAnsi="Cambria"/>
          <w:noProof/>
        </w:rPr>
        <w:tab/>
        <w:t xml:space="preserve">Ali M, Emch M, von Seidlein L, </w:t>
      </w:r>
      <w:r w:rsidRPr="004B689C">
        <w:rPr>
          <w:rFonts w:ascii="Cambria" w:hAnsi="Cambria"/>
          <w:i/>
          <w:iCs/>
          <w:noProof/>
        </w:rPr>
        <w:t>et al.</w:t>
      </w:r>
      <w:r w:rsidRPr="004B689C">
        <w:rPr>
          <w:rFonts w:ascii="Cambria" w:hAnsi="Cambria"/>
          <w:noProof/>
        </w:rPr>
        <w:t xml:space="preserve"> Herd immunity conferred by killed oral cholera vaccines in Bangladesh: a reanalysis. </w:t>
      </w:r>
      <w:r w:rsidRPr="004B689C">
        <w:rPr>
          <w:rFonts w:ascii="Cambria" w:hAnsi="Cambria"/>
          <w:i/>
          <w:iCs/>
          <w:noProof/>
        </w:rPr>
        <w:t>Lancet</w:t>
      </w:r>
      <w:r w:rsidRPr="004B689C">
        <w:rPr>
          <w:rFonts w:ascii="Cambria" w:hAnsi="Cambria"/>
          <w:noProof/>
        </w:rPr>
        <w:t xml:space="preserve"> 2005; </w:t>
      </w:r>
      <w:r w:rsidRPr="004B689C">
        <w:rPr>
          <w:rFonts w:ascii="Cambria" w:hAnsi="Cambria"/>
          <w:b/>
          <w:bCs/>
          <w:noProof/>
        </w:rPr>
        <w:t>366</w:t>
      </w:r>
      <w:r w:rsidRPr="004B689C">
        <w:rPr>
          <w:rFonts w:ascii="Cambria" w:hAnsi="Cambria"/>
          <w:noProof/>
        </w:rPr>
        <w:t>: 44–9.</w:t>
      </w:r>
    </w:p>
    <w:p w14:paraId="1DB48554"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5</w:t>
      </w:r>
      <w:r w:rsidRPr="004B689C">
        <w:rPr>
          <w:rFonts w:ascii="Cambria" w:hAnsi="Cambria"/>
          <w:noProof/>
        </w:rPr>
        <w:tab/>
        <w:t xml:space="preserve">Ali M, Sur D, You YA, </w:t>
      </w:r>
      <w:r w:rsidRPr="004B689C">
        <w:rPr>
          <w:rFonts w:ascii="Cambria" w:hAnsi="Cambria"/>
          <w:i/>
          <w:iCs/>
          <w:noProof/>
        </w:rPr>
        <w:t>et al.</w:t>
      </w:r>
      <w:r w:rsidRPr="004B689C">
        <w:rPr>
          <w:rFonts w:ascii="Cambria" w:hAnsi="Cambria"/>
          <w:noProof/>
        </w:rPr>
        <w:t xml:space="preserve"> Herd protection by a bivalent killed whole-cell oral cholera vaccine in the slums of Kolkata, India. </w:t>
      </w:r>
      <w:r w:rsidRPr="004B689C">
        <w:rPr>
          <w:rFonts w:ascii="Cambria" w:hAnsi="Cambria"/>
          <w:i/>
          <w:iCs/>
          <w:noProof/>
        </w:rPr>
        <w:t>Clin Infect Dis</w:t>
      </w:r>
      <w:r w:rsidRPr="004B689C">
        <w:rPr>
          <w:rFonts w:ascii="Cambria" w:hAnsi="Cambria"/>
          <w:noProof/>
        </w:rPr>
        <w:t xml:space="preserve"> 2013; </w:t>
      </w:r>
      <w:r w:rsidRPr="004B689C">
        <w:rPr>
          <w:rFonts w:ascii="Cambria" w:hAnsi="Cambria"/>
          <w:b/>
          <w:bCs/>
          <w:noProof/>
        </w:rPr>
        <w:t>56</w:t>
      </w:r>
      <w:r w:rsidRPr="004B689C">
        <w:rPr>
          <w:rFonts w:ascii="Cambria" w:hAnsi="Cambria"/>
          <w:noProof/>
        </w:rPr>
        <w:t>: 1123–31.</w:t>
      </w:r>
    </w:p>
    <w:p w14:paraId="316BAC8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6</w:t>
      </w:r>
      <w:r w:rsidRPr="004B689C">
        <w:rPr>
          <w:rFonts w:ascii="Cambria" w:hAnsi="Cambria"/>
          <w:noProof/>
        </w:rPr>
        <w:tab/>
        <w:t xml:space="preserve">World Health Organization. Cholera, 2015. </w:t>
      </w:r>
      <w:r w:rsidRPr="004B689C">
        <w:rPr>
          <w:rFonts w:ascii="Cambria" w:hAnsi="Cambria"/>
          <w:i/>
          <w:iCs/>
          <w:noProof/>
        </w:rPr>
        <w:t>Wkly Epidemiol Rec</w:t>
      </w:r>
      <w:r w:rsidRPr="004B689C">
        <w:rPr>
          <w:rFonts w:ascii="Cambria" w:hAnsi="Cambria"/>
          <w:noProof/>
        </w:rPr>
        <w:t xml:space="preserve"> 2016; </w:t>
      </w:r>
      <w:r w:rsidRPr="004B689C">
        <w:rPr>
          <w:rFonts w:ascii="Cambria" w:hAnsi="Cambria"/>
          <w:b/>
          <w:bCs/>
          <w:noProof/>
        </w:rPr>
        <w:t>38</w:t>
      </w:r>
      <w:r w:rsidRPr="004B689C">
        <w:rPr>
          <w:rFonts w:ascii="Cambria" w:hAnsi="Cambria"/>
          <w:noProof/>
        </w:rPr>
        <w:t>: 433–40.</w:t>
      </w:r>
    </w:p>
    <w:p w14:paraId="0AC675B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7</w:t>
      </w:r>
      <w:r w:rsidRPr="004B689C">
        <w:rPr>
          <w:rFonts w:ascii="Cambria" w:hAnsi="Cambria"/>
          <w:noProof/>
        </w:rPr>
        <w:tab/>
        <w:t xml:space="preserve">Clemens J, Holmgren J. When, How, and Where can Oral Cholera Vaccines be Used to Interrupt Cholera Outbreaks? </w:t>
      </w:r>
      <w:r w:rsidRPr="004B689C">
        <w:rPr>
          <w:rFonts w:ascii="Cambria" w:hAnsi="Cambria"/>
          <w:i/>
          <w:iCs/>
          <w:noProof/>
        </w:rPr>
        <w:t>Curr Top Microbiol Immunol</w:t>
      </w:r>
      <w:r w:rsidRPr="004B689C">
        <w:rPr>
          <w:rFonts w:ascii="Cambria" w:hAnsi="Cambria"/>
          <w:noProof/>
        </w:rPr>
        <w:t xml:space="preserve"> 2014; : 231–58.</w:t>
      </w:r>
    </w:p>
    <w:p w14:paraId="7A9D8EB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8</w:t>
      </w:r>
      <w:r w:rsidRPr="004B689C">
        <w:rPr>
          <w:rFonts w:ascii="Cambria" w:hAnsi="Cambria"/>
          <w:noProof/>
        </w:rPr>
        <w:tab/>
        <w:t>Ministry of Health. Situation Report #93 on Cholera in South Sudan As at 23:59 Hours , 3 November 2016. 2016.</w:t>
      </w:r>
    </w:p>
    <w:p w14:paraId="09790203"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9</w:t>
      </w:r>
      <w:r w:rsidRPr="004B689C">
        <w:rPr>
          <w:rFonts w:ascii="Cambria" w:hAnsi="Cambria"/>
          <w:noProof/>
        </w:rPr>
        <w:tab/>
        <w:t xml:space="preserve">Sur D, Kanungo S, Sah B, </w:t>
      </w:r>
      <w:r w:rsidRPr="004B689C">
        <w:rPr>
          <w:rFonts w:ascii="Cambria" w:hAnsi="Cambria"/>
          <w:i/>
          <w:iCs/>
          <w:noProof/>
        </w:rPr>
        <w:t>et al.</w:t>
      </w:r>
      <w:r w:rsidRPr="004B689C">
        <w:rPr>
          <w:rFonts w:ascii="Cambria" w:hAnsi="Cambria"/>
          <w:noProof/>
        </w:rPr>
        <w:t xml:space="preserve"> Efficacy of a Low-Cost, inactivated Whole-Cell oral cholera vaccine: Results from 3 years of Follow-Up of a randomized, controlled trial. </w:t>
      </w:r>
      <w:r w:rsidRPr="004B689C">
        <w:rPr>
          <w:rFonts w:ascii="Cambria" w:hAnsi="Cambria"/>
          <w:i/>
          <w:iCs/>
          <w:noProof/>
        </w:rPr>
        <w:t>PLoS Negl Trop Dis</w:t>
      </w:r>
      <w:r w:rsidRPr="004B689C">
        <w:rPr>
          <w:rFonts w:ascii="Cambria" w:hAnsi="Cambria"/>
          <w:noProof/>
        </w:rPr>
        <w:t xml:space="preserve"> 2011; </w:t>
      </w:r>
      <w:r w:rsidRPr="004B689C">
        <w:rPr>
          <w:rFonts w:ascii="Cambria" w:hAnsi="Cambria"/>
          <w:b/>
          <w:bCs/>
          <w:noProof/>
        </w:rPr>
        <w:t>5</w:t>
      </w:r>
      <w:r w:rsidRPr="004B689C">
        <w:rPr>
          <w:rFonts w:ascii="Cambria" w:hAnsi="Cambria"/>
          <w:noProof/>
        </w:rPr>
        <w:t>: 1–6.</w:t>
      </w:r>
    </w:p>
    <w:p w14:paraId="024EE69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10</w:t>
      </w:r>
      <w:r w:rsidRPr="004B689C">
        <w:rPr>
          <w:rFonts w:ascii="Cambria" w:hAnsi="Cambria"/>
          <w:noProof/>
        </w:rPr>
        <w:tab/>
        <w:t xml:space="preserve">Qadri F, Ali M, Chowdhury F, </w:t>
      </w:r>
      <w:r w:rsidRPr="004B689C">
        <w:rPr>
          <w:rFonts w:ascii="Cambria" w:hAnsi="Cambria"/>
          <w:i/>
          <w:iCs/>
          <w:noProof/>
        </w:rPr>
        <w:t>et al.</w:t>
      </w:r>
      <w:r w:rsidRPr="004B689C">
        <w:rPr>
          <w:rFonts w:ascii="Cambria" w:hAnsi="Cambria"/>
          <w:noProof/>
        </w:rPr>
        <w:t xml:space="preserve"> Feasibility and effectiveness of oral cholera vaccine in an urban endemic setting in Bangladesh: a cluster randomised open-label trial. </w:t>
      </w:r>
      <w:r w:rsidRPr="004B689C">
        <w:rPr>
          <w:rFonts w:ascii="Cambria" w:hAnsi="Cambria"/>
          <w:i/>
          <w:iCs/>
          <w:noProof/>
        </w:rPr>
        <w:t>Lancet</w:t>
      </w:r>
      <w:r w:rsidRPr="004B689C">
        <w:rPr>
          <w:rFonts w:ascii="Cambria" w:hAnsi="Cambria"/>
          <w:noProof/>
        </w:rPr>
        <w:t xml:space="preserve"> 2015; </w:t>
      </w:r>
      <w:r w:rsidRPr="004B689C">
        <w:rPr>
          <w:rFonts w:ascii="Cambria" w:hAnsi="Cambria"/>
          <w:b/>
          <w:bCs/>
          <w:noProof/>
        </w:rPr>
        <w:t>6736</w:t>
      </w:r>
      <w:r w:rsidRPr="004B689C">
        <w:rPr>
          <w:rFonts w:ascii="Cambria" w:hAnsi="Cambria"/>
          <w:noProof/>
        </w:rPr>
        <w:t>: 1–10.</w:t>
      </w:r>
    </w:p>
    <w:p w14:paraId="27EFE20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11</w:t>
      </w:r>
      <w:r w:rsidRPr="004B689C">
        <w:rPr>
          <w:rFonts w:ascii="Cambria" w:hAnsi="Cambria"/>
          <w:noProof/>
        </w:rPr>
        <w:tab/>
        <w:t xml:space="preserve">McLean AR, Anderson RM. Measles in developing countries. Part II. The predicted impact of mass vaccination. </w:t>
      </w:r>
      <w:r w:rsidRPr="004B689C">
        <w:rPr>
          <w:rFonts w:ascii="Cambria" w:hAnsi="Cambria"/>
          <w:i/>
          <w:iCs/>
          <w:noProof/>
        </w:rPr>
        <w:t>Epidemiol Infect</w:t>
      </w:r>
      <w:r w:rsidRPr="004B689C">
        <w:rPr>
          <w:rFonts w:ascii="Cambria" w:hAnsi="Cambria"/>
          <w:noProof/>
        </w:rPr>
        <w:t xml:space="preserve"> 1988; </w:t>
      </w:r>
      <w:r w:rsidRPr="004B689C">
        <w:rPr>
          <w:rFonts w:ascii="Cambria" w:hAnsi="Cambria"/>
          <w:b/>
          <w:bCs/>
          <w:noProof/>
        </w:rPr>
        <w:t>100</w:t>
      </w:r>
      <w:r w:rsidRPr="004B689C">
        <w:rPr>
          <w:rFonts w:ascii="Cambria" w:hAnsi="Cambria"/>
          <w:noProof/>
        </w:rPr>
        <w:t>: 419–42.</w:t>
      </w:r>
    </w:p>
    <w:p w14:paraId="38BE02FA"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12</w:t>
      </w:r>
      <w:r w:rsidRPr="004B689C">
        <w:rPr>
          <w:rFonts w:ascii="Cambria" w:hAnsi="Cambria"/>
          <w:noProof/>
        </w:rPr>
        <w:tab/>
        <w:t xml:space="preserve">Mclean AR, Blower SM. Imperfect Vaccines and Herd Immunity to HIV. </w:t>
      </w:r>
      <w:r w:rsidRPr="004B689C">
        <w:rPr>
          <w:rFonts w:ascii="Cambria" w:hAnsi="Cambria"/>
          <w:i/>
          <w:iCs/>
          <w:noProof/>
        </w:rPr>
        <w:t>Proc R Soc B Biol Sci</w:t>
      </w:r>
      <w:r w:rsidRPr="004B689C">
        <w:rPr>
          <w:rFonts w:ascii="Cambria" w:hAnsi="Cambria"/>
          <w:noProof/>
        </w:rPr>
        <w:t xml:space="preserve"> 1993; </w:t>
      </w:r>
      <w:r w:rsidRPr="004B689C">
        <w:rPr>
          <w:rFonts w:ascii="Cambria" w:hAnsi="Cambria"/>
          <w:b/>
          <w:bCs/>
          <w:noProof/>
        </w:rPr>
        <w:t>253</w:t>
      </w:r>
      <w:r w:rsidRPr="004B689C">
        <w:rPr>
          <w:rFonts w:ascii="Cambria" w:hAnsi="Cambria"/>
          <w:noProof/>
        </w:rPr>
        <w:t>: 9–13.</w:t>
      </w:r>
    </w:p>
    <w:p w14:paraId="6C850DA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13</w:t>
      </w:r>
      <w:r w:rsidRPr="004B689C">
        <w:rPr>
          <w:rFonts w:ascii="Cambria" w:hAnsi="Cambria"/>
          <w:noProof/>
        </w:rPr>
        <w:tab/>
        <w:t xml:space="preserve">Blower S, Schwartz EJ, Mills J. Forecasting the future of HIV epidemics: The impact of antiretroviral therapies &amp; imperfect vaccines. </w:t>
      </w:r>
      <w:r w:rsidRPr="004B689C">
        <w:rPr>
          <w:rFonts w:ascii="Cambria" w:hAnsi="Cambria"/>
          <w:i/>
          <w:iCs/>
          <w:noProof/>
        </w:rPr>
        <w:t>AIDS Rev</w:t>
      </w:r>
      <w:r w:rsidRPr="004B689C">
        <w:rPr>
          <w:rFonts w:ascii="Cambria" w:hAnsi="Cambria"/>
          <w:noProof/>
        </w:rPr>
        <w:t xml:space="preserve"> 2003; </w:t>
      </w:r>
      <w:r w:rsidRPr="004B689C">
        <w:rPr>
          <w:rFonts w:ascii="Cambria" w:hAnsi="Cambria"/>
          <w:b/>
          <w:bCs/>
          <w:noProof/>
        </w:rPr>
        <w:t>5</w:t>
      </w:r>
      <w:r w:rsidRPr="004B689C">
        <w:rPr>
          <w:rFonts w:ascii="Cambria" w:hAnsi="Cambria"/>
          <w:noProof/>
        </w:rPr>
        <w:t>: 113–25.</w:t>
      </w:r>
    </w:p>
    <w:p w14:paraId="4769C1E5"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14</w:t>
      </w:r>
      <w:r w:rsidRPr="004B689C">
        <w:rPr>
          <w:rFonts w:ascii="Cambria" w:hAnsi="Cambria"/>
          <w:noProof/>
        </w:rPr>
        <w:tab/>
        <w:t xml:space="preserve">Mossong J, Muller CP. Modelling measles re-emergence as a result of waning of immunity in vaccinated populations. </w:t>
      </w:r>
      <w:r w:rsidRPr="004B689C">
        <w:rPr>
          <w:rFonts w:ascii="Cambria" w:hAnsi="Cambria"/>
          <w:i/>
          <w:iCs/>
          <w:noProof/>
        </w:rPr>
        <w:t>Vaccine</w:t>
      </w:r>
      <w:r w:rsidRPr="004B689C">
        <w:rPr>
          <w:rFonts w:ascii="Cambria" w:hAnsi="Cambria"/>
          <w:noProof/>
        </w:rPr>
        <w:t xml:space="preserve"> 2003; </w:t>
      </w:r>
      <w:r w:rsidRPr="004B689C">
        <w:rPr>
          <w:rFonts w:ascii="Cambria" w:hAnsi="Cambria"/>
          <w:b/>
          <w:bCs/>
          <w:noProof/>
        </w:rPr>
        <w:t>21</w:t>
      </w:r>
      <w:r w:rsidRPr="004B689C">
        <w:rPr>
          <w:rFonts w:ascii="Cambria" w:hAnsi="Cambria"/>
          <w:noProof/>
        </w:rPr>
        <w:t>: 4597–603.</w:t>
      </w:r>
    </w:p>
    <w:p w14:paraId="3F403C58"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15</w:t>
      </w:r>
      <w:r w:rsidRPr="004B689C">
        <w:rPr>
          <w:rFonts w:ascii="Cambria" w:hAnsi="Cambria"/>
          <w:noProof/>
        </w:rPr>
        <w:tab/>
        <w:t xml:space="preserve">MAGPANTAY FMG, DOMENECH DE CELLÈS M, ROHANI P, KING AA. Pertussis immunity and epidemiology: mode and duration of vaccine-induced immunity. </w:t>
      </w:r>
      <w:r w:rsidRPr="004B689C">
        <w:rPr>
          <w:rFonts w:ascii="Cambria" w:hAnsi="Cambria"/>
          <w:i/>
          <w:iCs/>
          <w:noProof/>
        </w:rPr>
        <w:t>Parasitology</w:t>
      </w:r>
      <w:r w:rsidRPr="004B689C">
        <w:rPr>
          <w:rFonts w:ascii="Cambria" w:hAnsi="Cambria"/>
          <w:noProof/>
        </w:rPr>
        <w:t xml:space="preserve"> 2016; </w:t>
      </w:r>
      <w:r w:rsidRPr="004B689C">
        <w:rPr>
          <w:rFonts w:ascii="Cambria" w:hAnsi="Cambria"/>
          <w:b/>
          <w:bCs/>
          <w:noProof/>
        </w:rPr>
        <w:t>143</w:t>
      </w:r>
      <w:r w:rsidRPr="004B689C">
        <w:rPr>
          <w:rFonts w:ascii="Cambria" w:hAnsi="Cambria"/>
          <w:noProof/>
        </w:rPr>
        <w:t>: 835–49.</w:t>
      </w:r>
    </w:p>
    <w:p w14:paraId="1E57C0C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16</w:t>
      </w:r>
      <w:r w:rsidRPr="004B689C">
        <w:rPr>
          <w:rFonts w:ascii="Cambria" w:hAnsi="Cambria"/>
          <w:noProof/>
        </w:rPr>
        <w:tab/>
        <w:t xml:space="preserve">Metcalf CJE, Lessler J, Klepac P, Cutts F, Grenfell BT. Impact of birth rate, seasonality and transmission rate on minimum levels of coverage needed for rubella vaccination. </w:t>
      </w:r>
      <w:r w:rsidRPr="004B689C">
        <w:rPr>
          <w:rFonts w:ascii="Cambria" w:hAnsi="Cambria"/>
          <w:i/>
          <w:iCs/>
          <w:noProof/>
        </w:rPr>
        <w:t>Epidemiol Infect</w:t>
      </w:r>
      <w:r w:rsidRPr="004B689C">
        <w:rPr>
          <w:rFonts w:ascii="Cambria" w:hAnsi="Cambria"/>
          <w:noProof/>
        </w:rPr>
        <w:t xml:space="preserve"> 2012; </w:t>
      </w:r>
      <w:r w:rsidRPr="004B689C">
        <w:rPr>
          <w:rFonts w:ascii="Cambria" w:hAnsi="Cambria"/>
          <w:b/>
          <w:bCs/>
          <w:noProof/>
        </w:rPr>
        <w:t>140</w:t>
      </w:r>
      <w:r w:rsidRPr="004B689C">
        <w:rPr>
          <w:rFonts w:ascii="Cambria" w:hAnsi="Cambria"/>
          <w:noProof/>
        </w:rPr>
        <w:t>: 2290–301.</w:t>
      </w:r>
    </w:p>
    <w:p w14:paraId="278A7C3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17</w:t>
      </w:r>
      <w:r w:rsidRPr="004B689C">
        <w:rPr>
          <w:rFonts w:ascii="Cambria" w:hAnsi="Cambria"/>
          <w:noProof/>
        </w:rPr>
        <w:tab/>
        <w:t xml:space="preserve">Lloyd AL. Realistic distributions of infectious periods in epidemic models: changing patterns of persistence and dynamics. </w:t>
      </w:r>
      <w:r w:rsidRPr="004B689C">
        <w:rPr>
          <w:rFonts w:ascii="Cambria" w:hAnsi="Cambria"/>
          <w:i/>
          <w:iCs/>
          <w:noProof/>
        </w:rPr>
        <w:t>Theor Popul Biol</w:t>
      </w:r>
      <w:r w:rsidRPr="004B689C">
        <w:rPr>
          <w:rFonts w:ascii="Cambria" w:hAnsi="Cambria"/>
          <w:noProof/>
        </w:rPr>
        <w:t xml:space="preserve"> 2001; </w:t>
      </w:r>
      <w:r w:rsidRPr="004B689C">
        <w:rPr>
          <w:rFonts w:ascii="Cambria" w:hAnsi="Cambria"/>
          <w:b/>
          <w:bCs/>
          <w:noProof/>
        </w:rPr>
        <w:t>60</w:t>
      </w:r>
      <w:r w:rsidRPr="004B689C">
        <w:rPr>
          <w:rFonts w:ascii="Cambria" w:hAnsi="Cambria"/>
          <w:noProof/>
        </w:rPr>
        <w:t>: 59–71.</w:t>
      </w:r>
    </w:p>
    <w:p w14:paraId="06CC042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18</w:t>
      </w:r>
      <w:r w:rsidRPr="004B689C">
        <w:rPr>
          <w:rFonts w:ascii="Cambria" w:hAnsi="Cambria"/>
          <w:noProof/>
        </w:rPr>
        <w:tab/>
        <w:t xml:space="preserve">Krylova O, Earn DJD. Effects of the infectious period distribution on predicted transitions in childhood disease dynamics. </w:t>
      </w:r>
      <w:r w:rsidRPr="004B689C">
        <w:rPr>
          <w:rFonts w:ascii="Cambria" w:hAnsi="Cambria"/>
          <w:i/>
          <w:iCs/>
          <w:noProof/>
        </w:rPr>
        <w:t>J R Soc Interface</w:t>
      </w:r>
      <w:r w:rsidRPr="004B689C">
        <w:rPr>
          <w:rFonts w:ascii="Cambria" w:hAnsi="Cambria"/>
          <w:noProof/>
        </w:rPr>
        <w:t xml:space="preserve"> 2013; </w:t>
      </w:r>
      <w:r w:rsidRPr="004B689C">
        <w:rPr>
          <w:rFonts w:ascii="Cambria" w:hAnsi="Cambria"/>
          <w:b/>
          <w:bCs/>
          <w:noProof/>
        </w:rPr>
        <w:t>10</w:t>
      </w:r>
      <w:r w:rsidRPr="004B689C">
        <w:rPr>
          <w:rFonts w:ascii="Cambria" w:hAnsi="Cambria"/>
          <w:noProof/>
        </w:rPr>
        <w:t>: 20130098.</w:t>
      </w:r>
    </w:p>
    <w:p w14:paraId="5BC717AA"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19</w:t>
      </w:r>
      <w:r w:rsidRPr="004B689C">
        <w:rPr>
          <w:rFonts w:ascii="Cambria" w:hAnsi="Cambria"/>
          <w:noProof/>
        </w:rPr>
        <w:tab/>
        <w:t xml:space="preserve">Soetaert K, Petzoldt T, Setzer RW. Package deSolve : Solving Initial Value Differential Equations in R. </w:t>
      </w:r>
      <w:r w:rsidRPr="004B689C">
        <w:rPr>
          <w:rFonts w:ascii="Cambria" w:hAnsi="Cambria"/>
          <w:i/>
          <w:iCs/>
          <w:noProof/>
        </w:rPr>
        <w:t>J Stat Softw</w:t>
      </w:r>
      <w:r w:rsidRPr="004B689C">
        <w:rPr>
          <w:rFonts w:ascii="Cambria" w:hAnsi="Cambria"/>
          <w:noProof/>
        </w:rPr>
        <w:t xml:space="preserve"> 2010; </w:t>
      </w:r>
      <w:r w:rsidRPr="004B689C">
        <w:rPr>
          <w:rFonts w:ascii="Cambria" w:hAnsi="Cambria"/>
          <w:b/>
          <w:bCs/>
          <w:noProof/>
        </w:rPr>
        <w:t>33</w:t>
      </w:r>
      <w:r w:rsidRPr="004B689C">
        <w:rPr>
          <w:rFonts w:ascii="Cambria" w:hAnsi="Cambria"/>
          <w:noProof/>
        </w:rPr>
        <w:t>: 1–25.</w:t>
      </w:r>
    </w:p>
    <w:p w14:paraId="7FE3BF0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20</w:t>
      </w:r>
      <w:r w:rsidRPr="004B689C">
        <w:rPr>
          <w:rFonts w:ascii="Cambria" w:hAnsi="Cambria"/>
          <w:noProof/>
        </w:rPr>
        <w:tab/>
        <w:t xml:space="preserve">Clemens JD, Sack D a, Harris JR, </w:t>
      </w:r>
      <w:r w:rsidRPr="004B689C">
        <w:rPr>
          <w:rFonts w:ascii="Cambria" w:hAnsi="Cambria"/>
          <w:i/>
          <w:iCs/>
          <w:noProof/>
        </w:rPr>
        <w:t>et al.</w:t>
      </w:r>
      <w:r w:rsidRPr="004B689C">
        <w:rPr>
          <w:rFonts w:ascii="Cambria" w:hAnsi="Cambria"/>
          <w:noProof/>
        </w:rPr>
        <w:t xml:space="preserve"> Field trial of oral cholera vaccines in Bangladesh: results from three-year follow-up. </w:t>
      </w:r>
      <w:r w:rsidRPr="004B689C">
        <w:rPr>
          <w:rFonts w:ascii="Cambria" w:hAnsi="Cambria"/>
          <w:i/>
          <w:iCs/>
          <w:noProof/>
        </w:rPr>
        <w:t>Lancet</w:t>
      </w:r>
      <w:r w:rsidRPr="004B689C">
        <w:rPr>
          <w:rFonts w:ascii="Cambria" w:hAnsi="Cambria"/>
          <w:noProof/>
        </w:rPr>
        <w:t xml:space="preserve"> 1990; </w:t>
      </w:r>
      <w:r w:rsidRPr="004B689C">
        <w:rPr>
          <w:rFonts w:ascii="Cambria" w:hAnsi="Cambria"/>
          <w:b/>
          <w:bCs/>
          <w:noProof/>
        </w:rPr>
        <w:t>335</w:t>
      </w:r>
      <w:r w:rsidRPr="004B689C">
        <w:rPr>
          <w:rFonts w:ascii="Cambria" w:hAnsi="Cambria"/>
          <w:noProof/>
        </w:rPr>
        <w:t>: 270–3.</w:t>
      </w:r>
    </w:p>
    <w:p w14:paraId="5F2378EE"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21</w:t>
      </w:r>
      <w:r w:rsidRPr="004B689C">
        <w:rPr>
          <w:rFonts w:ascii="Cambria" w:hAnsi="Cambria"/>
          <w:noProof/>
        </w:rPr>
        <w:tab/>
        <w:t xml:space="preserve">Durham LK, Longini IM, Halloran ME, Clemens JD, Nizam A, Rao M. Estimation of vaccine efficacy in the presence of waning: application to cholera vaccines. </w:t>
      </w:r>
      <w:r w:rsidRPr="004B689C">
        <w:rPr>
          <w:rFonts w:ascii="Cambria" w:hAnsi="Cambria"/>
          <w:i/>
          <w:iCs/>
          <w:noProof/>
        </w:rPr>
        <w:t>Am J Epidemiol</w:t>
      </w:r>
      <w:r w:rsidRPr="004B689C">
        <w:rPr>
          <w:rFonts w:ascii="Cambria" w:hAnsi="Cambria"/>
          <w:noProof/>
        </w:rPr>
        <w:t xml:space="preserve"> 1998; </w:t>
      </w:r>
      <w:r w:rsidRPr="004B689C">
        <w:rPr>
          <w:rFonts w:ascii="Cambria" w:hAnsi="Cambria"/>
          <w:b/>
          <w:bCs/>
          <w:noProof/>
        </w:rPr>
        <w:t>147</w:t>
      </w:r>
      <w:r w:rsidRPr="004B689C">
        <w:rPr>
          <w:rFonts w:ascii="Cambria" w:hAnsi="Cambria"/>
          <w:noProof/>
        </w:rPr>
        <w:t>: 948–59.</w:t>
      </w:r>
    </w:p>
    <w:p w14:paraId="6EE32E2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22</w:t>
      </w:r>
      <w:r w:rsidRPr="004B689C">
        <w:rPr>
          <w:rFonts w:ascii="Cambria" w:hAnsi="Cambria"/>
          <w:noProof/>
        </w:rPr>
        <w:tab/>
        <w:t>Becker NG. Minor outbreaks when infectives are homogenous. In: Modeling to Inform Infectious Disease Control. 2015: 7–28.</w:t>
      </w:r>
    </w:p>
    <w:p w14:paraId="1C6DA8DE"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23</w:t>
      </w:r>
      <w:r w:rsidRPr="004B689C">
        <w:rPr>
          <w:rFonts w:ascii="Cambria" w:hAnsi="Cambria"/>
          <w:noProof/>
        </w:rPr>
        <w:tab/>
        <w:t xml:space="preserve">Mott J. The Distribution of the Time-to-Emptiness of a Discrete Dam Under Steady Demand. </w:t>
      </w:r>
      <w:r w:rsidRPr="004B689C">
        <w:rPr>
          <w:rFonts w:ascii="Cambria" w:hAnsi="Cambria"/>
          <w:i/>
          <w:iCs/>
          <w:noProof/>
        </w:rPr>
        <w:t>J R Stat Soc Ser B</w:t>
      </w:r>
      <w:r w:rsidRPr="004B689C">
        <w:rPr>
          <w:rFonts w:ascii="Cambria" w:hAnsi="Cambria"/>
          <w:noProof/>
        </w:rPr>
        <w:t xml:space="preserve"> 1963; </w:t>
      </w:r>
      <w:r w:rsidRPr="004B689C">
        <w:rPr>
          <w:rFonts w:ascii="Cambria" w:hAnsi="Cambria"/>
          <w:b/>
          <w:bCs/>
          <w:noProof/>
        </w:rPr>
        <w:t>25</w:t>
      </w:r>
      <w:r w:rsidRPr="004B689C">
        <w:rPr>
          <w:rFonts w:ascii="Cambria" w:hAnsi="Cambria"/>
          <w:noProof/>
        </w:rPr>
        <w:t>: 137–9.</w:t>
      </w:r>
    </w:p>
    <w:p w14:paraId="35F4104F"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24</w:t>
      </w:r>
      <w:r w:rsidRPr="004B689C">
        <w:rPr>
          <w:rFonts w:ascii="Cambria" w:hAnsi="Cambria"/>
          <w:noProof/>
        </w:rPr>
        <w:tab/>
        <w:t>UNFPA. Monthly Humanitairan Update - South Sudan Conflict. 2016 http://reliefweb.int/sites/reliefweb.int/files/resources/SSD_Monthly_Humanitarian_Update_August.pdf.</w:t>
      </w:r>
    </w:p>
    <w:p w14:paraId="6F22815C"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25</w:t>
      </w:r>
      <w:r w:rsidRPr="004B689C">
        <w:rPr>
          <w:rFonts w:ascii="Cambria" w:hAnsi="Cambria"/>
          <w:noProof/>
        </w:rPr>
        <w:tab/>
        <w:t xml:space="preserve">Azman AS, Rudolph KE, Cummings D a T, Lessler J. The incubation period of cholera: a systematic review. </w:t>
      </w:r>
      <w:r w:rsidRPr="004B689C">
        <w:rPr>
          <w:rFonts w:ascii="Cambria" w:hAnsi="Cambria"/>
          <w:i/>
          <w:iCs/>
          <w:noProof/>
        </w:rPr>
        <w:t>J Infect</w:t>
      </w:r>
      <w:r w:rsidRPr="004B689C">
        <w:rPr>
          <w:rFonts w:ascii="Cambria" w:hAnsi="Cambria"/>
          <w:noProof/>
        </w:rPr>
        <w:t xml:space="preserve"> 2013; </w:t>
      </w:r>
      <w:r w:rsidRPr="004B689C">
        <w:rPr>
          <w:rFonts w:ascii="Cambria" w:hAnsi="Cambria"/>
          <w:b/>
          <w:bCs/>
          <w:noProof/>
        </w:rPr>
        <w:t>66</w:t>
      </w:r>
      <w:r w:rsidRPr="004B689C">
        <w:rPr>
          <w:rFonts w:ascii="Cambria" w:hAnsi="Cambria"/>
          <w:noProof/>
        </w:rPr>
        <w:t>: 432–8.</w:t>
      </w:r>
    </w:p>
    <w:p w14:paraId="19C99E62"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26</w:t>
      </w:r>
      <w:r w:rsidRPr="004B689C">
        <w:rPr>
          <w:rFonts w:ascii="Cambria" w:hAnsi="Cambria"/>
          <w:noProof/>
        </w:rPr>
        <w:tab/>
        <w:t xml:space="preserve">Azman AS, Luquero FJ, Ciglenecki I, Grais RF, Sack D a., Lessler J. The Impact of a One-Dose versus Two-Dose Oral Cholera Vaccine Regimen in Outbreak Settings: A Modeling Study. </w:t>
      </w:r>
      <w:r w:rsidRPr="004B689C">
        <w:rPr>
          <w:rFonts w:ascii="Cambria" w:hAnsi="Cambria"/>
          <w:i/>
          <w:iCs/>
          <w:noProof/>
        </w:rPr>
        <w:t>PLOS Med</w:t>
      </w:r>
      <w:r w:rsidRPr="004B689C">
        <w:rPr>
          <w:rFonts w:ascii="Cambria" w:hAnsi="Cambria"/>
          <w:noProof/>
        </w:rPr>
        <w:t xml:space="preserve"> 2015; </w:t>
      </w:r>
      <w:r w:rsidRPr="004B689C">
        <w:rPr>
          <w:rFonts w:ascii="Cambria" w:hAnsi="Cambria"/>
          <w:b/>
          <w:bCs/>
          <w:noProof/>
        </w:rPr>
        <w:t>12</w:t>
      </w:r>
      <w:r w:rsidRPr="004B689C">
        <w:rPr>
          <w:rFonts w:ascii="Cambria" w:hAnsi="Cambria"/>
          <w:noProof/>
        </w:rPr>
        <w:t>: e1001867.</w:t>
      </w:r>
    </w:p>
    <w:p w14:paraId="66CDE818"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27</w:t>
      </w:r>
      <w:r w:rsidRPr="004B689C">
        <w:rPr>
          <w:rFonts w:ascii="Cambria" w:hAnsi="Cambria"/>
          <w:noProof/>
        </w:rPr>
        <w:tab/>
        <w:t xml:space="preserve">Weil A a, Khan AI, Chowdhury F, </w:t>
      </w:r>
      <w:r w:rsidRPr="004B689C">
        <w:rPr>
          <w:rFonts w:ascii="Cambria" w:hAnsi="Cambria"/>
          <w:i/>
          <w:iCs/>
          <w:noProof/>
        </w:rPr>
        <w:t>et al.</w:t>
      </w:r>
      <w:r w:rsidRPr="004B689C">
        <w:rPr>
          <w:rFonts w:ascii="Cambria" w:hAnsi="Cambria"/>
          <w:noProof/>
        </w:rPr>
        <w:t xml:space="preserve"> Clinical outcomes in household contacts of patients with cholera in Bangladesh. </w:t>
      </w:r>
      <w:r w:rsidRPr="004B689C">
        <w:rPr>
          <w:rFonts w:ascii="Cambria" w:hAnsi="Cambria"/>
          <w:i/>
          <w:iCs/>
          <w:noProof/>
        </w:rPr>
        <w:t>Clin Infect Dis</w:t>
      </w:r>
      <w:r w:rsidRPr="004B689C">
        <w:rPr>
          <w:rFonts w:ascii="Cambria" w:hAnsi="Cambria"/>
          <w:noProof/>
        </w:rPr>
        <w:t xml:space="preserve"> 2009; </w:t>
      </w:r>
      <w:r w:rsidRPr="004B689C">
        <w:rPr>
          <w:rFonts w:ascii="Cambria" w:hAnsi="Cambria"/>
          <w:b/>
          <w:bCs/>
          <w:noProof/>
        </w:rPr>
        <w:t>49</w:t>
      </w:r>
      <w:r w:rsidRPr="004B689C">
        <w:rPr>
          <w:rFonts w:ascii="Cambria" w:hAnsi="Cambria"/>
          <w:noProof/>
        </w:rPr>
        <w:t>: 1473–9.</w:t>
      </w:r>
    </w:p>
    <w:p w14:paraId="044DE06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28</w:t>
      </w:r>
      <w:r w:rsidRPr="004B689C">
        <w:rPr>
          <w:rFonts w:ascii="Cambria" w:hAnsi="Cambria"/>
          <w:noProof/>
        </w:rPr>
        <w:tab/>
        <w:t xml:space="preserve">Moore S, Lessler J. Optimal allocation of the limited oral cholera vaccine supply between endemic and epidemic settings. </w:t>
      </w:r>
      <w:r w:rsidRPr="004B689C">
        <w:rPr>
          <w:rFonts w:ascii="Cambria" w:hAnsi="Cambria"/>
          <w:i/>
          <w:iCs/>
          <w:noProof/>
        </w:rPr>
        <w:t>J R Soc …</w:t>
      </w:r>
      <w:r w:rsidRPr="004B689C">
        <w:rPr>
          <w:rFonts w:ascii="Cambria" w:hAnsi="Cambria"/>
          <w:noProof/>
        </w:rPr>
        <w:t xml:space="preserve"> 2015. http://rsif.royalsocietypublishing.org/content/12/111/20150703 (accessed Oct 3, 2015).</w:t>
      </w:r>
    </w:p>
    <w:p w14:paraId="3AA6705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29</w:t>
      </w:r>
      <w:r w:rsidRPr="004B689C">
        <w:rPr>
          <w:rFonts w:ascii="Cambria" w:hAnsi="Cambria"/>
          <w:noProof/>
        </w:rPr>
        <w:tab/>
        <w:t xml:space="preserve">Bhattacharya SK, Sur D, Ali M, </w:t>
      </w:r>
      <w:r w:rsidRPr="004B689C">
        <w:rPr>
          <w:rFonts w:ascii="Cambria" w:hAnsi="Cambria"/>
          <w:i/>
          <w:iCs/>
          <w:noProof/>
        </w:rPr>
        <w:t>et al.</w:t>
      </w:r>
      <w:r w:rsidRPr="004B689C">
        <w:rPr>
          <w:rFonts w:ascii="Cambria" w:hAnsi="Cambria"/>
          <w:noProof/>
        </w:rPr>
        <w:t xml:space="preserve"> 5 year efficacy of a bivalent killed whole-cell oral cholera vaccine in Kolkata, India: a cluster-randomised, double-blind, placebo-controlled trial. </w:t>
      </w:r>
      <w:r w:rsidRPr="004B689C">
        <w:rPr>
          <w:rFonts w:ascii="Cambria" w:hAnsi="Cambria"/>
          <w:i/>
          <w:iCs/>
          <w:noProof/>
        </w:rPr>
        <w:t>Lancet Infect Dis</w:t>
      </w:r>
      <w:r w:rsidRPr="004B689C">
        <w:rPr>
          <w:rFonts w:ascii="Cambria" w:hAnsi="Cambria"/>
          <w:noProof/>
        </w:rPr>
        <w:t xml:space="preserve"> 2013; </w:t>
      </w:r>
      <w:r w:rsidRPr="004B689C">
        <w:rPr>
          <w:rFonts w:ascii="Cambria" w:hAnsi="Cambria"/>
          <w:b/>
          <w:bCs/>
          <w:noProof/>
        </w:rPr>
        <w:t>13</w:t>
      </w:r>
      <w:r w:rsidRPr="004B689C">
        <w:rPr>
          <w:rFonts w:ascii="Cambria" w:hAnsi="Cambria"/>
          <w:noProof/>
        </w:rPr>
        <w:t>: 1050–6.</w:t>
      </w:r>
    </w:p>
    <w:p w14:paraId="1E2F7CF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30</w:t>
      </w:r>
      <w:r w:rsidRPr="004B689C">
        <w:rPr>
          <w:rFonts w:ascii="Cambria" w:hAnsi="Cambria"/>
          <w:noProof/>
        </w:rPr>
        <w:tab/>
        <w:t xml:space="preserve">Van Loon FPL, Clemens JD, Chakraborty J, </w:t>
      </w:r>
      <w:r w:rsidRPr="004B689C">
        <w:rPr>
          <w:rFonts w:ascii="Cambria" w:hAnsi="Cambria"/>
          <w:i/>
          <w:iCs/>
          <w:noProof/>
        </w:rPr>
        <w:t>et al.</w:t>
      </w:r>
      <w:r w:rsidRPr="004B689C">
        <w:rPr>
          <w:rFonts w:ascii="Cambria" w:hAnsi="Cambria"/>
          <w:noProof/>
        </w:rPr>
        <w:t xml:space="preserve"> Field trial of inactivated oral cholera vaccines in Bangladesh: Results from 5 years of follow-up. </w:t>
      </w:r>
      <w:r w:rsidRPr="004B689C">
        <w:rPr>
          <w:rFonts w:ascii="Cambria" w:hAnsi="Cambria"/>
          <w:i/>
          <w:iCs/>
          <w:noProof/>
        </w:rPr>
        <w:t>Vaccine</w:t>
      </w:r>
      <w:r w:rsidRPr="004B689C">
        <w:rPr>
          <w:rFonts w:ascii="Cambria" w:hAnsi="Cambria"/>
          <w:noProof/>
        </w:rPr>
        <w:t xml:space="preserve"> 1996; </w:t>
      </w:r>
      <w:r w:rsidRPr="004B689C">
        <w:rPr>
          <w:rFonts w:ascii="Cambria" w:hAnsi="Cambria"/>
          <w:b/>
          <w:bCs/>
          <w:noProof/>
        </w:rPr>
        <w:t>14</w:t>
      </w:r>
      <w:r w:rsidRPr="004B689C">
        <w:rPr>
          <w:rFonts w:ascii="Cambria" w:hAnsi="Cambria"/>
          <w:noProof/>
        </w:rPr>
        <w:t>: 162–6.</w:t>
      </w:r>
    </w:p>
    <w:p w14:paraId="1ED8CECB"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31</w:t>
      </w:r>
      <w:r w:rsidRPr="004B689C">
        <w:rPr>
          <w:rFonts w:ascii="Cambria" w:hAnsi="Cambria"/>
          <w:noProof/>
        </w:rPr>
        <w:tab/>
        <w:t xml:space="preserve">Fox JP, Elveback L, Scott W, Gatewood L, Ackerman E. Herd Immunity: Basic Concept and Relevance To Public Health Immunization Practices. </w:t>
      </w:r>
      <w:r w:rsidRPr="004B689C">
        <w:rPr>
          <w:rFonts w:ascii="Cambria" w:hAnsi="Cambria"/>
          <w:i/>
          <w:iCs/>
          <w:noProof/>
        </w:rPr>
        <w:t>Am J Epidemiol</w:t>
      </w:r>
      <w:r w:rsidRPr="004B689C">
        <w:rPr>
          <w:rFonts w:ascii="Cambria" w:hAnsi="Cambria"/>
          <w:noProof/>
        </w:rPr>
        <w:t xml:space="preserve"> 1971; </w:t>
      </w:r>
      <w:r w:rsidRPr="004B689C">
        <w:rPr>
          <w:rFonts w:ascii="Cambria" w:hAnsi="Cambria"/>
          <w:b/>
          <w:bCs/>
          <w:noProof/>
        </w:rPr>
        <w:t>94</w:t>
      </w:r>
      <w:r w:rsidRPr="004B689C">
        <w:rPr>
          <w:rFonts w:ascii="Cambria" w:hAnsi="Cambria"/>
          <w:noProof/>
        </w:rPr>
        <w:t>: 187–97.</w:t>
      </w:r>
    </w:p>
    <w:p w14:paraId="7E81FFC9"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32</w:t>
      </w:r>
      <w:r w:rsidRPr="004B689C">
        <w:rPr>
          <w:rFonts w:ascii="Cambria" w:hAnsi="Cambria"/>
          <w:noProof/>
        </w:rPr>
        <w:tab/>
        <w:t xml:space="preserve">Lessler J, Metcalf CJE, Cutts FT, Grenfell BT. Impact on Epidemic Measles of Vaccination Campaigns Triggered by Disease Outbreaks or Serosurveys: A Modeling Study. </w:t>
      </w:r>
      <w:r w:rsidRPr="004B689C">
        <w:rPr>
          <w:rFonts w:ascii="Cambria" w:hAnsi="Cambria"/>
          <w:i/>
          <w:iCs/>
          <w:noProof/>
        </w:rPr>
        <w:t>PLoS Med</w:t>
      </w:r>
      <w:r w:rsidRPr="004B689C">
        <w:rPr>
          <w:rFonts w:ascii="Cambria" w:hAnsi="Cambria"/>
          <w:noProof/>
        </w:rPr>
        <w:t xml:space="preserve"> 2016; </w:t>
      </w:r>
      <w:r w:rsidRPr="004B689C">
        <w:rPr>
          <w:rFonts w:ascii="Cambria" w:hAnsi="Cambria"/>
          <w:b/>
          <w:bCs/>
          <w:noProof/>
        </w:rPr>
        <w:t>13</w:t>
      </w:r>
      <w:r w:rsidRPr="004B689C">
        <w:rPr>
          <w:rFonts w:ascii="Cambria" w:hAnsi="Cambria"/>
          <w:noProof/>
        </w:rPr>
        <w:t>: e1002144.</w:t>
      </w:r>
    </w:p>
    <w:p w14:paraId="5C3EAB24"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33</w:t>
      </w:r>
      <w:r w:rsidRPr="004B689C">
        <w:rPr>
          <w:rFonts w:ascii="Cambria" w:hAnsi="Cambria"/>
          <w:noProof/>
        </w:rPr>
        <w:tab/>
        <w:t>World Health Organization. Guidance on how to access the Oral Cholera Vaccine ( OCV ) from the ICG emergency stockpile. Geneva, Switzerland, 2013 http://www.who.int/cholera/vaccines/Guidance_accessing_OCV_stockpile.pdf.</w:t>
      </w:r>
    </w:p>
    <w:p w14:paraId="6B387E49"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34</w:t>
      </w:r>
      <w:r w:rsidRPr="004B689C">
        <w:rPr>
          <w:rFonts w:ascii="Cambria" w:hAnsi="Cambria"/>
          <w:noProof/>
        </w:rPr>
        <w:tab/>
        <w:t xml:space="preserve">Azman AS, Lessler J. Reactive vaccination in the presence of disease hotspots. </w:t>
      </w:r>
      <w:r w:rsidRPr="004B689C">
        <w:rPr>
          <w:rFonts w:ascii="Cambria" w:hAnsi="Cambria"/>
          <w:i/>
          <w:iCs/>
          <w:noProof/>
        </w:rPr>
        <w:t>Proc R Soc B Biol Sci</w:t>
      </w:r>
      <w:r w:rsidRPr="004B689C">
        <w:rPr>
          <w:rFonts w:ascii="Cambria" w:hAnsi="Cambria"/>
          <w:noProof/>
        </w:rPr>
        <w:t xml:space="preserve"> 2015; </w:t>
      </w:r>
      <w:r w:rsidRPr="004B689C">
        <w:rPr>
          <w:rFonts w:ascii="Cambria" w:hAnsi="Cambria"/>
          <w:b/>
          <w:bCs/>
          <w:noProof/>
        </w:rPr>
        <w:t>282</w:t>
      </w:r>
      <w:r w:rsidRPr="004B689C">
        <w:rPr>
          <w:rFonts w:ascii="Cambria" w:hAnsi="Cambria"/>
          <w:noProof/>
        </w:rPr>
        <w:t>: 20141341–20141341.</w:t>
      </w:r>
    </w:p>
    <w:p w14:paraId="71519A2C"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35</w:t>
      </w:r>
      <w:r w:rsidRPr="004B689C">
        <w:rPr>
          <w:rFonts w:ascii="Cambria" w:hAnsi="Cambria"/>
          <w:noProof/>
        </w:rPr>
        <w:tab/>
        <w:t xml:space="preserve">Azman A, Luquero FJ, Rodrigues A, </w:t>
      </w:r>
      <w:r w:rsidRPr="004B689C">
        <w:rPr>
          <w:rFonts w:ascii="Cambria" w:hAnsi="Cambria"/>
          <w:i/>
          <w:iCs/>
          <w:noProof/>
        </w:rPr>
        <w:t>et al.</w:t>
      </w:r>
      <w:r w:rsidRPr="004B689C">
        <w:rPr>
          <w:rFonts w:ascii="Cambria" w:hAnsi="Cambria"/>
          <w:noProof/>
        </w:rPr>
        <w:t xml:space="preserve"> Urban Cholera Transmission Hotspots and their Implications for Reactive Vaccination : Evidence from Bissau City. </w:t>
      </w:r>
      <w:r w:rsidRPr="004B689C">
        <w:rPr>
          <w:rFonts w:ascii="Cambria" w:hAnsi="Cambria"/>
          <w:i/>
          <w:iCs/>
          <w:noProof/>
        </w:rPr>
        <w:t>PLoS Negl Trop Dis</w:t>
      </w:r>
      <w:r w:rsidRPr="004B689C">
        <w:rPr>
          <w:rFonts w:ascii="Cambria" w:hAnsi="Cambria"/>
          <w:noProof/>
        </w:rPr>
        <w:t xml:space="preserve"> 2012; : 1–8.</w:t>
      </w:r>
    </w:p>
    <w:p w14:paraId="62947A4D"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36</w:t>
      </w:r>
      <w:r w:rsidRPr="004B689C">
        <w:rPr>
          <w:rFonts w:ascii="Cambria" w:hAnsi="Cambria"/>
          <w:noProof/>
        </w:rPr>
        <w:tab/>
        <w:t xml:space="preserve">Recommendations of the Advisory Committee on Immunization Practices (ACIP): Typhoid Immunization. </w:t>
      </w:r>
      <w:r w:rsidRPr="004B689C">
        <w:rPr>
          <w:rFonts w:ascii="Cambria" w:hAnsi="Cambria"/>
          <w:i/>
          <w:iCs/>
          <w:noProof/>
        </w:rPr>
        <w:t>MMWR</w:t>
      </w:r>
      <w:r w:rsidRPr="004B689C">
        <w:rPr>
          <w:rFonts w:ascii="Cambria" w:hAnsi="Cambria"/>
          <w:noProof/>
        </w:rPr>
        <w:t xml:space="preserve"> 1994; </w:t>
      </w:r>
      <w:r w:rsidRPr="004B689C">
        <w:rPr>
          <w:rFonts w:ascii="Cambria" w:hAnsi="Cambria"/>
          <w:b/>
          <w:bCs/>
          <w:noProof/>
        </w:rPr>
        <w:t>RR</w:t>
      </w:r>
      <w:r w:rsidRPr="004B689C">
        <w:rPr>
          <w:rFonts w:ascii="Cambria" w:hAnsi="Cambria"/>
          <w:noProof/>
        </w:rPr>
        <w:t>-</w:t>
      </w:r>
      <w:r w:rsidRPr="004B689C">
        <w:rPr>
          <w:rFonts w:ascii="Cambria" w:hAnsi="Cambria"/>
          <w:b/>
          <w:bCs/>
          <w:noProof/>
        </w:rPr>
        <w:t>14</w:t>
      </w:r>
      <w:r w:rsidRPr="004B689C">
        <w:rPr>
          <w:rFonts w:ascii="Cambria" w:hAnsi="Cambria"/>
          <w:noProof/>
        </w:rPr>
        <w:t>. ftp://ftp.cdc.gov/pub/publications/mmwr/rr/rr4314.pdf.</w:t>
      </w:r>
    </w:p>
    <w:p w14:paraId="7524C099"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37</w:t>
      </w:r>
      <w:r w:rsidRPr="004B689C">
        <w:rPr>
          <w:rFonts w:ascii="Cambria" w:hAnsi="Cambria"/>
          <w:noProof/>
        </w:rPr>
        <w:tab/>
        <w:t xml:space="preserve">Biellik R, Madema S, Taole A, </w:t>
      </w:r>
      <w:r w:rsidRPr="004B689C">
        <w:rPr>
          <w:rFonts w:ascii="Cambria" w:hAnsi="Cambria"/>
          <w:i/>
          <w:iCs/>
          <w:noProof/>
        </w:rPr>
        <w:t>et al.</w:t>
      </w:r>
      <w:r w:rsidRPr="004B689C">
        <w:rPr>
          <w:rFonts w:ascii="Cambria" w:hAnsi="Cambria"/>
          <w:noProof/>
        </w:rPr>
        <w:t xml:space="preserve"> First 5 years of measles elimination in southern Africa: 1996-2000. </w:t>
      </w:r>
      <w:r w:rsidRPr="004B689C">
        <w:rPr>
          <w:rFonts w:ascii="Cambria" w:hAnsi="Cambria"/>
          <w:i/>
          <w:iCs/>
          <w:noProof/>
        </w:rPr>
        <w:t>Lancet</w:t>
      </w:r>
      <w:r w:rsidRPr="004B689C">
        <w:rPr>
          <w:rFonts w:ascii="Cambria" w:hAnsi="Cambria"/>
          <w:noProof/>
        </w:rPr>
        <w:t xml:space="preserve"> 2002; </w:t>
      </w:r>
      <w:r w:rsidRPr="004B689C">
        <w:rPr>
          <w:rFonts w:ascii="Cambria" w:hAnsi="Cambria"/>
          <w:b/>
          <w:bCs/>
          <w:noProof/>
        </w:rPr>
        <w:t>359</w:t>
      </w:r>
      <w:r w:rsidRPr="004B689C">
        <w:rPr>
          <w:rFonts w:ascii="Cambria" w:hAnsi="Cambria"/>
          <w:noProof/>
        </w:rPr>
        <w:t>: 1564–8.</w:t>
      </w:r>
    </w:p>
    <w:p w14:paraId="1DFDAB9D"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38</w:t>
      </w:r>
      <w:r w:rsidRPr="004B689C">
        <w:rPr>
          <w:rFonts w:ascii="Cambria" w:hAnsi="Cambria"/>
          <w:noProof/>
        </w:rPr>
        <w:tab/>
        <w:t>WHO-UNICEF. Yellow Fever Initiative: Providing an opportunity of a lifetime. 2010 http://www.who.int/csr/disease/yellowfev/YFIbrochure.pdf.</w:t>
      </w:r>
    </w:p>
    <w:p w14:paraId="27AD6D98"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39</w:t>
      </w:r>
      <w:r w:rsidRPr="004B689C">
        <w:rPr>
          <w:rFonts w:ascii="Cambria" w:hAnsi="Cambria"/>
          <w:noProof/>
        </w:rPr>
        <w:tab/>
        <w:t xml:space="preserve">Wu JT, Peak CM, Leung GM, Lipsitch M. Fractional dosing of yellow fever vaccine to extend supply: a modelling study. </w:t>
      </w:r>
      <w:r w:rsidRPr="004B689C">
        <w:rPr>
          <w:rFonts w:ascii="Cambria" w:hAnsi="Cambria"/>
          <w:i/>
          <w:iCs/>
          <w:noProof/>
        </w:rPr>
        <w:t>Lancet</w:t>
      </w:r>
      <w:r w:rsidRPr="004B689C">
        <w:rPr>
          <w:rFonts w:ascii="Cambria" w:hAnsi="Cambria"/>
          <w:noProof/>
        </w:rPr>
        <w:t xml:space="preserve"> 2016; </w:t>
      </w:r>
      <w:r w:rsidRPr="004B689C">
        <w:rPr>
          <w:rFonts w:ascii="Cambria" w:hAnsi="Cambria"/>
          <w:b/>
          <w:bCs/>
          <w:noProof/>
        </w:rPr>
        <w:t>6736</w:t>
      </w:r>
      <w:r w:rsidRPr="004B689C">
        <w:rPr>
          <w:rFonts w:ascii="Cambria" w:hAnsi="Cambria"/>
          <w:noProof/>
        </w:rPr>
        <w:t>: 53421.</w:t>
      </w:r>
    </w:p>
    <w:p w14:paraId="4352259A"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40</w:t>
      </w:r>
      <w:r w:rsidRPr="004B689C">
        <w:rPr>
          <w:rFonts w:ascii="Cambria" w:hAnsi="Cambria"/>
          <w:noProof/>
        </w:rPr>
        <w:tab/>
        <w:t xml:space="preserve">Azman AS, Rumunu J, Abubakar A, </w:t>
      </w:r>
      <w:r w:rsidRPr="004B689C">
        <w:rPr>
          <w:rFonts w:ascii="Cambria" w:hAnsi="Cambria"/>
          <w:i/>
          <w:iCs/>
          <w:noProof/>
        </w:rPr>
        <w:t>et al.</w:t>
      </w:r>
      <w:r w:rsidRPr="004B689C">
        <w:rPr>
          <w:rFonts w:ascii="Cambria" w:hAnsi="Cambria"/>
          <w:noProof/>
        </w:rPr>
        <w:t xml:space="preserve"> Population-Level Effect of Cholera Vaccine on Displaced Populations, South Sudan, 2014. </w:t>
      </w:r>
      <w:r w:rsidRPr="004B689C">
        <w:rPr>
          <w:rFonts w:ascii="Cambria" w:hAnsi="Cambria"/>
          <w:i/>
          <w:iCs/>
          <w:noProof/>
        </w:rPr>
        <w:t>Emerg Infect Dis</w:t>
      </w:r>
      <w:r w:rsidRPr="004B689C">
        <w:rPr>
          <w:rFonts w:ascii="Cambria" w:hAnsi="Cambria"/>
          <w:noProof/>
        </w:rPr>
        <w:t xml:space="preserve"> 2016; </w:t>
      </w:r>
      <w:r w:rsidRPr="004B689C">
        <w:rPr>
          <w:rFonts w:ascii="Cambria" w:hAnsi="Cambria"/>
          <w:b/>
          <w:bCs/>
          <w:noProof/>
        </w:rPr>
        <w:t>22</w:t>
      </w:r>
      <w:r w:rsidRPr="004B689C">
        <w:rPr>
          <w:rFonts w:ascii="Cambria" w:hAnsi="Cambria"/>
          <w:noProof/>
        </w:rPr>
        <w:t>: 2014–7.</w:t>
      </w:r>
    </w:p>
    <w:p w14:paraId="6F3B41A3" w14:textId="3E7B2D9A" w:rsidR="00D77E67" w:rsidRDefault="000A51A6" w:rsidP="004B689C">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1BA0ABB8" w14:textId="77777777" w:rsidR="00D77E67" w:rsidRDefault="00D77E67" w:rsidP="00D77E67">
      <w:pPr>
        <w:ind w:left="720"/>
      </w:pPr>
    </w:p>
    <w:p w14:paraId="47A1C8BA" w14:textId="2CAF0E0D" w:rsidR="0077266E" w:rsidRDefault="0077266E" w:rsidP="0077266E">
      <w:proofErr w:type="gramStart"/>
      <w:r>
        <w:t>{ Preliminary</w:t>
      </w:r>
      <w:proofErr w:type="gramEnd"/>
      <w:r>
        <w:t xml:space="preserve">: </w:t>
      </w:r>
    </w:p>
    <w:p w14:paraId="32E7B8B3" w14:textId="6A9FDB2C" w:rsidR="00D77E67" w:rsidRDefault="00D77E67" w:rsidP="0077266E">
      <w:pPr>
        <w:ind w:left="720"/>
      </w:pPr>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77266E">
      <w:pPr>
        <w:ind w:left="720"/>
        <w:rPr>
          <w:b/>
        </w:rPr>
      </w:pPr>
    </w:p>
    <w:p w14:paraId="7ED8BC3F" w14:textId="2C44CC0E" w:rsidR="00754E2D" w:rsidRPr="001850C4" w:rsidRDefault="00754E2D" w:rsidP="0077266E">
      <w:pPr>
        <w:ind w:left="720"/>
      </w:pPr>
      <w:r>
        <w:t xml:space="preserve">Our primary results assume a “leaky” vaccine mode of action, but analysis using an “all or none” mode of action was repeated using a time-invariant VE estimate and creating paths from each vaccine compartment back to the S compartment so that the duration of time in the </w:t>
      </w:r>
      <w:proofErr w:type="spellStart"/>
      <w:r>
        <w:t>V</w:t>
      </w:r>
      <w:r>
        <w:softHyphen/>
      </w:r>
      <w:r>
        <w:rPr>
          <w:vertAlign w:val="subscript"/>
        </w:rPr>
        <w:t>n</w:t>
      </w:r>
      <w:proofErr w:type="spellEnd"/>
      <w:r>
        <w:t xml:space="preserve"> ensemble is variable (????).</w:t>
      </w:r>
      <w:r w:rsidR="0077266E">
        <w:t xml:space="preserve"> </w:t>
      </w:r>
      <w:r>
        <w:t>In summary, the results presented in the main text were robust to the assumed mode of vaccine action.</w:t>
      </w:r>
    </w:p>
    <w:p w14:paraId="0850F5C4" w14:textId="3D68F701" w:rsidR="00D77E67" w:rsidRDefault="00D77E67" w:rsidP="0077266E">
      <w:pPr>
        <w:ind w:left="720"/>
        <w:rPr>
          <w:b/>
        </w:rPr>
      </w:pPr>
    </w:p>
    <w:p w14:paraId="1AC6E964" w14:textId="77777777" w:rsidR="00754E2D" w:rsidRDefault="00754E2D" w:rsidP="0077266E">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50ADE887" w14:textId="53F8214B" w:rsidR="0077266E" w:rsidRDefault="0077266E" w:rsidP="0077266E">
      <w:r>
        <w:t>}</w:t>
      </w:r>
    </w:p>
    <w:p w14:paraId="376B8A44" w14:textId="77777777" w:rsidR="00055B77" w:rsidRDefault="00055B77" w:rsidP="00754E2D"/>
    <w:p w14:paraId="6F2D9990" w14:textId="77777777" w:rsidR="003B6D69" w:rsidRDefault="00055B77" w:rsidP="00754E2D">
      <w:proofErr w:type="gramStart"/>
      <w:r>
        <w:rPr>
          <w:b/>
        </w:rPr>
        <w:t>Supplemental Figure AA.</w:t>
      </w:r>
      <w:proofErr w:type="gramEnd"/>
      <w:r>
        <w:rPr>
          <w:b/>
        </w:rPr>
        <w:t xml:space="preserve"> </w:t>
      </w:r>
      <w:r w:rsidRPr="00700D43">
        <w:rPr>
          <w:b/>
        </w:rPr>
        <w:t>Changes in the proportion of the population susceptible (</w:t>
      </w:r>
      <w:proofErr w:type="gramStart"/>
      <w:r w:rsidRPr="00700D43">
        <w:rPr>
          <w:b/>
        </w:rPr>
        <w:t>X(</w:t>
      </w:r>
      <w:proofErr w:type="gramEnd"/>
      <w:r w:rsidRPr="00700D43">
        <w:rPr>
          <w:b/>
        </w:rPr>
        <w:t>t)) as a function of years since vaccination</w:t>
      </w:r>
      <w:r>
        <w:rPr>
          <w:b/>
        </w:rPr>
        <w:t>.</w:t>
      </w:r>
      <w:r>
        <w:t xml:space="preserve"> </w:t>
      </w:r>
    </w:p>
    <w:p w14:paraId="08FA7EE1" w14:textId="43692638" w:rsidR="00055B77" w:rsidRPr="00055B77" w:rsidRDefault="00055B77" w:rsidP="00754E2D">
      <w:proofErr w:type="gramStart"/>
      <w:r>
        <w:t xml:space="preserve">As per Figure </w:t>
      </w:r>
      <w:r w:rsidR="005D6069">
        <w:t>AA</w:t>
      </w:r>
      <w:r>
        <w:t xml:space="preserve">, but </w:t>
      </w:r>
      <w:r w:rsidR="00FE5066">
        <w:t>with the addition of high birth/death rates (1/40 years) and the BS-Whole Cell vaccine profile.</w:t>
      </w:r>
      <w:proofErr w:type="gramEnd"/>
    </w:p>
    <w:p w14:paraId="0B88654A" w14:textId="77777777" w:rsidR="00754E2D" w:rsidRDefault="00754E2D" w:rsidP="00F038DC">
      <w:pPr>
        <w:rPr>
          <w:b/>
        </w:rPr>
      </w:pPr>
    </w:p>
    <w:p w14:paraId="487D0BD6" w14:textId="77777777" w:rsidR="003B6D69" w:rsidRDefault="005D6069" w:rsidP="006173F9">
      <w:proofErr w:type="gramStart"/>
      <w:r>
        <w:rPr>
          <w:b/>
        </w:rPr>
        <w:t>Supplemental Figure BB</w:t>
      </w:r>
      <w:r w:rsidR="006173F9">
        <w:rPr>
          <w:b/>
        </w:rPr>
        <w:t>.</w:t>
      </w:r>
      <w:proofErr w:type="gramEnd"/>
      <w:r w:rsidR="006173F9">
        <w:rPr>
          <w:b/>
        </w:rPr>
        <w:t xml:space="preserve"> </w:t>
      </w:r>
      <w:proofErr w:type="gramStart"/>
      <w:r w:rsidR="006173F9">
        <w:rPr>
          <w:b/>
        </w:rPr>
        <w:t>Changes in the probability of an outbreak as a function of years since vaccination</w:t>
      </w:r>
      <w:r>
        <w:t>.</w:t>
      </w:r>
      <w:proofErr w:type="gramEnd"/>
      <w:r>
        <w:t xml:space="preserve"> </w:t>
      </w:r>
    </w:p>
    <w:p w14:paraId="16F47C05" w14:textId="003BE5CA" w:rsidR="006173F9" w:rsidRDefault="005D6069" w:rsidP="006173F9">
      <w:proofErr w:type="gramStart"/>
      <w:r>
        <w:t>As per Figure BB including the WS-BC vaccine profile</w:t>
      </w:r>
      <w:r w:rsidR="006173F9">
        <w:t>.</w:t>
      </w:r>
      <w:proofErr w:type="gramEnd"/>
    </w:p>
    <w:p w14:paraId="3929A56A" w14:textId="77777777" w:rsidR="005D6069" w:rsidRDefault="005D6069" w:rsidP="006173F9"/>
    <w:p w14:paraId="2B1D08E8" w14:textId="77777777" w:rsidR="003B6D69" w:rsidRDefault="005D6069" w:rsidP="006173F9">
      <w:pPr>
        <w:rPr>
          <w:b/>
        </w:rPr>
      </w:pPr>
      <w:r>
        <w:rPr>
          <w:b/>
        </w:rPr>
        <w:t>Supplemental Figure DD</w:t>
      </w:r>
      <w:r>
        <w:t>.</w:t>
      </w:r>
      <w:r w:rsidR="00E10120">
        <w:t xml:space="preserve"> </w:t>
      </w:r>
      <w:r w:rsidR="00E10120">
        <w:rPr>
          <w:b/>
        </w:rPr>
        <w:t xml:space="preserve">Vaccine targeting optimized in settings with intermediate rates of migration. </w:t>
      </w:r>
    </w:p>
    <w:p w14:paraId="13E965AB" w14:textId="13EB6D19" w:rsidR="005D6069" w:rsidRPr="005D6069" w:rsidRDefault="00E10120" w:rsidP="006173F9">
      <w:r>
        <w:t>As per Figure DD, except for a perfect vaccine (VE=1 indefinitely).</w:t>
      </w:r>
    </w:p>
    <w:p w14:paraId="213DDF6A" w14:textId="77777777" w:rsidR="006173F9" w:rsidRDefault="006173F9" w:rsidP="00F038DC">
      <w:pPr>
        <w:rPr>
          <w:b/>
        </w:rPr>
      </w:pPr>
    </w:p>
    <w:p w14:paraId="4A73A58B" w14:textId="77777777" w:rsidR="003B6D69" w:rsidRDefault="006173F9" w:rsidP="006173F9">
      <w:proofErr w:type="gramStart"/>
      <w:r>
        <w:rPr>
          <w:b/>
        </w:rPr>
        <w:t>Supplemental Figure VC</w:t>
      </w:r>
      <w:r>
        <w:t>.</w:t>
      </w:r>
      <w:proofErr w:type="gramEnd"/>
      <w:r>
        <w:rPr>
          <w:b/>
        </w:rPr>
        <w:t xml:space="preserve"> </w:t>
      </w:r>
      <w:proofErr w:type="gramStart"/>
      <w:r>
        <w:rPr>
          <w:b/>
        </w:rPr>
        <w:t>Duration of Herd Immunity (DHI) as a function of vaccine coverage and basic reproductive number.</w:t>
      </w:r>
      <w:proofErr w:type="gramEnd"/>
      <w:r>
        <w:t xml:space="preserve"> </w:t>
      </w:r>
    </w:p>
    <w:p w14:paraId="1F66DE70" w14:textId="51A2AF38" w:rsidR="006173F9" w:rsidRPr="004203D1" w:rsidRDefault="006173F9" w:rsidP="006173F9">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Default="006173F9" w:rsidP="00F038DC">
      <w:pPr>
        <w:rPr>
          <w:b/>
        </w:rPr>
      </w:pPr>
    </w:p>
    <w:p w14:paraId="167D918D" w14:textId="77777777" w:rsidR="003B6D69" w:rsidRDefault="004E0107" w:rsidP="00F038DC">
      <w:pPr>
        <w:rPr>
          <w:b/>
        </w:rPr>
      </w:pPr>
      <w:proofErr w:type="gramStart"/>
      <w:r>
        <w:rPr>
          <w:b/>
        </w:rPr>
        <w:t xml:space="preserve">Supplemental Figure </w:t>
      </w:r>
      <w:proofErr w:type="spellStart"/>
      <w:r>
        <w:rPr>
          <w:b/>
        </w:rPr>
        <w:t>GG_Pop</w:t>
      </w:r>
      <w:proofErr w:type="spellEnd"/>
      <w:r>
        <w:rPr>
          <w:b/>
        </w:rPr>
        <w:t>.</w:t>
      </w:r>
      <w:proofErr w:type="gramEnd"/>
      <w:r>
        <w:rPr>
          <w:b/>
        </w:rPr>
        <w:t xml:space="preserve">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6A52706" w14:textId="6A459D45" w:rsidR="004E0107" w:rsidRDefault="004E0107" w:rsidP="00F038DC">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1/1.21 years. </w:t>
      </w:r>
      <w:r>
        <w:lastRenderedPageBreak/>
        <w:t>During the third segment from December 2015 to May 2015, we assumed exponential decay at a rate of 1/1.21 years. During the fourth and final segment beginning May 2015, we assumed population size was constant. The use of exponential and constant functions allowed for population size to change dyna</w:t>
      </w:r>
      <w:bookmarkStart w:id="2" w:name="_GoBack"/>
      <w:bookmarkEnd w:id="2"/>
      <w:r>
        <w:t xml:space="preserve">mically within a compartmental model framework, and provided population estimates that were visually reasonable. Our deterministic simulations began on June 15, when vaccination first occurred.  </w:t>
      </w:r>
    </w:p>
    <w:p w14:paraId="3B0FEA8A" w14:textId="77777777" w:rsidR="00647EAB" w:rsidRDefault="00647EAB" w:rsidP="00F038DC"/>
    <w:p w14:paraId="4F7B1BAE" w14:textId="77777777" w:rsidR="003B6D69" w:rsidRDefault="00647EAB" w:rsidP="00F038DC">
      <w:pPr>
        <w:rPr>
          <w:b/>
        </w:rPr>
      </w:pPr>
      <w:r>
        <w:rPr>
          <w:b/>
        </w:rPr>
        <w:t xml:space="preserve">Supplemental Figure </w:t>
      </w:r>
      <w:proofErr w:type="spellStart"/>
      <w:r>
        <w:rPr>
          <w:b/>
        </w:rPr>
        <w:t>GG_Rt</w:t>
      </w:r>
      <w:proofErr w:type="spellEnd"/>
      <w:r>
        <w:rPr>
          <w:b/>
        </w:rPr>
        <w:t>. Time-dependent effective reproductive number (</w:t>
      </w:r>
      <w:proofErr w:type="spellStart"/>
      <w:r>
        <w:rPr>
          <w:b/>
        </w:rPr>
        <w:t>R</w:t>
      </w:r>
      <w:r>
        <w:rPr>
          <w:b/>
        </w:rPr>
        <w:softHyphen/>
      </w:r>
      <w:r>
        <w:rPr>
          <w:b/>
          <w:vertAlign w:val="subscript"/>
        </w:rPr>
        <w:t>t</w:t>
      </w:r>
      <w:proofErr w:type="spellEnd"/>
      <w:r>
        <w:rPr>
          <w:b/>
        </w:rPr>
        <w:t xml:space="preserve">) and daily cholera case counts in </w:t>
      </w:r>
      <w:proofErr w:type="spellStart"/>
      <w:r>
        <w:rPr>
          <w:b/>
        </w:rPr>
        <w:t>Bentiu</w:t>
      </w:r>
      <w:proofErr w:type="spellEnd"/>
      <w:r>
        <w:rPr>
          <w:b/>
        </w:rPr>
        <w:t xml:space="preserve"> </w:t>
      </w:r>
      <w:proofErr w:type="spellStart"/>
      <w:r>
        <w:rPr>
          <w:b/>
        </w:rPr>
        <w:t>PoC</w:t>
      </w:r>
      <w:proofErr w:type="spellEnd"/>
      <w:r>
        <w:rPr>
          <w:b/>
        </w:rPr>
        <w:t xml:space="preserve"> between October and November 2016. </w:t>
      </w:r>
    </w:p>
    <w:p w14:paraId="49425F4E" w14:textId="40E1D095" w:rsidR="00647EAB" w:rsidRPr="00647EAB" w:rsidRDefault="00647EAB" w:rsidP="00F038DC">
      <w:r>
        <w:t>We assumed a gene</w:t>
      </w:r>
      <w:r w:rsidR="007972B0">
        <w:t xml:space="preserve">ration interval with mean of 5 days and following a gamma distribution with shape=0.5 and rate=0.1 as per </w:t>
      </w:r>
      <w:r w:rsidR="007972B0">
        <w:fldChar w:fldCharType="begin" w:fldLock="1"/>
      </w:r>
      <w:r w:rsidR="004B689C">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"&lt;sup&gt;40&lt;/sup&gt;", "plainTextFormattedCitation" : "40", "previouslyFormattedCitation" : "&lt;sup&gt;39&lt;/sup&gt;" }, "properties" : { "noteIndex" : 0 }, "schema" : "https://github.com/citation-style-language/schema/raw/master/csl-citation.json" }</w:instrText>
      </w:r>
      <w:r w:rsidR="007972B0">
        <w:fldChar w:fldCharType="separate"/>
      </w:r>
      <w:r w:rsidR="004B689C" w:rsidRPr="004B689C">
        <w:rPr>
          <w:noProof/>
          <w:vertAlign w:val="superscript"/>
        </w:rPr>
        <w:t>40</w:t>
      </w:r>
      <w:r w:rsidR="007972B0">
        <w:fldChar w:fldCharType="end"/>
      </w:r>
      <w:r w:rsidR="007972B0">
        <w:t>.</w:t>
      </w:r>
    </w:p>
    <w:sectPr w:rsidR="00647EAB" w:rsidRPr="00647EAB" w:rsidSect="0033354D">
      <w:footerReference w:type="even" r:id="rId15"/>
      <w:footerReference w:type="default" r:id="rId16"/>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ey Peak" w:date="2016-12-16T11:35:00Z" w:initials="CP">
    <w:p w14:paraId="165BEF1B" w14:textId="3836F09E" w:rsidR="00DD3003" w:rsidRDefault="00DD3003">
      <w:pPr>
        <w:pStyle w:val="CommentText"/>
      </w:pPr>
      <w:r>
        <w:rPr>
          <w:rStyle w:val="CommentReference"/>
        </w:rPr>
        <w:annotationRef/>
      </w:r>
      <w:r>
        <w:t>Currently an unnecessary section</w:t>
      </w:r>
    </w:p>
  </w:comment>
  <w:comment w:id="1" w:author="Corey Peak" w:date="2016-12-27T09:45:00Z" w:initials="CP">
    <w:p w14:paraId="1C574F31" w14:textId="76E849D5" w:rsidR="00DD3003" w:rsidRDefault="00DD3003">
      <w:pPr>
        <w:pStyle w:val="CommentText"/>
      </w:pPr>
      <w:r>
        <w:rPr>
          <w:rStyle w:val="CommentReference"/>
        </w:rPr>
        <w:annotationRef/>
      </w:r>
      <w:r>
        <w:t>Add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90C55" w15:done="0"/>
  <w15:commentEx w15:paraId="62B7D79F" w15:done="0"/>
  <w15:commentEx w15:paraId="6D6C759A" w15:done="0"/>
  <w15:commentEx w15:paraId="6E1AC469" w15:done="0"/>
  <w15:commentEx w15:paraId="5344B31F" w15:done="0"/>
  <w15:commentEx w15:paraId="555BFD24" w15:done="0"/>
  <w15:commentEx w15:paraId="39A2F5C8" w15:done="0"/>
  <w15:commentEx w15:paraId="590B7338" w15:done="0"/>
  <w15:commentEx w15:paraId="60CD9C3A" w15:done="0"/>
  <w15:commentEx w15:paraId="66469A45" w15:done="0"/>
  <w15:commentEx w15:paraId="25552CA4" w15:done="0"/>
  <w15:commentEx w15:paraId="4B324C12" w15:done="0"/>
  <w15:commentEx w15:paraId="54DFF85C" w15:done="0"/>
  <w15:commentEx w15:paraId="4BFAC228" w15:done="0"/>
  <w15:commentEx w15:paraId="48A16A73" w15:done="0"/>
  <w15:commentEx w15:paraId="12A35662" w15:done="0"/>
  <w15:commentEx w15:paraId="5C5E413B" w15:done="0"/>
  <w15:commentEx w15:paraId="30BFD9FD" w15:done="0"/>
  <w15:commentEx w15:paraId="7A7A4068" w15:done="0"/>
  <w15:commentEx w15:paraId="20ABE2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EDABA" w14:textId="77777777" w:rsidR="00DD3003" w:rsidRDefault="00DD3003" w:rsidP="001850C4">
      <w:r>
        <w:separator/>
      </w:r>
    </w:p>
  </w:endnote>
  <w:endnote w:type="continuationSeparator" w:id="0">
    <w:p w14:paraId="1E887071" w14:textId="77777777" w:rsidR="00DD3003" w:rsidRDefault="00DD3003"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DD3003" w:rsidRDefault="00DD3003"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DD3003" w:rsidRDefault="00DD3003"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349D747E" w:rsidR="00DD3003" w:rsidRDefault="00DD3003"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6D69">
      <w:rPr>
        <w:rStyle w:val="PageNumber"/>
        <w:noProof/>
      </w:rPr>
      <w:t>19</w:t>
    </w:r>
    <w:r>
      <w:rPr>
        <w:rStyle w:val="PageNumber"/>
      </w:rPr>
      <w:fldChar w:fldCharType="end"/>
    </w:r>
  </w:p>
  <w:p w14:paraId="08A4DC5F" w14:textId="77777777" w:rsidR="00DD3003" w:rsidRDefault="00DD3003"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88BC" w14:textId="77777777" w:rsidR="00DD3003" w:rsidRDefault="00DD3003" w:rsidP="001850C4">
      <w:r>
        <w:separator/>
      </w:r>
    </w:p>
  </w:footnote>
  <w:footnote w:type="continuationSeparator" w:id="0">
    <w:p w14:paraId="58BAF1B2" w14:textId="77777777" w:rsidR="00DD3003" w:rsidRDefault="00DD3003"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06508"/>
    <w:rsid w:val="00014111"/>
    <w:rsid w:val="0001538B"/>
    <w:rsid w:val="00023416"/>
    <w:rsid w:val="00023E37"/>
    <w:rsid w:val="00033542"/>
    <w:rsid w:val="0003435B"/>
    <w:rsid w:val="00044C95"/>
    <w:rsid w:val="00046565"/>
    <w:rsid w:val="00055B77"/>
    <w:rsid w:val="000626DE"/>
    <w:rsid w:val="000630EB"/>
    <w:rsid w:val="00077B6C"/>
    <w:rsid w:val="0009137F"/>
    <w:rsid w:val="00092D82"/>
    <w:rsid w:val="00097E51"/>
    <w:rsid w:val="000A06E9"/>
    <w:rsid w:val="000A51A6"/>
    <w:rsid w:val="000C7355"/>
    <w:rsid w:val="000D43E0"/>
    <w:rsid w:val="000D703C"/>
    <w:rsid w:val="000E5266"/>
    <w:rsid w:val="000E5D49"/>
    <w:rsid w:val="000E73B9"/>
    <w:rsid w:val="000E7967"/>
    <w:rsid w:val="00100825"/>
    <w:rsid w:val="00101669"/>
    <w:rsid w:val="00103784"/>
    <w:rsid w:val="00104461"/>
    <w:rsid w:val="00113161"/>
    <w:rsid w:val="00135EB3"/>
    <w:rsid w:val="00142B0A"/>
    <w:rsid w:val="00147394"/>
    <w:rsid w:val="001602F5"/>
    <w:rsid w:val="0016567C"/>
    <w:rsid w:val="00167FD3"/>
    <w:rsid w:val="00170BC3"/>
    <w:rsid w:val="0017181D"/>
    <w:rsid w:val="00173AD3"/>
    <w:rsid w:val="00176FEC"/>
    <w:rsid w:val="00183BEB"/>
    <w:rsid w:val="001850C4"/>
    <w:rsid w:val="00194DF1"/>
    <w:rsid w:val="001A3E37"/>
    <w:rsid w:val="001B4288"/>
    <w:rsid w:val="001B42D3"/>
    <w:rsid w:val="001D4990"/>
    <w:rsid w:val="001E049A"/>
    <w:rsid w:val="001E0C33"/>
    <w:rsid w:val="001E6C5D"/>
    <w:rsid w:val="001E7E1A"/>
    <w:rsid w:val="001F435D"/>
    <w:rsid w:val="00202A22"/>
    <w:rsid w:val="00204221"/>
    <w:rsid w:val="00207B44"/>
    <w:rsid w:val="00212835"/>
    <w:rsid w:val="00215957"/>
    <w:rsid w:val="002222F4"/>
    <w:rsid w:val="002256CE"/>
    <w:rsid w:val="002347AA"/>
    <w:rsid w:val="00245BED"/>
    <w:rsid w:val="00246BDD"/>
    <w:rsid w:val="0026554C"/>
    <w:rsid w:val="0028276D"/>
    <w:rsid w:val="00286A28"/>
    <w:rsid w:val="00287B54"/>
    <w:rsid w:val="00290EDB"/>
    <w:rsid w:val="002A1306"/>
    <w:rsid w:val="002B3E01"/>
    <w:rsid w:val="002B44C8"/>
    <w:rsid w:val="002B71D7"/>
    <w:rsid w:val="002C24BA"/>
    <w:rsid w:val="002C409D"/>
    <w:rsid w:val="002E6C5E"/>
    <w:rsid w:val="002E6F64"/>
    <w:rsid w:val="002F0050"/>
    <w:rsid w:val="002F22F3"/>
    <w:rsid w:val="002F2F2F"/>
    <w:rsid w:val="00321F30"/>
    <w:rsid w:val="00324900"/>
    <w:rsid w:val="0033354D"/>
    <w:rsid w:val="00334DB8"/>
    <w:rsid w:val="00334E92"/>
    <w:rsid w:val="003355EB"/>
    <w:rsid w:val="0034238E"/>
    <w:rsid w:val="003542BB"/>
    <w:rsid w:val="0035631B"/>
    <w:rsid w:val="00380271"/>
    <w:rsid w:val="00380776"/>
    <w:rsid w:val="003956CB"/>
    <w:rsid w:val="003A567D"/>
    <w:rsid w:val="003B3505"/>
    <w:rsid w:val="003B6D69"/>
    <w:rsid w:val="003D3632"/>
    <w:rsid w:val="003D39B4"/>
    <w:rsid w:val="003D3BBD"/>
    <w:rsid w:val="003E13B5"/>
    <w:rsid w:val="0040245D"/>
    <w:rsid w:val="00403CC2"/>
    <w:rsid w:val="0040551F"/>
    <w:rsid w:val="00410998"/>
    <w:rsid w:val="00410A03"/>
    <w:rsid w:val="00413510"/>
    <w:rsid w:val="00417BC4"/>
    <w:rsid w:val="004203D1"/>
    <w:rsid w:val="00423090"/>
    <w:rsid w:val="0042502C"/>
    <w:rsid w:val="00437A54"/>
    <w:rsid w:val="00441D19"/>
    <w:rsid w:val="00456D57"/>
    <w:rsid w:val="00463D05"/>
    <w:rsid w:val="004711D7"/>
    <w:rsid w:val="0047120A"/>
    <w:rsid w:val="004737E0"/>
    <w:rsid w:val="00493178"/>
    <w:rsid w:val="00497717"/>
    <w:rsid w:val="004B689C"/>
    <w:rsid w:val="004C3907"/>
    <w:rsid w:val="004E0107"/>
    <w:rsid w:val="004F4FF7"/>
    <w:rsid w:val="004F60A8"/>
    <w:rsid w:val="004F662A"/>
    <w:rsid w:val="004F7D02"/>
    <w:rsid w:val="00501B43"/>
    <w:rsid w:val="00503E17"/>
    <w:rsid w:val="00505B2E"/>
    <w:rsid w:val="00516F76"/>
    <w:rsid w:val="00517478"/>
    <w:rsid w:val="00520DD4"/>
    <w:rsid w:val="00527DCB"/>
    <w:rsid w:val="00532C52"/>
    <w:rsid w:val="005367F3"/>
    <w:rsid w:val="00537BAE"/>
    <w:rsid w:val="00541512"/>
    <w:rsid w:val="0054259D"/>
    <w:rsid w:val="00545E7A"/>
    <w:rsid w:val="00546529"/>
    <w:rsid w:val="00551453"/>
    <w:rsid w:val="00561BAD"/>
    <w:rsid w:val="00564BE0"/>
    <w:rsid w:val="00575970"/>
    <w:rsid w:val="00575CD5"/>
    <w:rsid w:val="00581C67"/>
    <w:rsid w:val="00586F75"/>
    <w:rsid w:val="00596D3C"/>
    <w:rsid w:val="005A7770"/>
    <w:rsid w:val="005B3DD3"/>
    <w:rsid w:val="005C033C"/>
    <w:rsid w:val="005C0BCB"/>
    <w:rsid w:val="005C0C25"/>
    <w:rsid w:val="005C7B32"/>
    <w:rsid w:val="005D6069"/>
    <w:rsid w:val="005E298F"/>
    <w:rsid w:val="005E48B4"/>
    <w:rsid w:val="005E6674"/>
    <w:rsid w:val="00601E61"/>
    <w:rsid w:val="00611687"/>
    <w:rsid w:val="006118CA"/>
    <w:rsid w:val="0061359D"/>
    <w:rsid w:val="00613778"/>
    <w:rsid w:val="00613B08"/>
    <w:rsid w:val="0061434F"/>
    <w:rsid w:val="006168CB"/>
    <w:rsid w:val="006173F9"/>
    <w:rsid w:val="00624556"/>
    <w:rsid w:val="00642CB4"/>
    <w:rsid w:val="00647480"/>
    <w:rsid w:val="00647EAB"/>
    <w:rsid w:val="0065101F"/>
    <w:rsid w:val="00665521"/>
    <w:rsid w:val="0069321D"/>
    <w:rsid w:val="00693926"/>
    <w:rsid w:val="006B4B6A"/>
    <w:rsid w:val="006B582E"/>
    <w:rsid w:val="006D4CD9"/>
    <w:rsid w:val="006D6B6D"/>
    <w:rsid w:val="006F2CC8"/>
    <w:rsid w:val="006F7535"/>
    <w:rsid w:val="00700D43"/>
    <w:rsid w:val="00702948"/>
    <w:rsid w:val="007059D1"/>
    <w:rsid w:val="0071157B"/>
    <w:rsid w:val="00726209"/>
    <w:rsid w:val="007353D3"/>
    <w:rsid w:val="00742212"/>
    <w:rsid w:val="007520A1"/>
    <w:rsid w:val="00754E2D"/>
    <w:rsid w:val="00755E78"/>
    <w:rsid w:val="00770127"/>
    <w:rsid w:val="0077266E"/>
    <w:rsid w:val="00773DF1"/>
    <w:rsid w:val="00786B9B"/>
    <w:rsid w:val="007972B0"/>
    <w:rsid w:val="007A6AEE"/>
    <w:rsid w:val="007C15E6"/>
    <w:rsid w:val="007C5881"/>
    <w:rsid w:val="008218F0"/>
    <w:rsid w:val="0083178D"/>
    <w:rsid w:val="00831DED"/>
    <w:rsid w:val="00837827"/>
    <w:rsid w:val="00841525"/>
    <w:rsid w:val="00874653"/>
    <w:rsid w:val="008861F0"/>
    <w:rsid w:val="00890B56"/>
    <w:rsid w:val="008B07D1"/>
    <w:rsid w:val="008B1462"/>
    <w:rsid w:val="008B1E11"/>
    <w:rsid w:val="008C2A63"/>
    <w:rsid w:val="008C332F"/>
    <w:rsid w:val="008D533B"/>
    <w:rsid w:val="00933BF3"/>
    <w:rsid w:val="00936B69"/>
    <w:rsid w:val="0094157E"/>
    <w:rsid w:val="009549C9"/>
    <w:rsid w:val="0096229A"/>
    <w:rsid w:val="00966387"/>
    <w:rsid w:val="00982F70"/>
    <w:rsid w:val="009863E5"/>
    <w:rsid w:val="0099479A"/>
    <w:rsid w:val="009A3CE6"/>
    <w:rsid w:val="009B1E00"/>
    <w:rsid w:val="009D0774"/>
    <w:rsid w:val="009D2EF0"/>
    <w:rsid w:val="009D356C"/>
    <w:rsid w:val="009E526A"/>
    <w:rsid w:val="009F48AA"/>
    <w:rsid w:val="009F5643"/>
    <w:rsid w:val="00A065FB"/>
    <w:rsid w:val="00A11F23"/>
    <w:rsid w:val="00A12181"/>
    <w:rsid w:val="00A12927"/>
    <w:rsid w:val="00A13B26"/>
    <w:rsid w:val="00A16E22"/>
    <w:rsid w:val="00A22B93"/>
    <w:rsid w:val="00A26E68"/>
    <w:rsid w:val="00A30A5D"/>
    <w:rsid w:val="00A33106"/>
    <w:rsid w:val="00A445BB"/>
    <w:rsid w:val="00A50D8B"/>
    <w:rsid w:val="00A55E98"/>
    <w:rsid w:val="00A57411"/>
    <w:rsid w:val="00A61C71"/>
    <w:rsid w:val="00A72B69"/>
    <w:rsid w:val="00A76FDB"/>
    <w:rsid w:val="00AC44CF"/>
    <w:rsid w:val="00AD2DC7"/>
    <w:rsid w:val="00AD63AF"/>
    <w:rsid w:val="00AE249C"/>
    <w:rsid w:val="00AE6CD2"/>
    <w:rsid w:val="00AF22DD"/>
    <w:rsid w:val="00AF5A2C"/>
    <w:rsid w:val="00B160BF"/>
    <w:rsid w:val="00B23DD8"/>
    <w:rsid w:val="00B259C1"/>
    <w:rsid w:val="00B41222"/>
    <w:rsid w:val="00B611B1"/>
    <w:rsid w:val="00B61F25"/>
    <w:rsid w:val="00B62E25"/>
    <w:rsid w:val="00B862CB"/>
    <w:rsid w:val="00B92EF6"/>
    <w:rsid w:val="00B95A14"/>
    <w:rsid w:val="00BA6E7B"/>
    <w:rsid w:val="00BB6260"/>
    <w:rsid w:val="00BC1235"/>
    <w:rsid w:val="00BC2050"/>
    <w:rsid w:val="00BC7511"/>
    <w:rsid w:val="00BE11BA"/>
    <w:rsid w:val="00BE2545"/>
    <w:rsid w:val="00BE4FAD"/>
    <w:rsid w:val="00BE6A6A"/>
    <w:rsid w:val="00BF150A"/>
    <w:rsid w:val="00C023C4"/>
    <w:rsid w:val="00C032C9"/>
    <w:rsid w:val="00C04090"/>
    <w:rsid w:val="00C041CB"/>
    <w:rsid w:val="00C07693"/>
    <w:rsid w:val="00C23884"/>
    <w:rsid w:val="00C30928"/>
    <w:rsid w:val="00C345A8"/>
    <w:rsid w:val="00C346FB"/>
    <w:rsid w:val="00C42528"/>
    <w:rsid w:val="00C45E9F"/>
    <w:rsid w:val="00C51EE8"/>
    <w:rsid w:val="00C657FD"/>
    <w:rsid w:val="00C8087F"/>
    <w:rsid w:val="00C8088D"/>
    <w:rsid w:val="00C90B55"/>
    <w:rsid w:val="00C92837"/>
    <w:rsid w:val="00C93ED8"/>
    <w:rsid w:val="00C9645E"/>
    <w:rsid w:val="00CB0E9D"/>
    <w:rsid w:val="00CE18E3"/>
    <w:rsid w:val="00CF00A4"/>
    <w:rsid w:val="00CF2EF3"/>
    <w:rsid w:val="00CF37BB"/>
    <w:rsid w:val="00CF47B8"/>
    <w:rsid w:val="00CF504E"/>
    <w:rsid w:val="00D17AC2"/>
    <w:rsid w:val="00D32E9A"/>
    <w:rsid w:val="00D33102"/>
    <w:rsid w:val="00D5161A"/>
    <w:rsid w:val="00D552A1"/>
    <w:rsid w:val="00D552F7"/>
    <w:rsid w:val="00D65AB7"/>
    <w:rsid w:val="00D72DDD"/>
    <w:rsid w:val="00D74EBF"/>
    <w:rsid w:val="00D77E67"/>
    <w:rsid w:val="00D8164E"/>
    <w:rsid w:val="00D82C50"/>
    <w:rsid w:val="00D87EEC"/>
    <w:rsid w:val="00DA6BB9"/>
    <w:rsid w:val="00DB4165"/>
    <w:rsid w:val="00DB4852"/>
    <w:rsid w:val="00DB674F"/>
    <w:rsid w:val="00DC2C74"/>
    <w:rsid w:val="00DC6A61"/>
    <w:rsid w:val="00DD0BE4"/>
    <w:rsid w:val="00DD3003"/>
    <w:rsid w:val="00DE34FB"/>
    <w:rsid w:val="00DF6B9D"/>
    <w:rsid w:val="00E0256B"/>
    <w:rsid w:val="00E04403"/>
    <w:rsid w:val="00E10120"/>
    <w:rsid w:val="00E3037F"/>
    <w:rsid w:val="00E355A3"/>
    <w:rsid w:val="00E45923"/>
    <w:rsid w:val="00E45C5B"/>
    <w:rsid w:val="00E601F2"/>
    <w:rsid w:val="00E64649"/>
    <w:rsid w:val="00E701DB"/>
    <w:rsid w:val="00E86EA7"/>
    <w:rsid w:val="00E87CB3"/>
    <w:rsid w:val="00E941F3"/>
    <w:rsid w:val="00E97B5B"/>
    <w:rsid w:val="00EB221D"/>
    <w:rsid w:val="00EC6207"/>
    <w:rsid w:val="00EC7A20"/>
    <w:rsid w:val="00EE70EA"/>
    <w:rsid w:val="00EF7D04"/>
    <w:rsid w:val="00F0071E"/>
    <w:rsid w:val="00F038DC"/>
    <w:rsid w:val="00F145A7"/>
    <w:rsid w:val="00F423C7"/>
    <w:rsid w:val="00F52ED5"/>
    <w:rsid w:val="00F537E7"/>
    <w:rsid w:val="00F539C6"/>
    <w:rsid w:val="00F8110F"/>
    <w:rsid w:val="00F83CD8"/>
    <w:rsid w:val="00FA4C65"/>
    <w:rsid w:val="00FA75B1"/>
    <w:rsid w:val="00FB1466"/>
    <w:rsid w:val="00FB184A"/>
    <w:rsid w:val="00FB25E1"/>
    <w:rsid w:val="00FE5066"/>
    <w:rsid w:val="00FE63D9"/>
    <w:rsid w:val="00FF1173"/>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eliefweb.int/sites/reliefweb.int/files/resources/UNICEF%20South%20Sudan%20Humanitarian%20SitRep%20%2399%20-%2015%20Dec%202016.pdf" TargetMode="External"/><Relationship Id="rId20" Type="http://schemas.microsoft.com/office/2011/relationships/commentsExtended" Target="commentsExtended.xml"/><Relationship Id="rId10" Type="http://schemas.openxmlformats.org/officeDocument/2006/relationships/hyperlink" Target="https://coreypeak.shinyapps.io/herd_protection_estimator/" TargetMode="External"/><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comments" Target="comments.xml"/><Relationship Id="rId14" Type="http://schemas.openxmlformats.org/officeDocument/2006/relationships/hyperlink" Target="https://coreypeak.shinyapps.io/herd_protection_estimator/"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C00FC-BB7D-8B4C-88D6-01B57E88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19</Pages>
  <Words>22150</Words>
  <Characters>126260</Characters>
  <Application>Microsoft Macintosh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61</cp:revision>
  <cp:lastPrinted>2016-10-19T21:00:00Z</cp:lastPrinted>
  <dcterms:created xsi:type="dcterms:W3CDTF">2016-12-03T12:56:00Z</dcterms:created>
  <dcterms:modified xsi:type="dcterms:W3CDTF">2016-12-27T14:54:00Z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ies>
</file>