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637F1" w14:textId="77777777" w:rsidR="00E45923" w:rsidRPr="00E45923" w:rsidRDefault="00E45923">
      <w:pPr>
        <w:rPr>
          <w:b/>
        </w:rPr>
      </w:pPr>
      <w:r w:rsidRPr="00E45923">
        <w:rPr>
          <w:b/>
        </w:rPr>
        <w:t xml:space="preserve">Working Title: </w:t>
      </w:r>
    </w:p>
    <w:p w14:paraId="4E9B1848" w14:textId="55DB128B" w:rsidR="000E73B9" w:rsidRDefault="00A22B93">
      <w:r>
        <w:t xml:space="preserve">The impact of human mobility and imperfect vaccines on waning herd immunity and optimal </w:t>
      </w:r>
      <w:r w:rsidR="00423090">
        <w:t xml:space="preserve">oral cholera </w:t>
      </w:r>
      <w:r>
        <w:t>vaccination strategies</w:t>
      </w:r>
    </w:p>
    <w:p w14:paraId="314D6547" w14:textId="77777777" w:rsidR="000E73B9" w:rsidRDefault="000E73B9"/>
    <w:p w14:paraId="7B836D39" w14:textId="43D0B1A4" w:rsidR="00E45923" w:rsidRPr="00E45923" w:rsidRDefault="00E45923">
      <w:pPr>
        <w:rPr>
          <w:b/>
        </w:rPr>
      </w:pPr>
      <w:r w:rsidRPr="00E45923">
        <w:rPr>
          <w:b/>
        </w:rPr>
        <w:t>Authors:</w:t>
      </w:r>
    </w:p>
    <w:p w14:paraId="58B0FB31" w14:textId="77777777" w:rsidR="0035631B" w:rsidRDefault="000E73B9">
      <w:r>
        <w:t>Corey M. Peak</w:t>
      </w:r>
      <w:r w:rsidR="0035631B">
        <w:t>*</w:t>
      </w:r>
      <w:r>
        <w:t>, Amanda</w:t>
      </w:r>
      <w:r w:rsidR="00245BED">
        <w:t xml:space="preserve"> L. </w:t>
      </w:r>
      <w:r>
        <w:t>Reilly, A</w:t>
      </w:r>
      <w:bookmarkStart w:id="0" w:name="_GoBack"/>
      <w:bookmarkEnd w:id="0"/>
      <w:r>
        <w:t xml:space="preserve">ndrew </w:t>
      </w:r>
      <w:r w:rsidR="00245BED">
        <w:t xml:space="preserve">S. </w:t>
      </w:r>
      <w:proofErr w:type="spellStart"/>
      <w:r w:rsidR="00A22B93">
        <w:t>Azman</w:t>
      </w:r>
      <w:proofErr w:type="spellEnd"/>
      <w:r w:rsidR="00E45923">
        <w:t xml:space="preserve">, Caroline O. </w:t>
      </w:r>
      <w:proofErr w:type="spellStart"/>
      <w:r w:rsidR="00E45923">
        <w:t>Buckee</w:t>
      </w:r>
      <w:proofErr w:type="spellEnd"/>
    </w:p>
    <w:p w14:paraId="53252D57" w14:textId="77777777" w:rsidR="0035631B" w:rsidRDefault="0035631B"/>
    <w:p w14:paraId="7578E801" w14:textId="1CA73CC3" w:rsidR="000E73B9" w:rsidRPr="00E45923" w:rsidRDefault="0035631B">
      <w:r>
        <w:t xml:space="preserve">* </w:t>
      </w:r>
      <w:proofErr w:type="gramStart"/>
      <w:r>
        <w:t>peak@mail.harvard.edu</w:t>
      </w:r>
      <w:proofErr w:type="gramEnd"/>
      <w:r w:rsidR="000E73B9">
        <w:rPr>
          <w:b/>
        </w:rPr>
        <w:br w:type="page"/>
      </w:r>
    </w:p>
    <w:p w14:paraId="71522749" w14:textId="47916009" w:rsidR="000A51A6" w:rsidRDefault="00417BC4">
      <w:r>
        <w:rPr>
          <w:b/>
        </w:rPr>
        <w:lastRenderedPageBreak/>
        <w:t>Abstract</w:t>
      </w:r>
    </w:p>
    <w:p w14:paraId="31BCE285" w14:textId="77777777" w:rsidR="000A51A6" w:rsidRDefault="000A51A6"/>
    <w:p w14:paraId="077E2D73" w14:textId="481493FB" w:rsidR="00417BC4" w:rsidRPr="00417BC4" w:rsidRDefault="00417BC4" w:rsidP="00A22B93">
      <w:pPr>
        <w:rPr>
          <w:b/>
        </w:rPr>
      </w:pPr>
      <w:r>
        <w:rPr>
          <w:b/>
        </w:rPr>
        <w:t>Introduction</w:t>
      </w:r>
    </w:p>
    <w:p w14:paraId="587DF147" w14:textId="32E117B7" w:rsidR="00417BC4" w:rsidRDefault="00EC6207" w:rsidP="00A22B93">
      <w:r>
        <w:t>Vaccine-derived h</w:t>
      </w:r>
      <w:r w:rsidR="00A22B93">
        <w:t xml:space="preserve">erd immunity can wane over time due to short-lived vaccine efficacy or migration of susceptible individuals into </w:t>
      </w:r>
      <w:r>
        <w:t>a vaccinated</w:t>
      </w:r>
      <w:r w:rsidR="00A22B93">
        <w:t xml:space="preserve"> </w:t>
      </w:r>
      <w:r>
        <w:t>community</w:t>
      </w:r>
      <w:r w:rsidR="00A22B93">
        <w:t xml:space="preserve">. </w:t>
      </w:r>
      <w:r w:rsidR="00142B0A">
        <w:t>The duration of herd immunity (DHI) can be an important operational marker for how long vaccination protect</w:t>
      </w:r>
      <w:r>
        <w:t>s</w:t>
      </w:r>
      <w:r w:rsidR="00142B0A">
        <w:t xml:space="preserve"> a community </w:t>
      </w:r>
      <w:r>
        <w:t xml:space="preserve">before needing complementary interventions or </w:t>
      </w:r>
      <w:r w:rsidR="00CE18E3">
        <w:t>re</w:t>
      </w:r>
      <w:r>
        <w:t>vaccination.</w:t>
      </w:r>
    </w:p>
    <w:p w14:paraId="26945F04" w14:textId="77777777" w:rsidR="00417BC4" w:rsidRDefault="00417BC4" w:rsidP="00A22B93"/>
    <w:p w14:paraId="4F02F1DF" w14:textId="1BB45C01" w:rsidR="00417BC4" w:rsidRPr="00417BC4" w:rsidRDefault="00417BC4" w:rsidP="00A22B93">
      <w:pPr>
        <w:rPr>
          <w:b/>
        </w:rPr>
      </w:pPr>
      <w:r>
        <w:rPr>
          <w:b/>
        </w:rPr>
        <w:t>Methods and Findings</w:t>
      </w:r>
    </w:p>
    <w:p w14:paraId="02EA2A9F" w14:textId="7AA0B6FE" w:rsidR="00417BC4" w:rsidRDefault="00A22B93" w:rsidP="00A22B93">
      <w:r>
        <w:t>W</w:t>
      </w:r>
      <w:r w:rsidR="00142B0A">
        <w:t xml:space="preserve">e developed a </w:t>
      </w:r>
      <w:r w:rsidR="0040551F">
        <w:t xml:space="preserve">compartmental </w:t>
      </w:r>
      <w:r w:rsidR="00142B0A">
        <w:t>model to simulate routine and mass vaccination in a population with</w:t>
      </w:r>
      <w:r w:rsidR="0040551F">
        <w:t xml:space="preserve"> varying degrees of migration, transmission intensity, and vaccine coverage. Using the </w:t>
      </w:r>
      <w:r w:rsidR="00546529">
        <w:t>example</w:t>
      </w:r>
      <w:r w:rsidR="0040551F">
        <w:t xml:space="preserve"> of oral cholera vaccines, we </w:t>
      </w:r>
      <w:r>
        <w:t>show that migration and waning</w:t>
      </w:r>
      <w:r w:rsidR="0040551F">
        <w:t xml:space="preserve"> vaccine </w:t>
      </w:r>
      <w:r>
        <w:t>efficacy</w:t>
      </w:r>
      <w:r w:rsidR="0040551F">
        <w:t xml:space="preserve"> strongly influence DHI while birth/death processes have minimal impacts. We find that a blended “Mass then Maintain” strategy can protect a community longer than either </w:t>
      </w:r>
      <w:r w:rsidR="00EC6207">
        <w:t xml:space="preserve">periodic mass vaccination or </w:t>
      </w:r>
      <w:r w:rsidR="0040551F">
        <w:t xml:space="preserve">routine </w:t>
      </w:r>
      <w:r w:rsidR="00546529">
        <w:t xml:space="preserve">vaccination </w:t>
      </w:r>
      <w:r w:rsidR="00EC6207">
        <w:t>alone</w:t>
      </w:r>
      <w:r w:rsidR="0040551F">
        <w:t xml:space="preserve">. </w:t>
      </w:r>
      <w:r w:rsidR="00A76FDB">
        <w:t>Finally, we demonstrate that mass vaccination may be best targeted at populations with intermediate degrees of mobility as compared to communities with very h</w:t>
      </w:r>
      <w:r w:rsidR="00417BC4">
        <w:t xml:space="preserve">igh or very low </w:t>
      </w:r>
      <w:r w:rsidR="00497717">
        <w:t xml:space="preserve">population </w:t>
      </w:r>
      <w:r w:rsidR="00417BC4">
        <w:t>turnover.</w:t>
      </w:r>
    </w:p>
    <w:p w14:paraId="2D558806" w14:textId="77777777" w:rsidR="00417BC4" w:rsidRDefault="00417BC4" w:rsidP="00A22B93"/>
    <w:p w14:paraId="5F85F9A7" w14:textId="77777777" w:rsidR="003355EB" w:rsidRDefault="00417BC4" w:rsidP="00A22B93">
      <w:pPr>
        <w:rPr>
          <w:b/>
        </w:rPr>
      </w:pPr>
      <w:r>
        <w:rPr>
          <w:b/>
        </w:rPr>
        <w:t>Conclusions</w:t>
      </w:r>
    </w:p>
    <w:p w14:paraId="00379D97" w14:textId="3B6CCC98" w:rsidR="000A51A6" w:rsidRPr="003355EB" w:rsidRDefault="003355EB" w:rsidP="00A22B93">
      <w:pPr>
        <w:rPr>
          <w:b/>
        </w:rPr>
      </w:pPr>
      <w:r>
        <w:t>W</w:t>
      </w:r>
      <w:r w:rsidR="00A76FDB">
        <w:t xml:space="preserve">e </w:t>
      </w:r>
      <w:r>
        <w:t>show that</w:t>
      </w:r>
      <w:r w:rsidR="00A76FDB">
        <w:t xml:space="preserve"> vaccines, and specifically oral cholera vaccines, can be powerful tools for quickly protecting a population for a certain period of time until complementary interventions can be installed</w:t>
      </w:r>
      <w:r w:rsidR="00EC6207">
        <w:t>. Vaccine-derived herd immunity can be sustained most efficiently by a blended “Mass then Maintain” strategy whereby a single mass vaccination campaign is followed by routine vaccination of susceptible individuals.</w:t>
      </w:r>
    </w:p>
    <w:p w14:paraId="6C1F2321" w14:textId="77777777" w:rsidR="00142B0A" w:rsidRDefault="00142B0A">
      <w:pPr>
        <w:rPr>
          <w:b/>
        </w:rPr>
      </w:pPr>
      <w:r>
        <w:rPr>
          <w:b/>
        </w:rPr>
        <w:br w:type="page"/>
      </w:r>
    </w:p>
    <w:p w14:paraId="6EDFA4E3" w14:textId="483EDAED" w:rsidR="0071157B" w:rsidRPr="001850C4" w:rsidRDefault="00324900">
      <w:pPr>
        <w:rPr>
          <w:b/>
        </w:rPr>
      </w:pPr>
      <w:r>
        <w:rPr>
          <w:b/>
        </w:rPr>
        <w:lastRenderedPageBreak/>
        <w:t>Introduction</w:t>
      </w:r>
    </w:p>
    <w:p w14:paraId="3C053FB8" w14:textId="6FA7AE0D" w:rsidR="00A22B93" w:rsidRPr="00D5161A" w:rsidRDefault="00D5161A">
      <w:r>
        <w:t>T</w:t>
      </w:r>
      <w:r w:rsidR="00A22B93">
        <w:t xml:space="preserve">he goal of routine and mass vaccination campaigns is </w:t>
      </w:r>
      <w:r>
        <w:t xml:space="preserve">frequently </w:t>
      </w:r>
      <w:r w:rsidR="00A22B93">
        <w:t xml:space="preserve">to achieve a </w:t>
      </w:r>
      <w:r>
        <w:t>state of herd immunity,</w:t>
      </w:r>
      <w:r>
        <w:fldChar w:fldCharType="begin" w:fldLock="1"/>
      </w:r>
      <w:r w:rsidR="00AE6CD2">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"id" : "ITEM-2", "itemData" : { "DOI" : "10.1038/318323a0", "ISBN" : "0028-0836 (Print)\\r0028-0836 (Linking)", "ISSN" : "0028-0836", "PMID" : "3906406", "abstract" : "An understanding of the relationship between the transmission dynamics of infectious agents and herd immunity provides a template for the design of effective control programmes based on mass immunization. Mathematical models of the spread and persistence of infection provide important insights into the problem of how best to protect the community against disease.", "author" : [ { "dropping-particle" : "", "family" : "Anderson", "given" : "R M", "non-dropping-particle" : "", "parse-names" : false, "suffix" : "" }, { "dropping-particle" : "", "family" : "May", "given" : "R M", "non-dropping-particle" : "", "parse-names" : false, "suffix" : "" } ], "container-title" : "Nature", "id" : "ITEM-2", "issue" : "6044", "issued" : { "date-parts" : [ [ "1985" ] ] }, "page" : "323-329", "title" : "Vaccination and herd immunity to infectious diseases.", "type" : "article-journal", "volume" : "318" }, "uris" : [ "http://www.mendeley.com/documents/?uuid=a1f5cfe4-7da0-41e9-aca6-fd1dc7c43ce1" ] }, { "id" : "ITEM-3",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"ITEM-3", "issued" : { "date-parts" : [ [ "2006" ] ] }, "page" : "1-16", "title" : "Mass vaccination: When and why", "type" : "article-journal", "volume" : "304" }, "uris" : [ "http://www.mendeley.com/documents/?uuid=e67bc3db-3ad1-43a7-92aa-7f2fe5f3b89a" ] } ], "mendeley" : { "formattedCitation" : "&lt;sup&gt;1\u20133&lt;/sup&gt;", "plainTextFormattedCitation" : "1\u20133", "previouslyFormattedCitation" : "&lt;sup&gt;1\u20133&lt;/sup&gt;" }, "properties" : { "noteIndex" : 0 }, "schema" : "https://github.com/citation-style-language/schema/raw/master/csl-citation.json" }</w:instrText>
      </w:r>
      <w:r>
        <w:fldChar w:fldCharType="separate"/>
      </w:r>
      <w:r w:rsidR="00380776" w:rsidRPr="00380776">
        <w:rPr>
          <w:noProof/>
          <w:vertAlign w:val="superscript"/>
        </w:rPr>
        <w:t>1–3</w:t>
      </w:r>
      <w:r>
        <w:fldChar w:fldCharType="end"/>
      </w:r>
      <w:r>
        <w:t xml:space="preserve"> which occurs when the expected number of infections per case is reduced below one (i.e., the</w:t>
      </w:r>
      <w:r w:rsidR="00CE18E3">
        <w:t xml:space="preserve"> effective reproductive number </w:t>
      </w:r>
      <w:r>
        <w:t>R</w:t>
      </w:r>
      <w:r>
        <w:rPr>
          <w:vertAlign w:val="subscript"/>
        </w:rPr>
        <w:t>e</w:t>
      </w:r>
      <w:r>
        <w:t xml:space="preserve"> &lt; 1). Herd immunity emerges when vaccine coverage (VC) and vaccine effica</w:t>
      </w:r>
      <w:r w:rsidR="00575CD5">
        <w:t>cy (VE) are sufficiently high; c</w:t>
      </w:r>
      <w:r>
        <w:t>onversely, herd immunity can be lost over time</w:t>
      </w:r>
      <w:r w:rsidR="00CE18E3">
        <w:t xml:space="preserve"> when VE decreases (e.g., for short-lived vaccine direct effects) or</w:t>
      </w:r>
      <w:r>
        <w:t xml:space="preserve"> when VC decreases (e.g., through a net influx of susceptible, un</w:t>
      </w:r>
      <w:r w:rsidR="00CE18E3">
        <w:t>vaccinated individuals)</w:t>
      </w:r>
      <w:r>
        <w:t>.</w:t>
      </w:r>
    </w:p>
    <w:p w14:paraId="4F80E016" w14:textId="77777777" w:rsidR="00D552A1" w:rsidRDefault="00D552A1"/>
    <w:p w14:paraId="4D676FA0" w14:textId="4577D518" w:rsidR="002F2F2F" w:rsidRDefault="00BC2050">
      <w:r>
        <w:t xml:space="preserve">Although much attention is given to measuring the duration and magnitude of </w:t>
      </w:r>
      <w:r w:rsidR="00D5161A">
        <w:t>VE</w:t>
      </w:r>
      <w:r w:rsidR="00F539C6">
        <w:t xml:space="preserve">, many questions </w:t>
      </w:r>
      <w:r>
        <w:t xml:space="preserve">regarding </w:t>
      </w:r>
      <w:r w:rsidR="0003435B">
        <w:t xml:space="preserve">the duration of </w:t>
      </w:r>
      <w:r>
        <w:t xml:space="preserve">herd </w:t>
      </w:r>
      <w:r w:rsidR="00C8087F">
        <w:t>immunity</w:t>
      </w:r>
      <w:r w:rsidR="00D5161A">
        <w:t xml:space="preserve"> (DHI)</w:t>
      </w:r>
      <w:r>
        <w:t xml:space="preserve"> </w:t>
      </w:r>
      <w:r w:rsidR="00755E78">
        <w:t xml:space="preserve">remain. </w:t>
      </w:r>
      <w:r w:rsidR="00BE4FAD">
        <w:t>In practice</w:t>
      </w:r>
      <w:r w:rsidR="002F2F2F" w:rsidRPr="002F2F2F">
        <w:t>, vaccines can be a relatively quick stopgap</w:t>
      </w:r>
      <w:r w:rsidR="00CE18E3">
        <w:t xml:space="preserve"> measure</w:t>
      </w:r>
      <w:r w:rsidR="002F2F2F" w:rsidRPr="002F2F2F">
        <w:t xml:space="preserve"> to protect an at-risk population until longer-term solutions can be instituted, but there is a need to know how much time is “bought” by such a vaccination ca</w:t>
      </w:r>
      <w:r w:rsidR="00CE18E3">
        <w:t xml:space="preserve">mpaign. For routine </w:t>
      </w:r>
      <w:r w:rsidR="002F2F2F" w:rsidRPr="002F2F2F">
        <w:t xml:space="preserve">vaccination, the decision of when to boost or revaccinate will depend in part on the DHI following vaccination. Lastly, it remains to be seen how strongly, and in what direction, population mobility should be considered when prioritizing target populations for vaccination. </w:t>
      </w:r>
    </w:p>
    <w:p w14:paraId="2B77C5B6" w14:textId="77777777" w:rsidR="002F2F2F" w:rsidRDefault="002F2F2F"/>
    <w:p w14:paraId="3543F9AC" w14:textId="2DCA871E" w:rsidR="00D552A1" w:rsidRDefault="00D552A1">
      <w:r>
        <w:t xml:space="preserve">We study the model system of oral cholera vaccines </w:t>
      </w:r>
      <w:r w:rsidR="00AF22DD">
        <w:t xml:space="preserve">(OCV) </w:t>
      </w:r>
      <w:r>
        <w:t xml:space="preserve">to address these questions. Due to </w:t>
      </w:r>
      <w:r w:rsidR="00CE18E3">
        <w:t xml:space="preserve">a </w:t>
      </w:r>
      <w:r>
        <w:t xml:space="preserve">reliable </w:t>
      </w:r>
      <w:r w:rsidR="00CE18E3">
        <w:t>VE</w:t>
      </w:r>
      <w:r>
        <w:t xml:space="preserve"> </w:t>
      </w:r>
      <w:r w:rsidR="00CE18E3">
        <w:t xml:space="preserve">profile </w:t>
      </w:r>
      <w:r>
        <w:t xml:space="preserve">and high </w:t>
      </w:r>
      <w:r w:rsidR="00CE18E3">
        <w:t>VC</w:t>
      </w:r>
      <w:r>
        <w:t xml:space="preserve"> through mass campaigns, cholera vaccines can generate po</w:t>
      </w:r>
      <w:r w:rsidR="003542BB">
        <w:t>werful herd protection effects</w:t>
      </w:r>
      <w:r>
        <w:t>.</w:t>
      </w:r>
      <w:r w:rsidR="003542BB">
        <w:fldChar w:fldCharType="begin" w:fldLock="1"/>
      </w:r>
      <w:r w:rsidR="00AE6CD2">
        <w:instrText>ADDIN CSL_CITATION { "citationItems" : [ { "id" : "ITEM-1", "itemData" : { "DOI" : "10.1016/S0140-6736(05)66550-6", "ISSN" : "1474-547X", "PMID" : "15993232", "abstract" : "BACKGROUND: Decisions about the use of killed oral cholera vaccines, which confer moderate levels of direct protection to vaccinees, can depend on whether the vaccines also provide indirect (herd) protection when high levels of vaccine coverage are attained. We reanalysed data from a field trial in Bangladesh to ascertain whether there is evidence of indirect protection from killed oral cholera vaccines.\n\nMETHODS: We analysed the first year of surveillance data from a placebo-controlled trial of B subunit-killed whole-cell and killed whole-cell-only oral cholera vaccines in children and adult women in Bangladesh. We calculated whether there was an inverse, monotonic trend for the relation between the level of vaccine coverage in a residential cluster and the incidence of cholera in individual vaccine recipients or placebo recipients residing in the cluster after controlling for potential confounding variables.\n\nFINDINGS: Vaccine coverage of the targeted population ranged from 4% to 65%. Incidence rates of cholera among placebo recipients were inversely related to levels of vaccine coverage (7.01 cases per 1000 in the lowest quintile of coverage vs 1.47 cases per 1000 in the highest quintile; p&lt;0.0001 for trend). Receipt of vaccine by an individual and the level of vaccine coverage of the individual's cluster were independently related to a reduced risk of cholera. Moreover, after adjustment for the level of vaccine coverage of the cluster, vaccine protective efficacy remained significant (55% [95% CI 41-66], p&lt;0.0001).\n\nINTERPRETATION: In addition to providing direct protection to vaccine recipients, killed oral cholera vaccines confer significant herd protection to neighbouring non-vaccinated individuals. Use of these vaccines could have a major effect on the burden of cholera in endemic settings.", "author" : [ { "dropping-particle" : "", "family" : "Ali", "given" : "Mohammad", "non-dropping-particle" : "", "parse-names" : false, "suffix" : "" }, { "dropping-particle" : "", "family" : "Emch", "given" : "Michael", "non-dropping-particle" : "", "parse-names" : false, "suffix" : "" }, { "dropping-particle" : "", "family" : "Seidlein", "given" : "Lorenz", "non-dropping-particle" : "von", "parse-names" : false, "suffix" : "" }, { "dropping-particle" : "", "family" : "Yunus", "given" : "Mohammad", "non-dropping-particle" : "", "parse-names" : false, "suffix" : "" }, { "dropping-particle" : "", "family" : "Sack", "given" : "David a", "non-dropping-particle" : "", "parse-names" : false, "suffix" : "" }, { "dropping-particle" : "", "family" : "Rao", "given" : "Malla", "non-dropping-particle" : "", "parse-names" : false, "suffix" : "" }, { "dropping-particle" : "", "family" : "Holmgren", "given" : "Jan", "non-dropping-particle" : "", "parse-names" : false, "suffix" : "" }, { "dropping-particle" : "", "family" : "Clemens", "given" : "John D", "non-dropping-particle" : "", "parse-names" : false, "suffix" : "" } ], "container-title" : "Lancet", "id" : "ITEM-1", "issue" : "9479", "issued" : { "date-parts" : [ [ "2005" ] ] }, "page" : "44-9", "title" : "Herd immunity conferred by killed oral cholera vaccines in Bangladesh: a reanalysis.", "type" : "article-journal", "volume" : "366" }, "uris" : [ "http://www.mendeley.com/documents/?uuid=5a4ab721-ba97-4b96-9add-7161a65b6975" ] }, { "id" : "ITEM-2", "itemData" : { "DOI" : "10.1093/cid/cit009", "ISBN" : "1058-4838", "ISSN" : "10584838", "PMID" : "23362293", "abstract" : "We evaluated the herd protection conferred by an oral cholera vaccine using 2 approaches: cluster design and geographic information system (GIS) design.", "author" : [ { "dropping-particle" : "", "family" : "Ali", "given" : "Mohammad", "non-dropping-particle" : "", "parse-names" : false, "suffix" : "" }, { "dropping-particle" : "", "family" : "Sur", "given" : "Dipika", "non-dropping-particle" : "", "parse-names" : false, "suffix" : "" }, { "dropping-particle" : "", "family" : "You", "given" : "Young Ae",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"Puri", "given" : "Mahesh", "non-dropping-particle" : "", "parse-names" : false, "suffix" : "" }, { "dropping-particle" : "", "family" : "Wierzba", "given" : "Thomas F.", "non-dropping-particle" : "", "parse-names" : false, "suffix" : "" }, { "dropping-particle" : "", "family" : "Donner", "given" : "Allan", "non-dropping-particle" : "", "parse-names" : false, "suffix" : "" }, { "dropping-particle" : "", "family" : "Nair", "given" : "G. Balakrish", "non-dropping-particle" : "", "parse-names" : false, "suffix" : "" }, { "dropping-particle" : "", "family" : "Bhattacharya", "given" : "Sujit K.", "non-dropping-particle" : "", "parse-names" : false, "suffix" : "" }, { "dropping-particle" : "", "family" : "Dhingra", "given" : "Mandeep Singh", "non-dropping-particle" : "", "parse-names" : false, "suffix" : "" }, { "dropping-particle" : "", "family" : "Deen", "given" : "Jacqueline L.", "non-dropping-particle" : "", "parse-names" : false, "suffix" : "" }, { "dropping-particle" : "", "family" : "Lopez", "given" : "Anna Lena", "non-dropping-particle" : "", "parse-names" : false, "suffix" : "" }, { "dropping-particle" : "", "family" : "Clemens", "given" : "John", "non-dropping-particle" : "", "parse-names" : false, "suffix" : "" } ], "container-title" : "Clinical Infectious Diseases", "id" : "ITEM-2", "issue" : "8", "issued" : { "date-parts" : [ [ "2013" ] ] }, "page" : "1123-1131", "title" : "Herd protection by a bivalent killed whole-cell oral cholera vaccine in the slums of Kolkata, India", "type" : "article-journal", "volume" : "56" }, "uris" : [ "http://www.mendeley.com/documents/?uuid=66a1c06f-7a05-49ed-9416-dd4e0d8e8023" ] } ], "mendeley" : { "formattedCitation" : "&lt;sup&gt;4,5&lt;/sup&gt;", "plainTextFormattedCitation" : "4,5", "previouslyFormattedCitation" : "&lt;sup&gt;4,5&lt;/sup&gt;" }, "properties" : { "noteIndex" : 0 }, "schema" : "https://github.com/citation-style-language/schema/raw/master/csl-citation.json" }</w:instrText>
      </w:r>
      <w:r w:rsidR="003542BB">
        <w:fldChar w:fldCharType="separate"/>
      </w:r>
      <w:r w:rsidR="00380776" w:rsidRPr="00380776">
        <w:rPr>
          <w:noProof/>
          <w:vertAlign w:val="superscript"/>
        </w:rPr>
        <w:t>4,5</w:t>
      </w:r>
      <w:r w:rsidR="003542BB">
        <w:fldChar w:fldCharType="end"/>
      </w:r>
      <w:r>
        <w:t xml:space="preserve"> </w:t>
      </w:r>
      <w:r w:rsidR="0003435B">
        <w:t>The WHO manages an OCV stockpile to facilitate vaccine usage in three settings: high-endemicity “hot spots”, high-risk humanitarian crises, and outbreak response</w:t>
      </w:r>
      <w:r w:rsidR="003542BB">
        <w:t>.</w:t>
      </w:r>
      <w:r w:rsidR="003542BB">
        <w:fldChar w:fldCharType="begin" w:fldLock="1"/>
      </w:r>
      <w:r w:rsidR="00AE6CD2">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"&lt;sup&gt;6&lt;/sup&gt;", "plainTextFormattedCitation" : "6", "previouslyFormattedCitation" : "&lt;sup&gt;6&lt;/sup&gt;" }, "properties" : { "noteIndex" : 0 }, "schema" : "https://github.com/citation-style-language/schema/raw/master/csl-citation.json" }</w:instrText>
      </w:r>
      <w:r w:rsidR="003542BB">
        <w:fldChar w:fldCharType="separate"/>
      </w:r>
      <w:r w:rsidR="00380776" w:rsidRPr="00380776">
        <w:rPr>
          <w:noProof/>
          <w:vertAlign w:val="superscript"/>
        </w:rPr>
        <w:t>6</w:t>
      </w:r>
      <w:r w:rsidR="003542BB">
        <w:fldChar w:fldCharType="end"/>
      </w:r>
      <w:r w:rsidR="003542BB">
        <w:t xml:space="preserve"> </w:t>
      </w:r>
      <w:r w:rsidR="00BE4FAD">
        <w:t xml:space="preserve">While the </w:t>
      </w:r>
      <w:r w:rsidR="00541512">
        <w:t xml:space="preserve">value of </w:t>
      </w:r>
      <w:r w:rsidR="00BE4FAD">
        <w:t xml:space="preserve">reactive vaccination in response to outbreaks </w:t>
      </w:r>
      <w:r w:rsidR="00541512">
        <w:t>depends on the</w:t>
      </w:r>
      <w:r w:rsidR="00545E7A">
        <w:t xml:space="preserve"> </w:t>
      </w:r>
      <w:r w:rsidR="00CE18E3">
        <w:t>short-term (e.g., 0-6</w:t>
      </w:r>
      <w:r w:rsidR="00545E7A">
        <w:t xml:space="preserve"> month</w:t>
      </w:r>
      <w:r w:rsidR="00BE4FAD">
        <w:t>)</w:t>
      </w:r>
      <w:r w:rsidR="00545E7A">
        <w:t xml:space="preserve"> </w:t>
      </w:r>
      <w:r w:rsidR="00BE4FAD">
        <w:t>OCV effectiveness</w:t>
      </w:r>
      <w:r w:rsidR="003542BB">
        <w:t>,</w:t>
      </w:r>
      <w:r w:rsidR="003542BB">
        <w:fldChar w:fldCharType="begin" w:fldLock="1"/>
      </w:r>
      <w:r w:rsidR="00AE6CD2">
        <w:instrText>ADDIN CSL_CITATION { "citationItems" : [ { "id" : "ITEM-1", "itemData" : { "DOI" : "10.1007/82", "author" : [ { "dropping-particle" : "", "family" : "Clemens", "given" : "John", "non-dropping-particle" : "", "parse-names" : false, "suffix" : "" }, { "dropping-particle" : "", "family" : "Holmgren", "given" : "Jan", "non-dropping-particle" : "", "parse-names" : false, "suffix" : "" } ], "container-title" : "Current Topics in Microbiology and Immunology", "id" : "ITEM-1", "issued" : { "date-parts" : [ [ "2014" ] ] }, "page" : "231-258", "title" : "When, How, and Where can Oral Cholera Vaccines be Used to Interrupt Cholera Outbreaks?", "type" : "article-journal" }, "uris" : [ "http://www.mendeley.com/documents/?uuid=8c6c09ea-2ab8-4a14-9ffc-b522b6e4c3b1" ] } ], "mendeley" : { "formattedCitation" : "&lt;sup&gt;7&lt;/sup&gt;", "plainTextFormattedCitation" : "7", "previouslyFormattedCitation" : "&lt;sup&gt;7&lt;/sup&gt;" }, "properties" : { "noteIndex" : 0 }, "schema" : "https://github.com/citation-style-language/schema/raw/master/csl-citation.json" }</w:instrText>
      </w:r>
      <w:r w:rsidR="003542BB">
        <w:fldChar w:fldCharType="separate"/>
      </w:r>
      <w:r w:rsidR="00380776" w:rsidRPr="00380776">
        <w:rPr>
          <w:noProof/>
          <w:vertAlign w:val="superscript"/>
        </w:rPr>
        <w:t>7</w:t>
      </w:r>
      <w:r w:rsidR="003542BB">
        <w:fldChar w:fldCharType="end"/>
      </w:r>
      <w:r w:rsidR="00545E7A">
        <w:t xml:space="preserve"> the value of </w:t>
      </w:r>
      <w:r w:rsidR="00BE4FAD">
        <w:t xml:space="preserve">pre-emptive </w:t>
      </w:r>
      <w:r w:rsidR="00545E7A">
        <w:t xml:space="preserve">vaccination strongly depends on the duration of time we can expect to </w:t>
      </w:r>
      <w:r w:rsidR="00BE4FAD">
        <w:t>prevent</w:t>
      </w:r>
      <w:r w:rsidR="00545E7A">
        <w:t xml:space="preserve"> a cholera outbreak. </w:t>
      </w:r>
    </w:p>
    <w:p w14:paraId="5004B4C1" w14:textId="77777777" w:rsidR="003542BB" w:rsidRDefault="003542BB"/>
    <w:p w14:paraId="56BAEDFA" w14:textId="3A663DCE" w:rsidR="003542BB" w:rsidRDefault="003542BB">
      <w:r>
        <w:t xml:space="preserve">These are not merely hypothetical concerns. In the </w:t>
      </w:r>
      <w:proofErr w:type="spellStart"/>
      <w:r>
        <w:t>Bentiu</w:t>
      </w:r>
      <w:proofErr w:type="spellEnd"/>
      <w:r>
        <w:t xml:space="preserve"> </w:t>
      </w:r>
      <w:r w:rsidR="001E6C5D">
        <w:t>Protection of Civilians</w:t>
      </w:r>
      <w:r>
        <w:t xml:space="preserve"> (</w:t>
      </w:r>
      <w:proofErr w:type="spellStart"/>
      <w:r>
        <w:t>PoC</w:t>
      </w:r>
      <w:proofErr w:type="spellEnd"/>
      <w:r>
        <w:t>) Camp in South Sudan, mass vaccination</w:t>
      </w:r>
      <w:r w:rsidR="00023416">
        <w:t>s</w:t>
      </w:r>
      <w:r w:rsidR="0099479A">
        <w:t xml:space="preserve"> with high VC</w:t>
      </w:r>
      <w:r>
        <w:t xml:space="preserve"> </w:t>
      </w:r>
      <w:r w:rsidR="00023416">
        <w:t>were</w:t>
      </w:r>
      <w:r>
        <w:t xml:space="preserve"> performed in July 2014 and June 2015, yet the camp sustained an outbreak of </w:t>
      </w:r>
      <w:r w:rsidR="00FF1173">
        <w:t>381</w:t>
      </w:r>
      <w:r w:rsidR="00023416">
        <w:t xml:space="preserve"> cases beginning in</w:t>
      </w:r>
      <w:r>
        <w:t xml:space="preserve"> </w:t>
      </w:r>
      <w:r w:rsidR="00023416">
        <w:t>October</w:t>
      </w:r>
      <w:r>
        <w:t xml:space="preserve"> 2016</w:t>
      </w:r>
      <w:r w:rsidR="00FF1173">
        <w:t xml:space="preserve"> (</w:t>
      </w:r>
      <w:hyperlink r:id="rId9" w:history="1">
        <w:r w:rsidR="00FF1173" w:rsidRPr="004166B7">
          <w:rPr>
            <w:rStyle w:val="Hyperlink"/>
          </w:rPr>
          <w:t>http://reliefweb.int/sites/reliefweb.int/files/resources/UNICEF%20South%20Sudan%20Humanitarian%20SitRep%20%2399%20-%2015%20Dec%202016.pdf</w:t>
        </w:r>
      </w:hyperlink>
      <w:r w:rsidR="00FF1173">
        <w:t>).</w:t>
      </w:r>
      <w:r>
        <w:fldChar w:fldCharType="begin" w:fldLock="1"/>
      </w:r>
      <w:r w:rsidR="00AE6CD2">
        <w:instrText>ADDIN CSL_CITATION { "citationItems" : [ { "id" : "ITEM-1", "itemData" : { "author" : [ { "dropping-particle" : "", "family" : "Ministry of Health", "given" : "", "non-dropping-particle" : "", "parse-names" : false, "suffix" : "" } ], "id" : "ITEM-1", "issue" : "November", "issued" : { "date-parts" : [ [ "2016" ] ] }, "note" : "Bentiu has active outbreak. 43% of cases are &amp;lt;2 years, 66% are &amp;lt;10 years, and 81% were not vaccinated and arrived after the 2015 OCV campaign\n\nPopulation at risk is defined as 126,976 in the county that contains the Bentiu town and PoC camp", "title" : "Situation Report #93 on Cholera in South Sudan As at 23:59 Hours , 3 November 2016", "type" : "report" }, "uris" : [ "http://www.mendeley.com/documents/?uuid=09e0e65b-d85a-448b-a684-a7a1f8271ff8"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00380776" w:rsidRPr="00380776">
        <w:rPr>
          <w:noProof/>
          <w:vertAlign w:val="superscript"/>
        </w:rPr>
        <w:t>8</w:t>
      </w:r>
      <w:r>
        <w:fldChar w:fldCharType="end"/>
      </w:r>
      <w:r>
        <w:t xml:space="preserve"> </w:t>
      </w:r>
      <w:r w:rsidR="0099479A">
        <w:t>Po</w:t>
      </w:r>
      <w:r w:rsidR="00023416">
        <w:t xml:space="preserve">ssible driving factors for the Camp’s susceptibility to an </w:t>
      </w:r>
      <w:r w:rsidR="0099479A">
        <w:t xml:space="preserve">outbreak </w:t>
      </w:r>
      <w:r w:rsidR="00023416">
        <w:t>include waning VE,</w:t>
      </w:r>
      <w:r w:rsidR="0099479A">
        <w:t xml:space="preserve"> influx of susceptible individuals</w:t>
      </w:r>
      <w:r w:rsidR="00023416">
        <w:t xml:space="preserve"> through birth and migration</w:t>
      </w:r>
      <w:r w:rsidR="0099479A">
        <w:t>, and death and resettlement of vaccinated individuals</w:t>
      </w:r>
      <w:r w:rsidR="00023416">
        <w:t>;</w:t>
      </w:r>
      <w:r w:rsidR="0099479A">
        <w:t xml:space="preserve"> </w:t>
      </w:r>
      <w:r w:rsidR="00023416">
        <w:t>however,</w:t>
      </w:r>
      <w:r w:rsidR="0099479A">
        <w:t xml:space="preserve"> the relative contributions of these factors and whether they are sufficient explanations remains to be seen. </w:t>
      </w:r>
    </w:p>
    <w:p w14:paraId="1E017F51" w14:textId="77777777" w:rsidR="003D39B4" w:rsidRDefault="003D39B4"/>
    <w:p w14:paraId="4AF9FDC6" w14:textId="78C58BDE" w:rsidR="00215957" w:rsidRPr="00A445BB" w:rsidRDefault="00A445BB" w:rsidP="00A445BB">
      <w:r>
        <w:t>Following a large scale-up in control measures, such as mass vaccination, a period of low incidence, called the honeymoon period, is expected.</w:t>
      </w:r>
      <w:r>
        <w:fldChar w:fldCharType="begin" w:fldLock="1"/>
      </w:r>
      <w:r w:rsidR="00AE6CD2">
        <w:instrText>ADDIN CSL_CITATION { "citationItems" : [ { "id" : "ITEM-1", "itemData" : { "DOI" : "10.1017/S0950268800067170", "ISSN" : "0950-2688", "PMID" : "3378585", "abstract" : "A mathematical model is developed to mimic the transmission dynamics of the measles virus in communities in the developing world with high population growth rates and high case fatality rates. The model is used to compare the impacts of different mass vaccination programmes upon morbidity and mortality arising from infection by measles virus. Analyses identify three conclusions of practical significance to the design of optimal vaccination programmes. First, there is no single optimum age at which to vaccinate children for all urban and rural communities in developing countries. For a given community the best age at which to vaccinate depends critically on the age distribution of cases of infection prior to the introduction of control measures. Second, numerical studies predict that the introduction of mass vaccination will induce a temporary phase of very low incidence of infection before the system settles to a new pattern of recurrent epidemics. Mass vaccination acts to lengthen the inter-epidemic period in the post-vaccination period when compared with that prevailing prior to control. Third, numerical simulations suggest that two-phase and two-stage vaccination programmes are of less benefit than one-stage programmes (achieving comparable coverage) aimed at young children. The paper ends with a discussion of the needs for: improved programmes of data collection; monitoring of the impact of current vaccination programmes; and the development of models that take account of viral transmission dynamics, host demography and economic factors.", "author" : [ { "dropping-particle" : "", "family" : "McLean", "given" : "A R", "non-dropping-particle" : "", "parse-names" : false, "suffix" : "" }, { "dropping-particle" : "", "family" : "Anderson", "given" : "R M", "non-dropping-particle" : "", "parse-names" : false, "suffix" : "" } ], "container-title" : "Epidemiology and infection", "id" : "ITEM-1", "issue" : "3", "issued" : { "date-parts" : [ [ "1988" ] ] }, "note" : "Coins &amp;quot;Honeymoon Period&amp;quot;", "page" : "419-442", "title" : "Measles in developing countries. Part II. The predicted impact of mass vaccination", "type" : "article-journal", "volume" : "100" }, "uris" : [ "http://www.mendeley.com/documents/?uuid=97610014-43b5-4a99-82eb-58ca9f100383" ] } ], "mendeley" : { "formattedCitation" : "&lt;sup&gt;11&lt;/sup&gt;", "plainTextFormattedCitation" : "11", "previouslyFormattedCitation" : "&lt;sup&gt;11&lt;/sup&gt;" }, "properties" : { "noteIndex" : 0 }, "schema" : "https://github.com/citation-style-language/schema/raw/master/csl-citation.json" }</w:instrText>
      </w:r>
      <w:r>
        <w:fldChar w:fldCharType="separate"/>
      </w:r>
      <w:r w:rsidR="00380776" w:rsidRPr="00380776">
        <w:rPr>
          <w:noProof/>
          <w:vertAlign w:val="superscript"/>
        </w:rPr>
        <w:t>11</w:t>
      </w:r>
      <w:r>
        <w:fldChar w:fldCharType="end"/>
      </w:r>
      <w:r>
        <w:t xml:space="preserve"> Modeling studies of other disease systems (e.g., HIV,</w:t>
      </w:r>
      <w:r>
        <w:fldChar w:fldCharType="begin" w:fldLock="1"/>
      </w:r>
      <w:r w:rsidR="00AE6CD2">
        <w:instrText>ADDIN CSL_CITATION { "citationItems" : [ { "id" : "ITEM-1", "itemData" : { "DOI" : "10.1098/rspb.1993.0075", "ISSN" : "0962-8452", "author" : [ { "dropping-particle" : "", "family" : "Mclean", "given" : "A. R.", "non-dropping-particle" : "", "parse-names" : false, "suffix" : "" }, { "dropping-particle" : "", "family" : "Blower", "given" : "Sally M", "non-dropping-particle" : "", "parse-names" : false, "suffix" : "" } ], "container-title" : "Proceedings of the Royal Society B: Biological Sciences", "id" : "ITEM-1", "issue" : "1336", "issued" : { "date-parts" : [ [ "1993", "7", "22" ] ] }, "note" : "Show how different forms of vaccine imperfection can influence the impact of the vaccine.\n\nOne form of that imperfection is vaccine duration.", "page" : "9-13", "title" : "Imperfect Vaccines and Herd Immunity to HIV", "type" : "article-journal", "volume" : "253" }, "uris" : [ "http://www.mendeley.com/documents/?uuid=cdea40ae-5ce7-4d3f-a2b2-00750c79f01e" ] }, { "id" : "ITEM-2", "itemData" : { "ISBN" : "1139-6121 (Print)\\r1139-6121 (Linking)", "ISSN" : "11396121", "PMID" : "12876900", "abstract" : "Mathematical models can be used as health policy tools and predictive tools. Here we review how mathematical models have been used both to predict the consequences of specific epidemic control strategies and to design epidemic control strategies. We review how models have been used to evaluate the potential impact on HIV epidemics of (i) combination antiretroviral therapies (ART) and (ii) imperfect vaccines. In particular, we discuss how models have been used to predict the potential effect of ART on incidence rates, and to predict the evolution of an epidemic of drug-resistant HIV. We also discuss, in detail, how mathematical models have been used to evaluate the potential impact of prophylactic, live-attenuated and therapeutic HIV vaccines. We show how HIV vaccine models can be used to evaluate the epidemic-level impact of vaccine efficacy, waning in vaccine-induced immunity, vaccination coverage level, and changes (increases or decreases) in risky behavior. We also discuss how mathematical models can be used to determine the levels of cross-immunity that vaccines will need to attain if they are to be used to control HIV epidemics in countries where more than one subtype is being transmitted.", "author" : [ { "dropping-particle" : "", "family" : "Blower", "given" : "S.", "non-dropping-particle" : "", "parse-names" : false, "suffix" : "" }, { "dropping-particle" : "", "family" : "Schwartz", "given" : "E. J.", "non-dropping-particle" : "", "parse-names" : false, "suffix" : "" }, { "dropping-particle" : "", "family" : "Mills", "given" : "J.", "non-dropping-particle" : "", "parse-names" : false, "suffix" : "" } ], "container-title" : "AIDS Reviews", "id" : "ITEM-2", "issue" : "2", "issued" : { "date-parts" : [ [ "2003" ] ] }, "page" : "113-125", "title" : "Forecasting the future of HIV epidemics: The impact of antiretroviral therapies &amp; imperfect vaccines", "type" : "article-journal", "volume" : "5" }, "uris" : [ "http://www.mendeley.com/documents/?uuid=61695fa4-93e7-4285-ba9e-a690b5f9cdc4" ] } ], "mendeley" : { "formattedCitation" : "&lt;sup&gt;12,13&lt;/sup&gt;", "plainTextFormattedCitation" : "12,13", "previouslyFormattedCitation" : "&lt;sup&gt;12,13&lt;/sup&gt;" }, "properties" : { "noteIndex" : 0 }, "schema" : "https://github.com/citation-style-language/schema/raw/master/csl-citation.json" }</w:instrText>
      </w:r>
      <w:r>
        <w:fldChar w:fldCharType="separate"/>
      </w:r>
      <w:r w:rsidR="00380776" w:rsidRPr="00380776">
        <w:rPr>
          <w:noProof/>
          <w:vertAlign w:val="superscript"/>
        </w:rPr>
        <w:t>12,13</w:t>
      </w:r>
      <w:r>
        <w:fldChar w:fldCharType="end"/>
      </w:r>
      <w:r>
        <w:t xml:space="preserve"> measles,</w:t>
      </w:r>
      <w:r>
        <w:fldChar w:fldCharType="begin" w:fldLock="1"/>
      </w:r>
      <w:r w:rsidR="00AE6CD2">
        <w:instrText>ADDIN CSL_CITATION { "citationItems" : [ { "id" : "ITEM-1", "itemData" : { "DOI" : "10.1016/S0264-410X(03)00449-3", "ISBN" : "0264-410X (Print)\\r0264-410X (Linking)", "ISSN" : "0264410X", "PMID" : "14575773", "abstract" : "An age-structured mathematical model of measles transmission in a vaccinated population is used to simulate the shift from a population whose immunity is derived from natural infection to a population whose immunity is vaccine-induced. The model incorporates waning of immunity in a population of vaccinees that eventually will become susceptible to a milder form of vaccine-modified measles with a lower transmission potential than unvaccinated classical measles. Using current estimates of duration of vaccine-derived protection, measles would not be expected to re-emerge quickly in countries with sustained high routine vaccine coverage. However, re-emergence is possible to occur several decades after introduction of high levels of vaccination. Time until re-emergence depends primarily on the contagiousness of vaccine-modified measles cases in comparison to classical measles. Interestingly, in a population with a high proportion of vaccinees, vaccine-modified measles and classical measles would occur essentially in the same age groups. Although waning of humoral immunity in vaccinees is widely observed, re-emergence of measles in highly vaccinated populations depends on parameters for which better estimates are needed. \u00a9 2003 Elsevier Ltd. All rights reserved.", "author" : [ { "dropping-particle" : "", "family" : "Mossong", "given" : "Jo\u00ebl", "non-dropping-particle" : "", "parse-names" : false, "suffix" : "" }, { "dropping-particle" : "", "family" : "Muller", "given" : "Claude P.", "non-dropping-particle" : "", "parse-names" : false, "suffix" : "" } ], "container-title" : "Vaccine", "id" : "ITEM-1", "issue" : "31", "issued" : { "date-parts" : [ [ "2003" ] ] }, "note" : "The honeymoon period is influenced by the transmission potential more than the duration of vaccine protection", "page" : "4597-4603", "title" : "Modelling measles re-emergence as a result of waning of immunity in vaccinated populations", "type" : "article-journal", "volume" : "21" }, "uris" : [ "http://www.mendeley.com/documents/?uuid=4304db5e-2675-4cce-9112-b1ded231031d" ] } ], "mendeley" : { "formattedCitation" : "&lt;sup&gt;14&lt;/sup&gt;", "plainTextFormattedCitation" : "14", "previouslyFormattedCitation" : "&lt;sup&gt;14&lt;/sup&gt;" }, "properties" : { "noteIndex" : 0 }, "schema" : "https://github.com/citation-style-language/schema/raw/master/csl-citation.json" }</w:instrText>
      </w:r>
      <w:r>
        <w:fldChar w:fldCharType="separate"/>
      </w:r>
      <w:r w:rsidR="00380776" w:rsidRPr="00380776">
        <w:rPr>
          <w:noProof/>
          <w:vertAlign w:val="superscript"/>
        </w:rPr>
        <w:t>14</w:t>
      </w:r>
      <w:r>
        <w:fldChar w:fldCharType="end"/>
      </w:r>
      <w:r>
        <w:t xml:space="preserve"> pertussis,</w:t>
      </w:r>
      <w:r>
        <w:fldChar w:fldCharType="begin" w:fldLock="1"/>
      </w:r>
      <w:r w:rsidR="00AE6CD2">
        <w:instrText>ADDIN CSL_CITATION { "citationItems" : [ { "id" : "ITEM-1", "itemData" : { "DOI" : "10.1017/S0031182015000979", "ISSN" : "0031-1820", "abstract" : "The resurgence of pertussis in some countries that maintain high vaccination coverage has drawn attention to gaps in our understanding of the epidemiological effects of pertussis vaccines. In particular, major questions surround the nature, degree and durability of vaccine protection. To address these questions, we used mechanistic transmission models to examine regional time series incidence data from Italy in the period immediately following the introduction of acellular pertussis (aP) vaccine. Our results concur with recent animal-challenge experiments wherein infections in aP-vaccinated individuals proved as transmissible as those in naive individuals but much less symptomatic. On the other hand, the data provide evidence for vaccine-driven reduction in susceptibility, which we quantify via a synthetic measure of vaccine impact. As to the precise nature of vaccine failure, the data do not allow us to distinguish between leakiness and waning of vaccine immunity, or some combination of these. Across the range of well-supported models, the nature and duration of vaccine protection, the age profile of incidence and the range of projected epidemiological futures differ substantially, underscoring the importance of the remaining unknowns. We identify key data gaps: sources of data that can supply the information needed to eliminate these remaining uncertainties.", "author" : [ { "dropping-particle" : "", "family" : "MAGPANTAY", "given" : "F. M. G.", "non-dropping-particle" : "", "parse-names" : false, "suffix" : "" }, { "dropping-particle" : "", "family" : "DOMENECH DE CELL\u00c8S", "given" : "M.", "non-dropping-particle" : "", "parse-names" : false, "suffix" : "" }, { "dropping-particle" : "", "family" : "ROHANI", "given" : "P.", "non-dropping-particle" : "", "parse-names" : false, "suffix" : "" }, { "dropping-particle" : "", "family" : "KING", "given" : "A. A.", "non-dropping-particle" : "", "parse-names" : false, "suffix" : "" } ], "container-title" : "Parasitology", "id" : "ITEM-1", "issue" : "07", "issued" : { "date-parts" : [ [ "2016", "6", "4" ] ] }, "page" : "835-849", "title" : "Pertussis immunity and epidemiology: mode and duration of vaccine-induced immunity", "type" : "article-journal", "volume" : "143" }, "uris" : [ "http://www.mendeley.com/documents/?uuid=315a933b-5be7-4653-955a-65c542265005" ] } ], "mendeley" : { "formattedCitation" : "&lt;sup&gt;15&lt;/sup&gt;", "plainTextFormattedCitation" : "15", "previouslyFormattedCitation" : "&lt;sup&gt;15&lt;/sup&gt;" }, "properties" : { "noteIndex" : 0 }, "schema" : "https://github.com/citation-style-language/schema/raw/master/csl-citation.json" }</w:instrText>
      </w:r>
      <w:r>
        <w:fldChar w:fldCharType="separate"/>
      </w:r>
      <w:r w:rsidR="00380776" w:rsidRPr="00380776">
        <w:rPr>
          <w:noProof/>
          <w:vertAlign w:val="superscript"/>
        </w:rPr>
        <w:t>15</w:t>
      </w:r>
      <w:r>
        <w:fldChar w:fldCharType="end"/>
      </w:r>
      <w:r>
        <w:t xml:space="preserve"> and rubella</w:t>
      </w:r>
      <w:r>
        <w:fldChar w:fldCharType="begin" w:fldLock="1"/>
      </w:r>
      <w:r w:rsidR="00AE6CD2">
        <w:instrText>ADDIN CSL_CITATION { "citationItems" : [ { "id" : "ITEM-1", "itemData" : { "DOI" : "10.1017/S0950268812000131", "ISSN" : "1469-4409", "PMID" : "22335852", "abstract" : "Childhood rubella infection in early pregnancy can lead to fetal death or congenital rubella syndrome (CRS) with multiple disabilities. Reduction of transmission via universal vaccination can prevent CRS, but inadequate coverage may increase CRS numbers by increasing the average age at infection. Consequently, many countries do not vaccinate against rubella. The World Health Organization recommends that for safe rubella vaccination, at least 80% coverage of each birth cohort should be sustained. The nonlinear relationship between CRS burden and infection dynamics has been much studied; however, how the complex interaction between epidemic and demographic dynamics affects minimum safe levels of coverage has not been quantitatively evaluated across scales necessary for a global assessment. We modelled 30-year CRS burdens across epidemiological and demographic settings, including the effect of local interruption of transmission via stochastic fadeout. Necessary minimum vaccination coverage increases markedly with birth and transmission rates, independent of amplitude of seasonal fluctuations in transmission. Susceptible build-up in older age groups following local stochastic extinction of rubella increased CRS burden, indicating that spatial context is important. In low birth-rate settings, 80% routine coverage is a conservative guideline, particularly if supplemented with campaigns and vaccination of women of childbearing age. Where birth and transmission rates are high, immunization coverage must be well above 80% and campaigns may be needed. Policy-makers should be aware of the potential negative effect of local extinction of rubella, since heterogeneity in vaccination coverage will shape extinction patterns, potentially increasing CRS burdens.", "author" : [ { "dropping-particle" : "", "family" : "Metcalf", "given" : "C J E", "non-dropping-particle" : "", "parse-names" : false, "suffix" : "" }, { "dropping-particle" : "", "family" : "Lessler", "given" : "J", "non-dropping-particle" : "", "parse-names" : false, "suffix" : "" }, { "dropping-particle" : "", "family" : "Klepac", "given" : "P", "non-dropping-particle" : "", "parse-names" : false, "suffix" : "" }, { "dropping-particle" : "", "family" : "Cutts", "given" : "F", "non-dropping-particle" : "", "parse-names" : false, "suffix" : "" }, { "dropping-particle" : "", "family" : "Grenfell", "given" : "B T", "non-dropping-particle" : "", "parse-names" : false, "suffix" : "" } ], "container-title" : "Epidemiology and infection", "id" : "ITEM-1", "issue" : "12", "issued" : { "date-parts" : [ [ "2012", "12" ] ] }, "page" : "2290-301", "title" : "Impact of birth rate, seasonality and transmission rate on minimum levels of coverage needed for rubella vaccination.", "type" : "article-journal", "volume" : "140" }, "uris" : [ "http://www.mendeley.com/documents/?uuid=9b68227c-c688-49cf-b22c-d2b17c5c6cee" ] } ], "mendeley" : { "formattedCitation" : "&lt;sup&gt;16&lt;/sup&gt;", "plainTextFormattedCitation" : "16", "previouslyFormattedCitation" : "&lt;sup&gt;16&lt;/sup&gt;" }, "properties" : { "noteIndex" : 0 }, "schema" : "https://github.com/citation-style-language/schema/raw/master/csl-citation.json" }</w:instrText>
      </w:r>
      <w:r>
        <w:fldChar w:fldCharType="separate"/>
      </w:r>
      <w:r w:rsidR="00380776" w:rsidRPr="00380776">
        <w:rPr>
          <w:noProof/>
          <w:vertAlign w:val="superscript"/>
        </w:rPr>
        <w:t>16</w:t>
      </w:r>
      <w:r>
        <w:fldChar w:fldCharType="end"/>
      </w:r>
      <w:r>
        <w:t>) have shown a relationship between herd immunity and factors such as the VE profile, VC, demographic turnover, and R</w:t>
      </w:r>
      <w:r>
        <w:rPr>
          <w:vertAlign w:val="subscript"/>
        </w:rPr>
        <w:t>0</w:t>
      </w:r>
      <w:r>
        <w:t xml:space="preserve">, but no study to our knowledge has demonstrated the relative contributions of these driving factors </w:t>
      </w:r>
      <w:r w:rsidR="00E701DB">
        <w:t>nor considered the impact of human migration</w:t>
      </w:r>
      <w:r>
        <w:t xml:space="preserve"> on waning herd immunity</w:t>
      </w:r>
      <w:r w:rsidR="00E701DB">
        <w:t xml:space="preserve"> and vaccination policy</w:t>
      </w:r>
      <w:r>
        <w:t>.</w:t>
      </w:r>
    </w:p>
    <w:p w14:paraId="05E008E1" w14:textId="77777777" w:rsidR="0099479A" w:rsidRDefault="0099479A"/>
    <w:p w14:paraId="79087810" w14:textId="0615D1B1" w:rsidR="0099479A" w:rsidRPr="00E701DB" w:rsidRDefault="00F539C6">
      <w:r>
        <w:lastRenderedPageBreak/>
        <w:t xml:space="preserve">In this paper, </w:t>
      </w:r>
      <w:r w:rsidR="00C345A8">
        <w:t xml:space="preserve">we </w:t>
      </w:r>
      <w:r w:rsidR="00C041CB">
        <w:t xml:space="preserve">use mathematical models to study the implications of vaccine waning and human mobility on herd </w:t>
      </w:r>
      <w:r w:rsidR="002F2F2F">
        <w:t>immunity</w:t>
      </w:r>
      <w:r w:rsidR="006F7535">
        <w:t xml:space="preserve"> over time</w:t>
      </w:r>
      <w:r w:rsidR="001D4990">
        <w:t>.</w:t>
      </w:r>
      <w:r w:rsidR="002F2F2F">
        <w:t xml:space="preserve"> We compare how well several common vaccination strategies</w:t>
      </w:r>
      <w:r w:rsidR="001D4990">
        <w:t xml:space="preserve"> </w:t>
      </w:r>
      <w:r w:rsidR="002F2F2F">
        <w:t>sustain herd immunity</w:t>
      </w:r>
      <w:r w:rsidR="00545E7A">
        <w:t xml:space="preserve"> and demonstrate the non-monotonic relationship between migration rate and the projected impact of mass vaccination</w:t>
      </w:r>
      <w:r w:rsidR="002F2F2F">
        <w:t xml:space="preserve">. </w:t>
      </w:r>
      <w:r w:rsidR="001D4990">
        <w:t xml:space="preserve">Finally, we </w:t>
      </w:r>
      <w:r>
        <w:t xml:space="preserve">provide a tool that can help guide decisions regarding </w:t>
      </w:r>
      <w:r w:rsidR="00700D43">
        <w:t>the expected duration of herd immunity</w:t>
      </w:r>
      <w:r w:rsidR="002F2F2F">
        <w:t xml:space="preserve"> </w:t>
      </w:r>
      <w:r w:rsidR="00541512">
        <w:t xml:space="preserve">for any given </w:t>
      </w:r>
      <w:r w:rsidR="002F2F2F">
        <w:t>context</w:t>
      </w:r>
      <w:r w:rsidR="0065101F">
        <w:t xml:space="preserve"> (</w:t>
      </w:r>
      <w:hyperlink r:id="rId10" w:history="1">
        <w:r w:rsidR="0065101F" w:rsidRPr="001C5656">
          <w:rPr>
            <w:rStyle w:val="Hyperlink"/>
          </w:rPr>
          <w:t>https://coreypeak.shinyapps.io/herd_protection_estimator/</w:t>
        </w:r>
      </w:hyperlink>
      <w:r w:rsidR="0065101F">
        <w:t>)</w:t>
      </w:r>
      <w:r w:rsidR="00700D43">
        <w:t>.</w:t>
      </w:r>
      <w:r w:rsidR="0099479A">
        <w:rPr>
          <w:b/>
        </w:rPr>
        <w:br w:type="page"/>
      </w:r>
    </w:p>
    <w:p w14:paraId="4B3BEB72" w14:textId="7D59CC88" w:rsidR="005C7B32" w:rsidRDefault="00324900" w:rsidP="005C7B32">
      <w:pPr>
        <w:rPr>
          <w:b/>
        </w:rPr>
      </w:pPr>
      <w:r>
        <w:rPr>
          <w:b/>
        </w:rPr>
        <w:lastRenderedPageBreak/>
        <w:t>Methods</w:t>
      </w:r>
    </w:p>
    <w:p w14:paraId="0BDC86D2" w14:textId="77777777" w:rsidR="00324900" w:rsidRPr="001850C4" w:rsidRDefault="00324900" w:rsidP="005C7B32">
      <w:pPr>
        <w:rPr>
          <w:b/>
        </w:rPr>
      </w:pPr>
    </w:p>
    <w:p w14:paraId="4DDF551A" w14:textId="4998F42F" w:rsidR="00324900" w:rsidRPr="00324900" w:rsidRDefault="00324900" w:rsidP="005C7B32">
      <w:pPr>
        <w:rPr>
          <w:i/>
        </w:rPr>
      </w:pPr>
      <w:r w:rsidRPr="00324900">
        <w:rPr>
          <w:i/>
        </w:rPr>
        <w:t>Disease Model</w:t>
      </w:r>
    </w:p>
    <w:p w14:paraId="1943FA7B" w14:textId="4175C479" w:rsidR="003B3505" w:rsidRDefault="005C7B32" w:rsidP="005C7B32">
      <w:r>
        <w:t xml:space="preserve">We developed a compartmental model framework of </w:t>
      </w:r>
      <w:r w:rsidR="00EB221D">
        <w:t xml:space="preserve">a </w:t>
      </w:r>
      <w:r>
        <w:t>population that is being targeted with vaccination. The population groups of principle interest for this study are individuals who are fully susceptible to disease (</w:t>
      </w:r>
      <m:oMath>
        <m:r>
          <w:rPr>
            <w:rFonts w:ascii="Cambria Math" w:hAnsi="Cambria Math"/>
          </w:rPr>
          <m:t>S</m:t>
        </m:r>
      </m:oMath>
      <w:r>
        <w:t xml:space="preserve">) and </w:t>
      </w:r>
      <w:r w:rsidR="00C346FB">
        <w:t>those</w:t>
      </w:r>
      <w:r>
        <w:t xml:space="preserve"> who were vaccinated </w:t>
      </w:r>
      <w:r w:rsidR="00EB221D" w:rsidRPr="002F2F2F">
        <w:rPr>
          <w:i/>
        </w:rPr>
        <w:t>n</w:t>
      </w:r>
      <w:r w:rsidR="00EB221D">
        <w:t xml:space="preserve">-months ago </w:t>
      </w:r>
      <w:r>
        <w:t>(</w:t>
      </w:r>
      <m:oMath>
        <m:sSub>
          <m:sSubPr>
            <m:ctrlPr>
              <w:rPr>
                <w:rFonts w:ascii="Cambria Math" w:hAnsi="Cambria Math"/>
                <w:i/>
              </w:rPr>
            </m:ctrlPr>
          </m:sSubPr>
          <m:e>
            <m:r>
              <w:rPr>
                <w:rFonts w:ascii="Cambria Math" w:hAnsi="Cambria Math"/>
              </w:rPr>
              <m:t>V</m:t>
            </m:r>
          </m:e>
          <m:sub>
            <m:r>
              <w:rPr>
                <w:rFonts w:ascii="Cambria Math" w:hAnsi="Cambria Math"/>
              </w:rPr>
              <m:t>n</m:t>
            </m:r>
          </m:sub>
        </m:sSub>
      </m:oMath>
      <w:r>
        <w:t>)</w:t>
      </w:r>
      <w:r w:rsidR="007914F5">
        <w:t xml:space="preserve"> (Fig 1</w:t>
      </w:r>
      <w:r w:rsidR="00C346FB">
        <w:t>)</w:t>
      </w:r>
      <w:r>
        <w:t xml:space="preserve">. </w:t>
      </w:r>
      <w:r w:rsidR="00C346FB">
        <w:t xml:space="preserve">In order to account for the observation that vaccine direct effects do not tend to wane exponentially, we </w:t>
      </w:r>
      <w:r w:rsidR="00EB221D">
        <w:t>created an ensemble of</w:t>
      </w:r>
      <w:r w:rsidR="00C346FB">
        <w:t xml:space="preserve"> </w:t>
      </w:r>
      <w:r w:rsidR="00C346FB">
        <w:rPr>
          <w:i/>
        </w:rPr>
        <w:t>n</w:t>
      </w:r>
      <w:r w:rsidR="00C346FB">
        <w:t xml:space="preserve"> monthly stages</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t>)</w:t>
      </w:r>
      <w:r w:rsidR="00C346FB">
        <w:t xml:space="preserve">, </w:t>
      </w:r>
      <w:r w:rsidR="006B4B6A">
        <w:t>which collectively</w:t>
      </w:r>
      <w:r w:rsidR="00C346FB">
        <w:t xml:space="preserve"> </w:t>
      </w:r>
      <w:r w:rsidR="006B4B6A">
        <w:t>generate</w:t>
      </w:r>
      <w:r w:rsidR="00C346FB">
        <w:t xml:space="preserve"> an </w:t>
      </w:r>
      <w:proofErr w:type="spellStart"/>
      <w:r w:rsidR="00C346FB">
        <w:t>Erlang</w:t>
      </w:r>
      <w:proofErr w:type="spellEnd"/>
      <w:r w:rsidR="00C346FB">
        <w:t xml:space="preserve">-distribution for the duration of time in the </w:t>
      </w:r>
      <m:oMath>
        <m:r>
          <w:rPr>
            <w:rFonts w:ascii="Cambria Math" w:hAnsi="Cambria Math"/>
          </w:rPr>
          <m:t>V</m:t>
        </m:r>
      </m:oMath>
      <w:r w:rsidR="00C346FB">
        <w:t>-ensemble</w:t>
      </w:r>
      <w:r w:rsidR="003542BB">
        <w:t>.</w:t>
      </w:r>
      <w:r w:rsidR="003542BB">
        <w:fldChar w:fldCharType="begin" w:fldLock="1"/>
      </w:r>
      <w:r w:rsidR="00AE6CD2">
        <w:instrText>ADDIN CSL_CITATION { "citationItems" : [ { "id" : "ITEM-1", "itemData" : { "DOI" : "10.1006/tpbi.2001.1525", "ISBN" : "0040-5809 (Print)\\r0040-5809 (Linking)", "ISSN" : "0040-5809", "PMID" : "11589638", "abstract" : "Most mathematical models used to study the epidemiology of childhood viral diseases, such as measles, describe the period of infectiousness by an exponential distribution. The effects of including more realistic descriptions of the infectious period within SIR (susceptible/infectious/recovered) models are studied. Less dispersed distributions are seen to have two important epidemiological consequences. First, less stable behaviour is seen within the model: incidence patterns become more complex. Second, disease persistence is diminished: in models with a finite population, the minimum population size needed to allow disease persistence increases. The assumption made concerning the infectious period distribution is of a kind routinely made in the formulation of mathematical models in population biology. Since it has a major effect on the central issues of population persistence and dynamics, the results of this study have broad implications for mathematical modellers of a wide range of biological systems.", "author" : [ { "dropping-particle" : "", "family" : "Lloyd", "given" : "A L", "non-dropping-particle" : "", "parse-names" : false, "suffix" : "" } ], "container-title" : "Theor Popul Biol", "id" : "ITEM-1", "issued" : { "date-parts" : [ [ "2001" ] ] }, "page" : "59-71", "title" : "Realistic distributions of infectious periods in epidemic models: changing patterns of persistence and dynamics.", "type" : "article-journal", "volume" : "60" }, "uris" : [ "http://www.mendeley.com/documents/?uuid=003aa9ea-45ed-44ca-a8af-2f12b5497031" ] }, { "id" : "ITEM-2", "itemData" : { "DOI" : "10.1098/rsif.2013.0098", "ISSN" : "1742-5662", "PMID" : "23676892", "abstract" : "The population dynamics of infectious diseases occasionally undergo rapid qualitative changes, such as transitions from annual to biennial cycles or to irregular dynamics. Previous work, based on the standard seasonally forced 'susceptible-exposed-infectious-removed' (SEIR) model has found that transitions in the dynamics of many childhood diseases result from bifurcations induced by slow changes in birth and vaccination rates. However, the standard SEIR formulation assumes that the stage durations (latent and infectious periods) are exponentially distributed, whereas real distributions are narrower and centred around the mean. Much recent work has indicated that realistically distributed stage durations strongly affect the dynamical structure of seasonally forced epidemic models. We investigate whether inferences drawn from previous analyses of transitions in patterns of measles dynamics are robust to the shapes of the stage duration distributions. As an illustrative example, we analyse measles dynamics in New York City from 1928 to 1972. We find that with a fixed mean infectious period in the susceptible-infectious-removed (SIR) model, the dynamical structure and predicted transitions vary substantially as a function of the shape of the infectious period distribution. By contrast, with fixed mean latent and infectious periods in the SEIR model, the shapes of the stage duration distributions have a less dramatic effect on model dynamical structure and predicted transitions. All these results can be understood more easily by considering the distribution of the disease generation time as opposed to the distributions of individual disease stages. Numerical bifurcation analysis reveals that for a given mean generation time the dynamics of the SIR and SEIR models for measles are nearly equivalent and are insensitive to the shapes of the disease stage distributions.", "author" : [ { "dropping-particle" : "", "family" : "Krylova", "given" : "Olga", "non-dropping-particle" : "", "parse-names" : false, "suffix" : "" }, { "dropping-particle" : "", "family" : "Earn", "given" : "David J D", "non-dropping-particle" : "", "parse-names" : false, "suffix" : "" } ], "container-title" : "Journal of the Royal Society, Interface / the Royal Society", "id" : "ITEM-2", "issue" : "84", "issued" : { "date-parts" : [ [ "2013" ] ] }, "note" : "Example of using Erlang distribution and some nice notation", "page" : "20130098", "title" : "Effects of the infectious period distribution on predicted transitions in childhood disease dynamics.", "type" : "article-journal", "volume" : "10" }, "uris" : [ "http://www.mendeley.com/documents/?uuid=644cbe3e-9a7c-45d7-838c-cfe8996146fa" ] } ], "mendeley" : { "formattedCitation" : "&lt;sup&gt;17,18&lt;/sup&gt;", "plainTextFormattedCitation" : "17,18", "previouslyFormattedCitation" : "&lt;sup&gt;17,18&lt;/sup&gt;" }, "properties" : { "noteIndex" : 0 }, "schema" : "https://github.com/citation-style-language/schema/raw/master/csl-citation.json" }</w:instrText>
      </w:r>
      <w:r w:rsidR="003542BB">
        <w:fldChar w:fldCharType="separate"/>
      </w:r>
      <w:r w:rsidR="00380776" w:rsidRPr="00380776">
        <w:rPr>
          <w:noProof/>
          <w:vertAlign w:val="superscript"/>
        </w:rPr>
        <w:t>17,18</w:t>
      </w:r>
      <w:r w:rsidR="003542BB">
        <w:fldChar w:fldCharType="end"/>
      </w:r>
      <w:r w:rsidR="00C346FB">
        <w:t xml:space="preserve"> </w:t>
      </w:r>
      <w:r w:rsidR="002F2F2F">
        <w:t>We set the</w:t>
      </w:r>
      <w:r w:rsidR="00C346FB">
        <w:t xml:space="preserve"> mean time residing in any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softHyphen/>
        <w:t xml:space="preserve"> compartment</w:t>
      </w:r>
      <w:r w:rsidR="00C346FB">
        <w:t xml:space="preserve"> </w:t>
      </w:r>
      <w:r w:rsidR="002F2F2F">
        <w:t>to</w:t>
      </w:r>
      <w:r w:rsidR="006B4B6A">
        <w:t xml:space="preserve"> 30.5 days; t</w:t>
      </w:r>
      <w:r w:rsidR="00C346FB">
        <w:t>herefore, individuals move</w:t>
      </w:r>
      <w:r w:rsidR="002347AA">
        <w:t xml:space="preserve"> </w:t>
      </w:r>
      <w:r w:rsidR="00E701DB">
        <w:t xml:space="preserve">from compartment </w:t>
      </w:r>
      <m:oMath>
        <m:r>
          <w:rPr>
            <w:rFonts w:ascii="Cambria Math" w:hAnsi="Cambria Math"/>
          </w:rPr>
          <m:t>S</m:t>
        </m:r>
      </m:oMath>
      <w:r w:rsidR="00E701DB">
        <w:t xml:space="preserve"> 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346FB">
        <w:t xml:space="preserve"> for months [0,1) post-vaccination on average, to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C346FB">
        <w:t xml:space="preserve"> for months [1,2) post-vaccination, etc. </w:t>
      </w:r>
    </w:p>
    <w:p w14:paraId="5D2453F1" w14:textId="77777777" w:rsidR="006B582E" w:rsidRDefault="006B582E" w:rsidP="005C7B32"/>
    <w:p w14:paraId="05C9FCC8" w14:textId="5068CEFB" w:rsidR="006B582E" w:rsidRDefault="006B582E" w:rsidP="006B582E">
      <w:r>
        <w:t>We assume individuals within the populati</w:t>
      </w:r>
      <w:r w:rsidR="00C30928">
        <w:t xml:space="preserve">on are </w:t>
      </w:r>
      <w:proofErr w:type="gramStart"/>
      <w:r w:rsidR="00C30928">
        <w:t>well-mixed</w:t>
      </w:r>
      <w:proofErr w:type="gramEnd"/>
      <w:r w:rsidR="00C30928">
        <w:t xml:space="preserve"> and i</w:t>
      </w:r>
      <w:r>
        <w:t xml:space="preserve">ndividuals emigrate from the population at a rate that is equal for all compartments. Unless otherwise noted, the total system size is held constant by offsetting emigration with an equal rate of immigration. Our main results assume that immigration is entirely into the </w:t>
      </w:r>
      <w:proofErr w:type="gramStart"/>
      <m:oMath>
        <m:r>
          <w:rPr>
            <w:rFonts w:ascii="Cambria Math" w:hAnsi="Cambria Math"/>
          </w:rPr>
          <m:t>S</m:t>
        </m:r>
      </m:oMath>
      <w:proofErr w:type="gramEnd"/>
      <w:r w:rsidR="00C8088D">
        <w:t xml:space="preserve"> </w:t>
      </w:r>
      <w:r>
        <w:t xml:space="preserve">compartment, meaning incoming migrants bring neither vaccine-derived nor naturally acquired immunity into the population. </w:t>
      </w:r>
    </w:p>
    <w:p w14:paraId="30F32F5E" w14:textId="77777777" w:rsidR="006B582E" w:rsidRDefault="006B582E" w:rsidP="006B582E"/>
    <w:p w14:paraId="5225B6C9" w14:textId="12DFFB38" w:rsidR="006B582E" w:rsidRDefault="006B582E" w:rsidP="005C7B32">
      <w:r>
        <w:t xml:space="preserve">The system of ordinary differential equations generated by the model was solved using the </w:t>
      </w:r>
      <w:proofErr w:type="spellStart"/>
      <w:r>
        <w:rPr>
          <w:i/>
        </w:rPr>
        <w:t>deSolve</w:t>
      </w:r>
      <w:proofErr w:type="spellEnd"/>
      <w:r>
        <w:t xml:space="preserve"> package</w:t>
      </w:r>
      <w:r>
        <w:fldChar w:fldCharType="begin" w:fldLock="1"/>
      </w:r>
      <w:r w:rsidR="00AE6CD2">
        <w:instrText>ADDIN CSL_CITATION { "citationItems" : [ { "id" : "ITEM-1", "itemData" : { "DOI" : "10.18637/jss.v033.i09", "ISBN" : "1548-7660", "ISSN" : "15487660", "PMID" : "1000204895", "abstract" : "In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 "author" : [ { "dropping-particle" : "", "family" : "Soetaert", "given" : "Karline", "non-dropping-particle" : "", "parse-names" : false, "suffix" : "" }, { "dropping-particle" : "", "family" : "Petzoldt", "given" : "Thomas", "non-dropping-particle" : "", "parse-names" : false, "suffix" : "" }, { "dropping-particle" : "", "family" : "Setzer", "given" : "R Woodrow", "non-dropping-particle" : "", "parse-names" : false, "suffix" : "" } ], "container-title" : "Journal Of Statistical Software", "id" : "ITEM-1", "issue" : "9", "issued" : { "date-parts" : [ [ "2010" ] ] }, "page" : "1-25", "title" : "Package deSolve : Solving Initial Value Differential Equations in R", "type" : "article-journal", "volume" : "33" }, "uris" : [ "http://www.mendeley.com/documents/?uuid=75c32ad4-4e01-4f11-9f92-f8cb407c75f6" ] } ], "mendeley" : { "formattedCitation" : "&lt;sup&gt;19&lt;/sup&gt;", "plainTextFormattedCitation" : "19", "previouslyFormattedCitation" : "&lt;sup&gt;19&lt;/sup&gt;" }, "properties" : { "noteIndex" : 0 }, "schema" : "https://github.com/citation-style-language/schema/raw/master/csl-citation.json" }</w:instrText>
      </w:r>
      <w:r>
        <w:fldChar w:fldCharType="separate"/>
      </w:r>
      <w:r w:rsidR="00380776" w:rsidRPr="00380776">
        <w:rPr>
          <w:noProof/>
          <w:vertAlign w:val="superscript"/>
        </w:rPr>
        <w:t>19</w:t>
      </w:r>
      <w:r>
        <w:fldChar w:fldCharType="end"/>
      </w:r>
      <w:r>
        <w:t xml:space="preserve"> in the statistical software program R (version 3.2.4). All code used to generate this paper can be found at </w:t>
      </w:r>
      <w:hyperlink r:id="rId11" w:history="1">
        <w:r w:rsidRPr="000E5266">
          <w:rPr>
            <w:rStyle w:val="Hyperlink"/>
          </w:rPr>
          <w:t>https://github.com/peakcm/cholera</w:t>
        </w:r>
      </w:hyperlink>
      <w:r>
        <w:t>.</w:t>
      </w:r>
    </w:p>
    <w:p w14:paraId="7E41A807" w14:textId="77777777" w:rsidR="003B3505" w:rsidRDefault="003B3505" w:rsidP="005C7B32"/>
    <w:p w14:paraId="31BEB8E8" w14:textId="7C293A47" w:rsidR="006B582E" w:rsidRPr="006B582E" w:rsidRDefault="006B582E" w:rsidP="005C7B32">
      <w:r>
        <w:rPr>
          <w:i/>
        </w:rPr>
        <w:t>Vaccine Efficacy Parameterization</w:t>
      </w:r>
    </w:p>
    <w:p w14:paraId="50E2C944" w14:textId="02467D94" w:rsidR="005C7B32" w:rsidRDefault="00C346FB" w:rsidP="005C7B32">
      <w:r>
        <w:t xml:space="preserve">We adapted monthly </w:t>
      </w:r>
      <w:proofErr w:type="gramStart"/>
      <m:oMath>
        <m:r>
          <w:rPr>
            <w:rFonts w:ascii="Cambria Math" w:hAnsi="Cambria Math"/>
          </w:rPr>
          <m:t>VE(</m:t>
        </m:r>
        <w:proofErr w:type="gramEnd"/>
        <m:r>
          <w:rPr>
            <w:rFonts w:ascii="Cambria Math" w:hAnsi="Cambria Math"/>
          </w:rPr>
          <m:t>t)</m:t>
        </m:r>
      </m:oMath>
      <w:r>
        <w:t xml:space="preserve"> estimates u</w:t>
      </w:r>
      <w:r w:rsidR="003542BB">
        <w:t>sing data from Clemens et al.</w:t>
      </w:r>
      <w:r w:rsidR="003542BB">
        <w:fldChar w:fldCharType="begin" w:fldLock="1"/>
      </w:r>
      <w:r w:rsidR="00AE6CD2">
        <w:instrText>ADDIN CSL_CITATION { "citationItems" : [ { "id" : "ITEM-1",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"ITEM-1",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"&lt;sup&gt;20&lt;/sup&gt;", "plainTextFormattedCitation" : "20", "previouslyFormattedCitation" : "&lt;sup&gt;20&lt;/sup&gt;" }, "properties" : { "noteIndex" : 0 }, "schema" : "https://github.com/citation-style-language/schema/raw/master/csl-citation.json" }</w:instrText>
      </w:r>
      <w:r w:rsidR="003542BB">
        <w:fldChar w:fldCharType="separate"/>
      </w:r>
      <w:r w:rsidR="00380776" w:rsidRPr="00380776">
        <w:rPr>
          <w:noProof/>
          <w:vertAlign w:val="superscript"/>
        </w:rPr>
        <w:t>20</w:t>
      </w:r>
      <w:r w:rsidR="003542BB">
        <w:fldChar w:fldCharType="end"/>
      </w:r>
      <w:r w:rsidR="003542BB">
        <w:t xml:space="preserve"> </w:t>
      </w:r>
      <w:r w:rsidR="002347AA">
        <w:t>that were</w:t>
      </w:r>
      <w:r w:rsidR="00BE4FAD">
        <w:t xml:space="preserve"> re-analyzed by</w:t>
      </w:r>
      <w:r w:rsidR="003542BB">
        <w:t xml:space="preserve"> Durham et al</w:t>
      </w:r>
      <w:r w:rsidR="00BE4FAD">
        <w:t>.</w:t>
      </w:r>
      <w:r w:rsidR="003542BB">
        <w:fldChar w:fldCharType="begin" w:fldLock="1"/>
      </w:r>
      <w:r w:rsidR="00AE6CD2">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"&lt;sup&gt;21&lt;/sup&gt;", "plainTextFormattedCitation" : "21", "previouslyFormattedCitation" : "&lt;sup&gt;21&lt;/sup&gt;" }, "properties" : { "noteIndex" : 0 }, "schema" : "https://github.com/citation-style-language/schema/raw/master/csl-citation.json" }</w:instrText>
      </w:r>
      <w:r w:rsidR="003542BB">
        <w:fldChar w:fldCharType="separate"/>
      </w:r>
      <w:r w:rsidR="00380776" w:rsidRPr="00380776">
        <w:rPr>
          <w:noProof/>
          <w:vertAlign w:val="superscript"/>
        </w:rPr>
        <w:t>21</w:t>
      </w:r>
      <w:r w:rsidR="003542BB">
        <w:fldChar w:fldCharType="end"/>
      </w:r>
      <w:r w:rsidR="00BE4FAD">
        <w:t xml:space="preserve"> We </w:t>
      </w:r>
      <w:r>
        <w:t xml:space="preserve">define </w:t>
      </w:r>
      <w:proofErr w:type="gramStart"/>
      <m:oMath>
        <m:r>
          <w:rPr>
            <w:rFonts w:ascii="Cambria Math" w:hAnsi="Cambria Math"/>
          </w:rPr>
          <m:t>VE(</m:t>
        </m:r>
        <w:proofErr w:type="gramEnd"/>
        <m:r>
          <w:rPr>
            <w:rFonts w:ascii="Cambria Math" w:hAnsi="Cambria Math"/>
          </w:rPr>
          <m:t>1)</m:t>
        </m:r>
      </m:oMath>
      <w:r>
        <w:t xml:space="preserve"> to be the </w:t>
      </w:r>
      <w:r w:rsidR="00C8088D" w:rsidRPr="00C8088D">
        <w:t>VE</w:t>
      </w:r>
      <w:r>
        <w:t xml:space="preserve"> for months [0,1) post-vaccination, </w:t>
      </w:r>
      <m:oMath>
        <m:r>
          <w:rPr>
            <w:rFonts w:ascii="Cambria Math" w:hAnsi="Cambria Math"/>
          </w:rPr>
          <m:t>VE(2)</m:t>
        </m:r>
      </m:oMath>
      <w:r>
        <w:t xml:space="preserve"> to be the VE for months [1,2) post-vaccination, etc. We parameterized the time-varying distribution </w:t>
      </w:r>
      <w:proofErr w:type="gramStart"/>
      <m:oMath>
        <m:r>
          <w:rPr>
            <w:rFonts w:ascii="Cambria Math" w:hAnsi="Cambria Math"/>
          </w:rPr>
          <m:t>VE(</m:t>
        </m:r>
        <w:proofErr w:type="gramEnd"/>
        <m:r>
          <w:rPr>
            <w:rFonts w:ascii="Cambria Math" w:hAnsi="Cambria Math"/>
          </w:rPr>
          <m:t>t)</m:t>
        </m:r>
      </m:oMath>
      <w:r>
        <w:t xml:space="preserve"> of WC and BS-WC vac</w:t>
      </w:r>
      <w:r w:rsidR="003542BB">
        <w:t>cines using tables provided by Durham et al.</w:t>
      </w:r>
      <w:r w:rsidR="003542BB">
        <w:fldChar w:fldCharType="begin" w:fldLock="1"/>
      </w:r>
      <w:r w:rsidR="00AE6CD2">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"&lt;sup&gt;21&lt;/sup&gt;", "plainTextFormattedCitation" : "21", "previouslyFormattedCitation" : "&lt;sup&gt;21&lt;/sup&gt;" }, "properties" : { "noteIndex" : 0 }, "schema" : "https://github.com/citation-style-language/schema/raw/master/csl-citation.json" }</w:instrText>
      </w:r>
      <w:r w:rsidR="003542BB">
        <w:fldChar w:fldCharType="separate"/>
      </w:r>
      <w:r w:rsidR="00380776" w:rsidRPr="00380776">
        <w:rPr>
          <w:noProof/>
          <w:vertAlign w:val="superscript"/>
        </w:rPr>
        <w:t>21</w:t>
      </w:r>
      <w:r w:rsidR="003542BB">
        <w:fldChar w:fldCharType="end"/>
      </w:r>
      <w:r w:rsidR="003542BB">
        <w:t xml:space="preserve"> </w:t>
      </w:r>
      <w:r>
        <w:t>and linear interpellat</w:t>
      </w:r>
      <w:r w:rsidR="002347AA">
        <w:t>ions between 6-month</w:t>
      </w:r>
      <w:r w:rsidR="00C30928">
        <w:t xml:space="preserve"> mean VE</w:t>
      </w:r>
      <w:r w:rsidR="002347AA">
        <w:t xml:space="preserve"> estimates</w:t>
      </w:r>
      <w:r w:rsidR="00586F75">
        <w:t>, bounded at zero and one</w:t>
      </w:r>
      <w:r w:rsidR="002347AA">
        <w:t>.</w:t>
      </w:r>
      <w:r w:rsidR="00586F75">
        <w:t xml:space="preserve"> </w:t>
      </w:r>
      <w:r w:rsidR="002347AA">
        <w:t xml:space="preserve">As the WC vaccine is more commonly used, especially through the </w:t>
      </w:r>
      <w:r w:rsidR="00B62E25">
        <w:t>WHO OCV</w:t>
      </w:r>
      <w:r w:rsidR="002347AA">
        <w:t xml:space="preserve"> Stockpile, we focus our main results on the WC vaccine and present results for the BS-WC vaccine in the supplement.</w:t>
      </w:r>
    </w:p>
    <w:p w14:paraId="35E0F94F" w14:textId="77777777" w:rsidR="00FB25E1" w:rsidRDefault="00FB25E1" w:rsidP="005C7B32"/>
    <w:p w14:paraId="54ADB133" w14:textId="67DA25BE" w:rsidR="006B582E" w:rsidRPr="006B582E" w:rsidRDefault="006B582E" w:rsidP="005C7B32">
      <w:pPr>
        <w:rPr>
          <w:i/>
        </w:rPr>
      </w:pPr>
      <w:r>
        <w:rPr>
          <w:i/>
        </w:rPr>
        <w:t>Mobility Parameterization</w:t>
      </w:r>
    </w:p>
    <w:p w14:paraId="10DBF619" w14:textId="6AC1E25A" w:rsidR="000E5266" w:rsidRDefault="00C30928" w:rsidP="005C7B32">
      <w:r>
        <w:t>We</w:t>
      </w:r>
      <w:r w:rsidR="00FB25E1">
        <w:t xml:space="preserve"> estimated migration rates from three settings</w:t>
      </w:r>
      <w:r>
        <w:t xml:space="preserve"> where OCVs have been used in order to create benchmarks for realistic mobility rates</w:t>
      </w:r>
      <w:r w:rsidR="00FB25E1">
        <w:t>. First, to represent a more stable population, we esti</w:t>
      </w:r>
      <w:r w:rsidR="00006508">
        <w:t xml:space="preserve">mate a migration rate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06508">
        <w:t xml:space="preserve"> </w:t>
      </w:r>
      <w:r w:rsidR="00FB25E1">
        <w:t xml:space="preserve">from the observation that only 9% of </w:t>
      </w:r>
      <w:r w:rsidR="00B62E25">
        <w:t>an OCV study</w:t>
      </w:r>
      <w:r w:rsidR="00FB25E1">
        <w:t xml:space="preserve"> population in Calcutta changed in the two years following </w:t>
      </w:r>
      <w:r w:rsidR="003542BB">
        <w:t>vaccination in 2006</w:t>
      </w:r>
      <w:r w:rsidR="00FB25E1">
        <w:t>.</w:t>
      </w:r>
      <w:r w:rsidR="00046565">
        <w:fldChar w:fldCharType="begin" w:fldLock="1"/>
      </w:r>
      <w:r w:rsidR="00AE6CD2">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"&lt;sup&gt;9&lt;/sup&gt;", "plainTextFormattedCitation" : "9", "previouslyFormattedCitation" : "&lt;sup&gt;9&lt;/sup&gt;" }, "properties" : { "noteIndex" : 0 }, "schema" : "https://github.com/citation-style-language/schema/raw/master/csl-citation.json" }</w:instrText>
      </w:r>
      <w:r w:rsidR="00046565">
        <w:fldChar w:fldCharType="separate"/>
      </w:r>
      <w:r w:rsidR="00380776" w:rsidRPr="00380776">
        <w:rPr>
          <w:noProof/>
          <w:vertAlign w:val="superscript"/>
        </w:rPr>
        <w:t>9</w:t>
      </w:r>
      <w:r w:rsidR="00046565">
        <w:fldChar w:fldCharType="end"/>
      </w:r>
      <w:r w:rsidR="00FB25E1">
        <w:t xml:space="preserve"> Secondly, to represent a highly mobile population, we estimate a migration rate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FB25E1">
        <w:t xml:space="preserve"> from </w:t>
      </w:r>
      <w:r w:rsidR="00B62E25">
        <w:t xml:space="preserve">the observation that 58% of a study </w:t>
      </w:r>
      <w:r w:rsidR="00FB25E1">
        <w:t xml:space="preserve">population in Dhaka </w:t>
      </w:r>
      <w:r w:rsidR="00046565">
        <w:t>had relocated over two years</w:t>
      </w:r>
      <w:r w:rsidR="00FB25E1">
        <w:t>.</w:t>
      </w:r>
      <w:r w:rsidR="00046565">
        <w:fldChar w:fldCharType="begin" w:fldLock="1"/>
      </w:r>
      <w:r w:rsidR="00AE6CD2">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"&lt;sup&gt;10&lt;/sup&gt;", "plainTextFormattedCitation" : "10", "previouslyFormattedCitation" : "&lt;sup&gt;10&lt;/sup&gt;" }, "properties" : { "noteIndex" : 0 }, "schema" : "https://github.com/citation-style-language/schema/raw/master/csl-citation.json" }</w:instrText>
      </w:r>
      <w:r w:rsidR="00046565">
        <w:fldChar w:fldCharType="separate"/>
      </w:r>
      <w:r w:rsidR="00380776" w:rsidRPr="00380776">
        <w:rPr>
          <w:noProof/>
          <w:vertAlign w:val="superscript"/>
        </w:rPr>
        <w:t>10</w:t>
      </w:r>
      <w:r w:rsidR="00046565">
        <w:fldChar w:fldCharType="end"/>
      </w:r>
      <w:r w:rsidR="00FB25E1">
        <w:t xml:space="preserve"> Thirdly,</w:t>
      </w:r>
      <w:r w:rsidR="00006508">
        <w:t xml:space="preserve"> to represent a displacement c</w:t>
      </w:r>
      <w:r w:rsidR="002C409D">
        <w:t xml:space="preserve">amp with intermediate mobility, we estimate a migration 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2C409D">
        <w:t xml:space="preserve"> in the Bentiu </w:t>
      </w:r>
      <w:proofErr w:type="spellStart"/>
      <w:r w:rsidR="001E6C5D">
        <w:t>PoC</w:t>
      </w:r>
      <w:proofErr w:type="spellEnd"/>
      <w:r w:rsidR="001E6C5D">
        <w:t xml:space="preserve"> </w:t>
      </w:r>
      <w:r w:rsidR="002C409D">
        <w:t xml:space="preserve">Camp in South Sudan </w:t>
      </w:r>
      <w:r w:rsidR="00B62E25">
        <w:t>in the</w:t>
      </w:r>
      <w:r w:rsidR="002C409D">
        <w:t xml:space="preserve"> period from February to October 2016</w:t>
      </w:r>
      <w:r w:rsidR="00B62E25">
        <w:t>, during</w:t>
      </w:r>
      <w:r w:rsidR="002C409D">
        <w:t xml:space="preserve"> which IOM reports a rather stable population of 104,000 </w:t>
      </w:r>
      <w:r w:rsidR="002C409D">
        <w:lastRenderedPageBreak/>
        <w:t>people and approximately 2,000 entries/exits per month [</w:t>
      </w:r>
      <w:hyperlink r:id="rId12" w:history="1">
        <w:r w:rsidR="00046565" w:rsidRPr="00046565">
          <w:rPr>
            <w:rStyle w:val="Hyperlink"/>
          </w:rPr>
          <w:t>http://www.iomsouthsudan.org/tracking/</w:t>
        </w:r>
      </w:hyperlink>
      <w:r>
        <w:t>].</w:t>
      </w:r>
    </w:p>
    <w:p w14:paraId="3D099D47" w14:textId="77777777" w:rsidR="005C7B32" w:rsidRDefault="005C7B32" w:rsidP="005C7B32"/>
    <w:p w14:paraId="40241F5B" w14:textId="17988B76" w:rsidR="006B582E" w:rsidRPr="006B582E" w:rsidRDefault="006B582E" w:rsidP="005C7B32">
      <w:pPr>
        <w:rPr>
          <w:i/>
        </w:rPr>
      </w:pPr>
      <w:r>
        <w:rPr>
          <w:i/>
        </w:rPr>
        <w:t>Outcome Measurements</w:t>
      </w:r>
    </w:p>
    <w:p w14:paraId="34E38EF3" w14:textId="03238EC0" w:rsidR="005C7B32" w:rsidRDefault="007059D1" w:rsidP="005C7B32">
      <w:r>
        <w:t>We define the duration of herd immunity (DHI)</w:t>
      </w:r>
      <w:r w:rsidR="00541512">
        <w:t xml:space="preserve"> </w:t>
      </w:r>
      <w:r>
        <w:t>as the time following a vaccination campaign with an effective reproductive number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below one. </w:t>
      </w:r>
      <w:r w:rsidR="005C7B32">
        <w:t>We calculate</w:t>
      </w:r>
    </w:p>
    <w:p w14:paraId="18EFD82C" w14:textId="77777777" w:rsidR="005C7B32" w:rsidRDefault="005C7B32" w:rsidP="005C7B32"/>
    <w:p w14:paraId="4444C5EF" w14:textId="11911B72" w:rsidR="005C7B32" w:rsidRDefault="00C7026D" w:rsidP="005C7B32">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14:paraId="1D6A3346" w14:textId="77777777" w:rsidR="005C7B32" w:rsidRDefault="005C7B32" w:rsidP="005C7B32"/>
    <w:p w14:paraId="0E3DC8EB" w14:textId="77777777" w:rsidR="005C7B32" w:rsidRDefault="005C7B32" w:rsidP="005C7B32">
      <w:proofErr w:type="gramStart"/>
      <w:r>
        <w:t>where</w:t>
      </w:r>
      <w:proofErr w:type="gramEnd"/>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73519398" w14:textId="77777777" w:rsidR="005C7B32" w:rsidRDefault="005C7B32" w:rsidP="005C7B32"/>
    <w:p w14:paraId="1B981F37" w14:textId="77777777" w:rsidR="005C7B32" w:rsidRDefault="005C7B32" w:rsidP="005C7B32">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m:oMathPara>
    </w:p>
    <w:p w14:paraId="35F23129" w14:textId="77777777" w:rsidR="005C7B32" w:rsidRDefault="005C7B32" w:rsidP="005C7B32"/>
    <w:p w14:paraId="2754C3DE" w14:textId="0D98D412" w:rsidR="005C7B32" w:rsidRPr="002F2F2F" w:rsidRDefault="00D77E67" w:rsidP="005C7B32">
      <w:proofErr w:type="gramStart"/>
      <w:r>
        <w:t>and</w:t>
      </w:r>
      <w:proofErr w:type="gramEnd"/>
      <w:r w:rsidR="005C7B32">
        <w:t xml:space="preserve"> </w:t>
      </w:r>
      <m:oMath>
        <m:r>
          <w:rPr>
            <w:rFonts w:ascii="Cambria Math" w:hAnsi="Cambria Math"/>
          </w:rPr>
          <m:t>N</m:t>
        </m:r>
        <m:d>
          <m:dPr>
            <m:ctrlPr>
              <w:rPr>
                <w:rFonts w:ascii="Cambria Math" w:hAnsi="Cambria Math"/>
                <w:i/>
              </w:rPr>
            </m:ctrlPr>
          </m:dPr>
          <m:e>
            <m:r>
              <w:rPr>
                <w:rFonts w:ascii="Cambria Math" w:hAnsi="Cambria Math"/>
              </w:rPr>
              <m:t>t</m:t>
            </m:r>
          </m:e>
        </m:d>
      </m:oMath>
      <w:r w:rsidR="005C7B32">
        <w:t xml:space="preserve"> is the total population size at time </w:t>
      </w:r>
      <w:r w:rsidR="005C7B32">
        <w:rPr>
          <w:i/>
        </w:rPr>
        <w:t>t</w:t>
      </w:r>
      <w:r w:rsidR="002F2F2F">
        <w:rPr>
          <w:i/>
        </w:rPr>
        <w:t xml:space="preserve"> </w:t>
      </w:r>
      <w:r w:rsidR="002F2F2F">
        <w:t>and is constant unless otherwise noted.</w:t>
      </w:r>
      <w:r w:rsidR="0096229A">
        <w:t xml:space="preserve"> </w:t>
      </w:r>
      <w:r w:rsidR="0028276D">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rsidR="0028276D">
        <w:t xml:space="preserve"> from below, we define DHI as the time until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rsidR="0028276D">
        <w:t>.</w:t>
      </w:r>
    </w:p>
    <w:p w14:paraId="79EAEA8B" w14:textId="77777777" w:rsidR="005C7B32" w:rsidRDefault="005C7B32" w:rsidP="005C7B32"/>
    <w:p w14:paraId="4434E0F7" w14:textId="0ACF0E19" w:rsidR="005C7B32" w:rsidRDefault="005C7B32" w:rsidP="005C7B32">
      <w:r>
        <w:t>We use</w:t>
      </w:r>
      <w:r w:rsidR="00D32E9A">
        <w:t xml:space="preserve"> our measurement 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to estimate the probability of the community sustaining an outbreak given the introduction of a single case. For this calculation, we assume a Poisson distribution of secondary infections and define an outbreak as at least 10 cases (see supplemental information for differ</w:t>
      </w:r>
      <w:r w:rsidR="00046565">
        <w:t>ent outbreak thresholds)</w:t>
      </w:r>
      <w:r>
        <w:t>.</w:t>
      </w:r>
      <w:r w:rsidR="00046565">
        <w:fldChar w:fldCharType="begin" w:fldLock="1"/>
      </w:r>
      <w:r w:rsidR="00AE6CD2">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"&lt;sup&gt;22&lt;/sup&gt;", "plainTextFormattedCitation" : "22", "previouslyFormattedCitation" : "&lt;sup&gt;22&lt;/sup&gt;" }, "properties" : { "noteIndex" : 0 }, "schema" : "https://github.com/citation-style-language/schema/raw/master/csl-citation.json" }</w:instrText>
      </w:r>
      <w:r w:rsidR="00046565">
        <w:fldChar w:fldCharType="separate"/>
      </w:r>
      <w:r w:rsidR="00380776" w:rsidRPr="00380776">
        <w:rPr>
          <w:noProof/>
          <w:vertAlign w:val="superscript"/>
        </w:rPr>
        <w:t>22</w:t>
      </w:r>
      <w:r w:rsidR="00046565">
        <w:fldChar w:fldCharType="end"/>
      </w:r>
      <w:r w:rsidR="00C8088D">
        <w:t xml:space="preserve"> T</w:t>
      </w:r>
      <w:r w:rsidR="00C346FB">
        <w:t xml:space="preserve">he closed-form solution for </w:t>
      </w:r>
      <w:r w:rsidR="00C8088D">
        <w:t xml:space="preserve">the probability of a small </w:t>
      </w:r>
      <w:r w:rsidR="00C346FB">
        <w:t xml:space="preserve">outbreak of </w:t>
      </w:r>
      <w:r w:rsidR="00D77E67">
        <w:t>size</w:t>
      </w:r>
      <w:r w:rsidR="00C346FB">
        <w:t xml:space="preserve"> </w:t>
      </w:r>
      <m:oMath>
        <m:r>
          <w:rPr>
            <w:rFonts w:ascii="Cambria Math" w:hAnsi="Cambria Math"/>
          </w:rPr>
          <m:t>y</m:t>
        </m:r>
      </m:oMath>
      <w:r w:rsidR="00D77E67">
        <w:t xml:space="preserve"> (</w:t>
      </w:r>
      <m:oMath>
        <m:r>
          <w:rPr>
            <w:rFonts w:ascii="Cambria Math" w:hAnsi="Cambria Math"/>
          </w:rPr>
          <m:t>y=</m:t>
        </m:r>
        <w:proofErr w:type="gramStart"/>
        <m:r>
          <w:rPr>
            <w:rFonts w:ascii="Cambria Math" w:hAnsi="Cambria Math"/>
          </w:rPr>
          <m:t>1,2,3,…</m:t>
        </m:r>
      </m:oMath>
      <w:r w:rsidR="00D77E67">
        <w:t>)</w:t>
      </w:r>
      <w:proofErr w:type="gramEnd"/>
      <w:r w:rsidR="00D77E67">
        <w:t xml:space="preserve"> initiated by a single infectious case </w:t>
      </w:r>
      <w:r w:rsidR="00C346FB">
        <w:t>is</w:t>
      </w:r>
      <w:r w:rsidR="00D77E67">
        <w:t xml:space="preserve"> defined by the </w:t>
      </w:r>
      <w:proofErr w:type="spellStart"/>
      <w:r w:rsidR="00D77E67">
        <w:t>Borell</w:t>
      </w:r>
      <w:proofErr w:type="spellEnd"/>
      <w:r w:rsidR="00D77E67">
        <w:t>-Tanner distribution</w:t>
      </w:r>
      <w:r w:rsidR="00BE2545">
        <w:t>:</w:t>
      </w:r>
      <w:r w:rsidR="00046565">
        <w:fldChar w:fldCharType="begin" w:fldLock="1"/>
      </w:r>
      <w:r w:rsidR="00AE6CD2">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"id" : "ITEM-2", "itemData" : { "author" : [ { "dropping-particle" : "", "family" : "Mott", "given" : "JL", "non-dropping-particle" : "", "parse-names" : false, "suffix" : "" } ], "container-title" : "Journal of the Royal Statistical Society. Series B (Methodological)", "id" : "ITEM-2", "issue" : "1", "issued" : { "date-parts" : [ [ "1963" ] ] }, "page" : "137-139", "title" : "The Distribution of the Time-to-Emptiness of a Discrete Dam Under Steady Demand", "type" : "article-journal", "volume" : "25" }, "uris" : [ "http://www.mendeley.com/documents/?uuid=3c76db9a-1d65-446e-a028-1ff91a982754" ] } ], "mendeley" : { "formattedCitation" : "&lt;sup&gt;22,23&lt;/sup&gt;", "plainTextFormattedCitation" : "22,23", "previouslyFormattedCitation" : "&lt;sup&gt;22,23&lt;/sup&gt;" }, "properties" : { "noteIndex" : 0 }, "schema" : "https://github.com/citation-style-language/schema/raw/master/csl-citation.json" }</w:instrText>
      </w:r>
      <w:r w:rsidR="00046565">
        <w:fldChar w:fldCharType="separate"/>
      </w:r>
      <w:r w:rsidR="00380776" w:rsidRPr="00380776">
        <w:rPr>
          <w:noProof/>
          <w:vertAlign w:val="superscript"/>
        </w:rPr>
        <w:t>22,23</w:t>
      </w:r>
      <w:r w:rsidR="00046565">
        <w:fldChar w:fldCharType="end"/>
      </w:r>
    </w:p>
    <w:p w14:paraId="3C8B3559" w14:textId="77777777" w:rsidR="00C346FB" w:rsidRDefault="00C346FB" w:rsidP="005C7B32"/>
    <w:p w14:paraId="64A3833B" w14:textId="27D6598F" w:rsidR="00D77E67" w:rsidRDefault="00D77E67" w:rsidP="005C7B32">
      <m:oMathPara>
        <m:oMath>
          <m:r>
            <w:rPr>
              <w:rFonts w:ascii="Cambria Math" w:hAnsi="Cambria Math"/>
            </w:rPr>
            <m:t>Pr</m:t>
          </m:r>
          <m:d>
            <m:dPr>
              <m:ctrlPr>
                <w:rPr>
                  <w:rFonts w:ascii="Cambria Math" w:hAnsi="Cambria Math"/>
                  <w:i/>
                </w:rPr>
              </m:ctrlPr>
            </m:dPr>
            <m:e>
              <m:r>
                <w:rPr>
                  <w:rFonts w:ascii="Cambria Math" w:hAnsi="Cambria Math"/>
                </w:rPr>
                <m:t>Y=y</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y-1</m:t>
                  </m:r>
                </m:e>
              </m:d>
              <m:r>
                <w:rPr>
                  <w:rFonts w:ascii="Cambria Math" w:hAnsi="Cambria Math"/>
                </w:rPr>
                <m:t>!</m:t>
              </m:r>
            </m:den>
          </m:f>
          <m:sSup>
            <m:sSupPr>
              <m:ctrlPr>
                <w:rPr>
                  <w:rFonts w:ascii="Cambria Math" w:hAnsi="Cambria Math"/>
                  <w:i/>
                </w:rPr>
              </m:ctrlPr>
            </m:sSupPr>
            <m:e>
              <m:r>
                <w:rPr>
                  <w:rFonts w:ascii="Cambria Math" w:hAnsi="Cambria Math"/>
                </w:rPr>
                <m:t>y</m:t>
              </m:r>
            </m:e>
            <m:sup>
              <m:r>
                <w:rPr>
                  <w:rFonts w:ascii="Cambria Math" w:hAnsi="Cambria Math"/>
                </w:rPr>
                <m:t>y-2</m:t>
              </m:r>
            </m:sup>
          </m:sSup>
          <m:sSup>
            <m:sSupPr>
              <m:ctrlPr>
                <w:rPr>
                  <w:rFonts w:ascii="Cambria Math" w:hAnsi="Cambria Math"/>
                  <w:i/>
                </w:rPr>
              </m:ctrlPr>
            </m:sSupPr>
            <m:e>
              <m:r>
                <w:rPr>
                  <w:rFonts w:ascii="Cambria Math" w:hAnsi="Cambria Math"/>
                </w:rPr>
                <m:t>R</m:t>
              </m:r>
            </m:e>
            <m:sup>
              <m:r>
                <w:rPr>
                  <w:rFonts w:ascii="Cambria Math" w:hAnsi="Cambria Math"/>
                </w:rPr>
                <m:t>-yR</m:t>
              </m:r>
            </m:sup>
          </m:sSup>
          <m:r>
            <w:rPr>
              <w:rFonts w:ascii="Cambria Math" w:hAnsi="Cambria Math"/>
            </w:rPr>
            <m:t>.</m:t>
          </m:r>
        </m:oMath>
      </m:oMathPara>
    </w:p>
    <w:p w14:paraId="3BA730FB" w14:textId="77777777" w:rsidR="005C7B32" w:rsidRDefault="005C7B32" w:rsidP="005C7B32"/>
    <w:p w14:paraId="44C1F6F9" w14:textId="1E1CE1F4" w:rsidR="006B582E" w:rsidRPr="006B582E" w:rsidRDefault="006B582E" w:rsidP="005C7B32">
      <w:pPr>
        <w:rPr>
          <w:i/>
        </w:rPr>
      </w:pPr>
      <w:r>
        <w:rPr>
          <w:i/>
        </w:rPr>
        <w:t>Re-Vaccination Strategies</w:t>
      </w:r>
    </w:p>
    <w:p w14:paraId="105130E1" w14:textId="6045BF83" w:rsidR="005C7B32" w:rsidRDefault="00D32E9A" w:rsidP="005C7B32">
      <w:r>
        <w:t xml:space="preserve">We consider </w:t>
      </w:r>
      <w:r w:rsidR="00B62E25">
        <w:t xml:space="preserve">three </w:t>
      </w:r>
      <w:r>
        <w:t>vaccination strategies</w:t>
      </w:r>
      <w:r w:rsidR="00B62E25">
        <w:t>:</w:t>
      </w:r>
      <w:r>
        <w:t xml:space="preserve"> </w:t>
      </w:r>
      <w:r w:rsidR="00B62E25">
        <w:t>(1)</w:t>
      </w:r>
      <w:r>
        <w:t xml:space="preserve"> </w:t>
      </w:r>
      <w:r w:rsidR="00B62E25">
        <w:t>routine</w:t>
      </w:r>
      <w:r>
        <w:t xml:space="preserve"> </w:t>
      </w:r>
      <w:r w:rsidR="00B62E25">
        <w:t>vaccination</w:t>
      </w:r>
      <w:r>
        <w:t>;</w:t>
      </w:r>
      <w:r w:rsidR="00B62E25">
        <w:t xml:space="preserve"> (2) periodic mass vaccination</w:t>
      </w:r>
      <w:r>
        <w:t>; and</w:t>
      </w:r>
      <w:r w:rsidR="00B62E25">
        <w:t xml:space="preserve"> (3)</w:t>
      </w:r>
      <w:r>
        <w:t xml:space="preserve"> </w:t>
      </w:r>
      <w:r w:rsidR="00B62E25">
        <w:t>mass vaccination followed by routine vaccination</w:t>
      </w:r>
      <w:r w:rsidR="00BE2545">
        <w:t xml:space="preserve">, i.e., “Mass then </w:t>
      </w:r>
      <w:proofErr w:type="gramStart"/>
      <w:r w:rsidR="00BE2545">
        <w:t>Maintain</w:t>
      </w:r>
      <w:proofErr w:type="gramEnd"/>
      <w:r w:rsidR="00BE2545">
        <w:t>.”</w:t>
      </w:r>
      <w:r>
        <w:t xml:space="preserve"> Routine vaccination </w:t>
      </w:r>
      <w:r w:rsidR="00C8088D">
        <w:t>includes the daily allocation of a certain number of vaccine courses to</w:t>
      </w:r>
      <w:r>
        <w:t xml:space="preserve"> individuals who happen to be susceptible at the time</w:t>
      </w:r>
      <w:r w:rsidR="00B62E25">
        <w:t xml:space="preserve"> (such as those entering the population through immigration or birth)</w:t>
      </w:r>
      <w:r>
        <w:t xml:space="preserve">. </w:t>
      </w:r>
      <w:r w:rsidR="00E86EA7">
        <w:t>Currently, a complete vaccine course of OCVs includes two doses administered</w:t>
      </w:r>
      <w:r w:rsidR="00B62E25">
        <w:t xml:space="preserve"> approximately</w:t>
      </w:r>
      <w:r w:rsidR="00046565">
        <w:t xml:space="preserve"> two weeks apart</w:t>
      </w:r>
      <w:r w:rsidR="00BE2545">
        <w:t>.</w:t>
      </w:r>
      <w:r w:rsidR="00046565">
        <w:fldChar w:fldCharType="begin" w:fldLock="1"/>
      </w:r>
      <w:r w:rsidR="00AE6CD2">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"&lt;sup&gt;6&lt;/sup&gt;", "plainTextFormattedCitation" : "6", "previouslyFormattedCitation" : "&lt;sup&gt;6&lt;/sup&gt;" }, "properties" : { "noteIndex" : 0 }, "schema" : "https://github.com/citation-style-language/schema/raw/master/csl-citation.json" }</w:instrText>
      </w:r>
      <w:r w:rsidR="00046565">
        <w:fldChar w:fldCharType="separate"/>
      </w:r>
      <w:r w:rsidR="00380776" w:rsidRPr="00380776">
        <w:rPr>
          <w:noProof/>
          <w:vertAlign w:val="superscript"/>
        </w:rPr>
        <w:t>6</w:t>
      </w:r>
      <w:r w:rsidR="00046565">
        <w:fldChar w:fldCharType="end"/>
      </w:r>
      <w:r w:rsidR="00BE2545">
        <w:t xml:space="preserve"> However, b</w:t>
      </w:r>
      <w:r w:rsidR="00E86EA7">
        <w:t>ecause the</w:t>
      </w:r>
      <w:r w:rsidR="00BE2545">
        <w:t xml:space="preserve"> timescale of interest for this study is measured in years</w:t>
      </w:r>
      <w:r>
        <w:t xml:space="preserve">, not days, we assume </w:t>
      </w:r>
      <w:r w:rsidR="00A13B26">
        <w:t>mass vaccination</w:t>
      </w:r>
      <w:r>
        <w:t xml:space="preserve"> campaigns elapse </w:t>
      </w:r>
      <w:r w:rsidR="00BE2545">
        <w:t>instantaneously</w:t>
      </w:r>
      <w:r w:rsidR="00E86EA7">
        <w:t>. Furthermore, we focus on the number of vaccine courses rather than the number of actual vaccines per course</w:t>
      </w:r>
      <w:r w:rsidR="00DB4165">
        <w:t xml:space="preserve"> for generalizability across disease systems.</w:t>
      </w:r>
    </w:p>
    <w:p w14:paraId="53D88260" w14:textId="77777777" w:rsidR="009D0774" w:rsidRDefault="009D0774" w:rsidP="005C7B32"/>
    <w:p w14:paraId="1206957E" w14:textId="7DE49DD6" w:rsidR="009D0774" w:rsidRDefault="009D0774" w:rsidP="005C7B32">
      <w:pPr>
        <w:rPr>
          <w:i/>
        </w:rPr>
      </w:pPr>
      <w:proofErr w:type="spellStart"/>
      <w:r>
        <w:rPr>
          <w:i/>
        </w:rPr>
        <w:t>Bentiu</w:t>
      </w:r>
      <w:proofErr w:type="spellEnd"/>
      <w:r>
        <w:rPr>
          <w:i/>
        </w:rPr>
        <w:t xml:space="preserve"> </w:t>
      </w:r>
      <w:proofErr w:type="spellStart"/>
      <w:r>
        <w:rPr>
          <w:i/>
        </w:rPr>
        <w:t>PoC</w:t>
      </w:r>
      <w:proofErr w:type="spellEnd"/>
      <w:r>
        <w:rPr>
          <w:i/>
        </w:rPr>
        <w:t xml:space="preserve"> Case Study</w:t>
      </w:r>
    </w:p>
    <w:p w14:paraId="76A2A3DB" w14:textId="07F3E06F" w:rsidR="0083178D" w:rsidRDefault="00505B2E" w:rsidP="00505B2E">
      <w:r>
        <w:t>To demonstrate the value of estimating waning herd immunity, we focus on the recent experiences with vaccination</w:t>
      </w:r>
      <w:r w:rsidR="00E601F2">
        <w:t>, population changes,</w:t>
      </w:r>
      <w:r>
        <w:t xml:space="preserve"> and an outbreak in the </w:t>
      </w:r>
      <w:proofErr w:type="spellStart"/>
      <w:r>
        <w:t>Bentiu</w:t>
      </w:r>
      <w:proofErr w:type="spellEnd"/>
      <w:r>
        <w:t xml:space="preserve"> </w:t>
      </w:r>
      <w:proofErr w:type="spellStart"/>
      <w:r>
        <w:t>PoC</w:t>
      </w:r>
      <w:proofErr w:type="spellEnd"/>
      <w:r>
        <w:t xml:space="preserve"> Camp. T</w:t>
      </w:r>
      <w:r w:rsidR="006168CB">
        <w:t xml:space="preserve">o approximate the Camp population size, we isolated </w:t>
      </w:r>
      <w:r>
        <w:t>four</w:t>
      </w:r>
      <w:r w:rsidR="006168CB">
        <w:t xml:space="preserve"> key periods of population change:</w:t>
      </w:r>
      <w:r w:rsidR="00E601F2">
        <w:t xml:space="preserve"> (1)</w:t>
      </w:r>
      <w:r w:rsidR="006168CB">
        <w:t xml:space="preserve"> nearly linear growth</w:t>
      </w:r>
      <w:r>
        <w:t xml:space="preserve"> </w:t>
      </w:r>
      <w:r w:rsidR="00E601F2">
        <w:t>from February 2014 to June 2014; (2)</w:t>
      </w:r>
      <w:r>
        <w:t xml:space="preserve"> nearly exponential </w:t>
      </w:r>
      <w:r>
        <w:lastRenderedPageBreak/>
        <w:t>growth from June 2014</w:t>
      </w:r>
      <w:r w:rsidR="006168CB">
        <w:t xml:space="preserve"> until a peak in December 2015;</w:t>
      </w:r>
      <w:r w:rsidR="00E601F2">
        <w:t xml:space="preserve"> (3)</w:t>
      </w:r>
      <w:r w:rsidR="006168CB">
        <w:t xml:space="preserve"> nearly </w:t>
      </w:r>
      <w:r>
        <w:t>exponential</w:t>
      </w:r>
      <w:r w:rsidR="006168CB">
        <w:t xml:space="preserve"> population decay until stabilization in </w:t>
      </w:r>
      <w:r w:rsidR="007C5881">
        <w:t>May 2016</w:t>
      </w:r>
      <w:r w:rsidR="006168CB">
        <w:t xml:space="preserve">; and </w:t>
      </w:r>
      <w:r w:rsidR="00E601F2">
        <w:t xml:space="preserve">(4) </w:t>
      </w:r>
      <w:r w:rsidR="006168CB">
        <w:t>nearly constant population size until the end of t</w:t>
      </w:r>
      <w:r w:rsidR="001E049A">
        <w:t>he case study in December 2016 (</w:t>
      </w:r>
      <w:r w:rsidR="00D60633">
        <w:t>Fig S1</w:t>
      </w:r>
      <w:r w:rsidR="004E0107">
        <w:t>).</w:t>
      </w:r>
      <w:r>
        <w:t xml:space="preserve"> </w:t>
      </w:r>
      <w:r w:rsidR="00176FEC">
        <w:t>O</w:t>
      </w:r>
      <w:r w:rsidR="0083178D">
        <w:t>f the three million persons targeted for health resources</w:t>
      </w:r>
      <w:r w:rsidR="00176FEC">
        <w:t xml:space="preserve"> in </w:t>
      </w:r>
      <w:r>
        <w:t xml:space="preserve">broader </w:t>
      </w:r>
      <w:r w:rsidR="00176FEC">
        <w:t xml:space="preserve">South Sudan, including </w:t>
      </w:r>
      <w:r w:rsidR="00E601F2">
        <w:t xml:space="preserve">the </w:t>
      </w:r>
      <w:proofErr w:type="spellStart"/>
      <w:r w:rsidR="00176FEC">
        <w:t>Bentiu</w:t>
      </w:r>
      <w:proofErr w:type="spellEnd"/>
      <w:r w:rsidR="00176FEC">
        <w:t xml:space="preserve"> </w:t>
      </w:r>
      <w:proofErr w:type="spellStart"/>
      <w:r w:rsidR="00176FEC">
        <w:t>PoC</w:t>
      </w:r>
      <w:proofErr w:type="spellEnd"/>
      <w:r w:rsidR="00E601F2">
        <w:t xml:space="preserve"> Camp</w:t>
      </w:r>
      <w:r w:rsidR="00176FEC">
        <w:t xml:space="preserve">, UNFPA expects 335 deliveries per day, which equates to birth rate of approximately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rsidR="00176FEC">
        <w:t>.</w:t>
      </w:r>
      <w:r w:rsidR="00E601F2">
        <w:fldChar w:fldCharType="begin" w:fldLock="1"/>
      </w:r>
      <w:r w:rsidR="00AE6CD2">
        <w:instrText>ADDIN CSL_CITATION { "citationItems" : [ { "id" : "ITEM-1", "itemData" : { "author" : [ { "dropping-particle" : "", "family" : "UNFPA", "given" : "", "non-dropping-particle" : "", "parse-names" : false, "suffix" : "" } ], "id" : "ITEM-1", "issue" : "August", "issued" : { "date-parts" : [ [ "2016" ] ] }, "title" : "Monthly Humanitairan Update - South Sudan Conflict", "type" : "report" }, "uris" : [ "http://www.mendeley.com/documents/?uuid=604f1630-7dbd-4e1a-8ad9-a7b0f23cca76" ] } ], "mendeley" : { "formattedCitation" : "&lt;sup&gt;24&lt;/sup&gt;", "plainTextFormattedCitation" : "24", "previouslyFormattedCitation" : "&lt;sup&gt;24&lt;/sup&gt;" }, "properties" : { "noteIndex" : 0 }, "schema" : "https://github.com/citation-style-language/schema/raw/master/csl-citation.json" }</w:instrText>
      </w:r>
      <w:r w:rsidR="00E601F2">
        <w:fldChar w:fldCharType="separate"/>
      </w:r>
      <w:r w:rsidR="00380776" w:rsidRPr="00380776">
        <w:rPr>
          <w:noProof/>
          <w:vertAlign w:val="superscript"/>
        </w:rPr>
        <w:t>24</w:t>
      </w:r>
      <w:r w:rsidR="00E601F2">
        <w:fldChar w:fldCharType="end"/>
      </w:r>
      <w:r w:rsidR="00176FEC">
        <w:t xml:space="preserve"> We assumed this to be our demographic turnover rate as a conservatively high estimate</w:t>
      </w:r>
      <w:r w:rsidR="00FB1466">
        <w:t>,</w:t>
      </w:r>
      <w:r w:rsidR="00176FEC">
        <w:t xml:space="preserve"> which we show to still be slow relative to other drivers</w:t>
      </w:r>
      <w:r w:rsidR="00E601F2">
        <w:t xml:space="preserve"> of waning herd immunity</w:t>
      </w:r>
      <w:r w:rsidR="00176FEC">
        <w:t>.</w:t>
      </w:r>
      <w:r w:rsidR="00FB1466">
        <w:t xml:space="preserve"> </w:t>
      </w:r>
    </w:p>
    <w:p w14:paraId="7DB1C4DC" w14:textId="5C62ED22" w:rsidR="00CF2EF3" w:rsidRDefault="00FB1466" w:rsidP="00FB1466">
      <w:r>
        <w:br/>
        <w:t>We estimated the susceptibility profile over time (</w:t>
      </w:r>
      <m:oMath>
        <m:r>
          <w:rPr>
            <w:rFonts w:ascii="Cambria Math" w:hAnsi="Cambria Math"/>
          </w:rPr>
          <m:t>X</m:t>
        </m:r>
        <m:d>
          <m:dPr>
            <m:ctrlPr>
              <w:rPr>
                <w:rFonts w:ascii="Cambria Math" w:hAnsi="Cambria Math"/>
                <w:i/>
              </w:rPr>
            </m:ctrlPr>
          </m:dPr>
          <m:e>
            <m:r>
              <w:rPr>
                <w:rFonts w:ascii="Cambria Math" w:hAnsi="Cambria Math"/>
              </w:rPr>
              <m:t>t</m:t>
            </m:r>
          </m:e>
        </m:d>
      </m:oMath>
      <w:r>
        <w:t xml:space="preserve">) in six scenarios (Table 1). In the first scenario, we used empirical measures of all four key </w:t>
      </w:r>
      <w:r w:rsidR="00E601F2">
        <w:t>drivers of waning herd immunity,</w:t>
      </w:r>
      <w:r>
        <w:t xml:space="preserve"> s</w:t>
      </w:r>
      <w:r w:rsidR="00E601F2">
        <w:t>pecifically:</w:t>
      </w:r>
      <w:r>
        <w:t xml:space="preserve"> an empirical dis</w:t>
      </w:r>
      <w:r w:rsidR="00E601F2">
        <w:t xml:space="preserve">tribution of </w:t>
      </w:r>
      <m:oMath>
        <m:r>
          <w:rPr>
            <w:rFonts w:ascii="Cambria Math" w:hAnsi="Cambria Math"/>
          </w:rPr>
          <m:t>VE</m:t>
        </m:r>
        <m:d>
          <m:dPr>
            <m:ctrlPr>
              <w:rPr>
                <w:rFonts w:ascii="Cambria Math" w:hAnsi="Cambria Math"/>
                <w:i/>
              </w:rPr>
            </m:ctrlPr>
          </m:dPr>
          <m:e>
            <m:r>
              <w:rPr>
                <w:rFonts w:ascii="Cambria Math" w:hAnsi="Cambria Math"/>
              </w:rPr>
              <m:t>t</m:t>
            </m:r>
          </m:e>
        </m:d>
      </m:oMath>
      <w:r w:rsidR="00E601F2">
        <w:t xml:space="preserve"> for Shanchol;</w:t>
      </w:r>
      <w:r>
        <w:t xml:space="preserve"> </w:t>
      </w:r>
      <w:r w:rsidR="00E601F2">
        <w:t>a</w:t>
      </w:r>
      <w:r>
        <w:t xml:space="preserve"> dynamic populat</w:t>
      </w:r>
      <w:r w:rsidR="00E601F2">
        <w:t>ion size (</w:t>
      </w:r>
      <m:oMath>
        <m:r>
          <w:rPr>
            <w:rFonts w:ascii="Cambria Math" w:hAnsi="Cambria Math"/>
          </w:rPr>
          <m:t>N</m:t>
        </m:r>
        <m:d>
          <m:dPr>
            <m:ctrlPr>
              <w:rPr>
                <w:rFonts w:ascii="Cambria Math" w:hAnsi="Cambria Math"/>
                <w:i/>
              </w:rPr>
            </m:ctrlPr>
          </m:dPr>
          <m:e>
            <m:r>
              <w:rPr>
                <w:rFonts w:ascii="Cambria Math" w:hAnsi="Cambria Math"/>
              </w:rPr>
              <m:t>t</m:t>
            </m:r>
          </m:e>
        </m:d>
      </m:oMath>
      <w:r w:rsidR="00E601F2">
        <w:t>) described above;</w:t>
      </w:r>
      <w:r>
        <w:t xml:space="preserve"> routine migration obs</w:t>
      </w:r>
      <w:r w:rsidR="00E601F2">
        <w:t>erved through entries and exits;</w:t>
      </w:r>
      <w:r>
        <w:t xml:space="preserve"> and the conservatively high birth/death rate of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t xml:space="preserve">. We compare this “observed” scenario with counterfactual scenarios </w:t>
      </w:r>
      <w:r w:rsidR="00E601F2">
        <w:t>that</w:t>
      </w:r>
      <w:r>
        <w:t xml:space="preserve"> eliminate at least one of these drivers and will therefore cause herd immunity to wane more slowly. We constructed a composite counterfactual “best case” scenario in which: </w:t>
      </w:r>
      <m:oMath>
        <m:r>
          <w:rPr>
            <w:rFonts w:ascii="Cambria Math" w:hAnsi="Cambria Math"/>
          </w:rPr>
          <m:t>VE</m:t>
        </m:r>
      </m:oMath>
      <w:r w:rsidR="00E601F2">
        <w:t xml:space="preserve"> </w:t>
      </w:r>
      <w:r>
        <w:t>was held constant at its maximum value (</w:t>
      </w:r>
      <m:oMath>
        <m:r>
          <w:rPr>
            <w:rFonts w:ascii="Cambria Math" w:hAnsi="Cambria Math"/>
          </w:rPr>
          <m:t>VE</m:t>
        </m:r>
      </m:oMath>
      <w:r>
        <w:t xml:space="preserve"> = 0.583) for all time since vaccination with Shanchol; the population size was held constant at approximately the level</w:t>
      </w:r>
      <w:r w:rsidR="00E601F2">
        <w:t xml:space="preserve"> observed during the outbreak (</w:t>
      </w:r>
      <m:oMath>
        <m:r>
          <w:rPr>
            <w:rFonts w:ascii="Cambria Math" w:hAnsi="Cambria Math"/>
          </w:rPr>
          <m:t>N</m:t>
        </m:r>
      </m:oMath>
      <w:r>
        <w:t xml:space="preserve"> = 100,000); routine m</w:t>
      </w:r>
      <w:r w:rsidR="007C5881">
        <w:t>igration rates were set to zero;</w:t>
      </w:r>
      <w:r>
        <w:t xml:space="preserve"> and birth/death rates set to zero. To isolate the impact of each driver</w:t>
      </w:r>
      <w:r w:rsidR="00CF2EF3">
        <w:t xml:space="preserve"> of waning herd immunity, we simulated </w:t>
      </w:r>
      <w:proofErr w:type="spellStart"/>
      <w:r w:rsidR="00CF2EF3">
        <w:t>univariate</w:t>
      </w:r>
      <w:proofErr w:type="spellEnd"/>
      <w:r w:rsidR="00CF2EF3">
        <w:t xml:space="preserve"> counterfactual scenarios under which one driver is set to the “observed” condition while the other three were held at the counterfactual condition (Table 1).</w:t>
      </w:r>
    </w:p>
    <w:p w14:paraId="238E0059" w14:textId="77777777" w:rsidR="00FB1466" w:rsidRDefault="00FB1466" w:rsidP="00FB1466"/>
    <w:p w14:paraId="57A7BED4" w14:textId="5123B750" w:rsidR="00F539C6" w:rsidRDefault="00FB1466">
      <w:r>
        <w:t>Next, we create a measure of attributable percent to assess the relative strength of each driver of waning herd immunity in this case study. We c</w:t>
      </w:r>
      <w:r w:rsidR="009D0774">
        <w:t xml:space="preserve">alculate </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oMath>
      <w:r w:rsidR="007C5881">
        <w:t xml:space="preserve"> </w:t>
      </w:r>
      <w:r w:rsidR="009D0774">
        <w:t>on Oct 16, 2016 in</w:t>
      </w:r>
      <w:r w:rsidR="00286A28">
        <w:t xml:space="preserve"> each </w:t>
      </w:r>
      <w:proofErr w:type="spellStart"/>
      <w:r w:rsidR="00286A28">
        <w:t>uni</w:t>
      </w:r>
      <w:r w:rsidR="007C5881">
        <w:t>variate</w:t>
      </w:r>
      <w:proofErr w:type="spellEnd"/>
      <w:r w:rsidR="007C5881">
        <w:t xml:space="preserve"> counterfactual scenario </w:t>
      </w:r>
      <m:oMath>
        <m:r>
          <w:rPr>
            <w:rFonts w:ascii="Cambria Math" w:hAnsi="Cambria Math"/>
          </w:rPr>
          <m:t>i</m:t>
        </m:r>
      </m:oMath>
      <w:r w:rsidR="00286A28">
        <w:t xml:space="preserve"> and </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composite</m:t>
            </m:r>
          </m:sub>
        </m:sSub>
      </m:oMath>
      <w:r w:rsidR="00286A28">
        <w:t xml:space="preserve"> for the composite </w:t>
      </w:r>
      <w:r w:rsidR="009D0774">
        <w:t>counter</w:t>
      </w:r>
      <w:r w:rsidR="00CF2EF3">
        <w:t xml:space="preserve">factual </w:t>
      </w:r>
      <w:r w:rsidR="0047120A">
        <w:t>scenario</w:t>
      </w:r>
      <w:r w:rsidR="009D0774">
        <w:t>.</w:t>
      </w:r>
      <w:r w:rsidR="00286A28">
        <w:t xml:space="preserve"> </w:t>
      </w:r>
      <w:r w:rsidR="009D0774">
        <w:t xml:space="preserve">For each </w:t>
      </w:r>
      <w:proofErr w:type="spellStart"/>
      <w:r w:rsidR="009D0774">
        <w:t>univariate</w:t>
      </w:r>
      <w:proofErr w:type="spellEnd"/>
      <w:r w:rsidR="009D0774">
        <w:t xml:space="preserve"> scenario</w:t>
      </w:r>
      <w:r w:rsidR="00286A28">
        <w:t xml:space="preserve"> </w:t>
      </w:r>
      <m:oMath>
        <m:r>
          <w:rPr>
            <w:rFonts w:ascii="Cambria Math" w:hAnsi="Cambria Math"/>
          </w:rPr>
          <m:t>i</m:t>
        </m:r>
      </m:oMath>
      <w:r w:rsidR="009D0774">
        <w:t xml:space="preserve">, </w:t>
      </w:r>
      <w:r w:rsidR="00286A28">
        <w:t xml:space="preserve">we </w:t>
      </w:r>
      <w:r w:rsidR="009D0774">
        <w:t>calculate the difference</w:t>
      </w:r>
      <w:r w:rsidR="006168CB">
        <w:t xml:space="preserve"> </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composite</m:t>
            </m:r>
          </m:sub>
        </m:sSub>
      </m:oMath>
      <w:r w:rsidR="00286A28">
        <w:t>. Finally, we c</w:t>
      </w:r>
      <w:r w:rsidR="006168CB">
        <w:t>alculate the percent of waning herd immunity attributable to each driver</w:t>
      </w:r>
      <w:r w:rsidR="007C5881">
        <w:t xml:space="preserve"> </w:t>
      </w:r>
      <m:oMath>
        <m:r>
          <w:rPr>
            <w:rFonts w:ascii="Cambria Math" w:hAnsi="Cambria Math"/>
          </w:rPr>
          <m:t>AR%=100*</m:t>
        </m:r>
        <m:f>
          <m:fPr>
            <m:type m:val="lin"/>
            <m:ctrlPr>
              <w:rPr>
                <w:rFonts w:ascii="Cambria Math" w:hAnsi="Cambria Math"/>
                <w:i/>
              </w:rPr>
            </m:ctrlPr>
          </m:fPr>
          <m:num>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e>
            </m:nary>
          </m:den>
        </m:f>
      </m:oMath>
      <w:r w:rsidR="007C5881">
        <w:t>.</w:t>
      </w:r>
    </w:p>
    <w:p w14:paraId="2623DBFA" w14:textId="77777777" w:rsidR="00BE2545" w:rsidRDefault="00BE2545">
      <w:pPr>
        <w:rPr>
          <w:b/>
        </w:rPr>
      </w:pPr>
      <w:r>
        <w:rPr>
          <w:b/>
        </w:rPr>
        <w:br w:type="page"/>
      </w:r>
    </w:p>
    <w:p w14:paraId="59509F89" w14:textId="7019BAE5" w:rsidR="00F539C6" w:rsidRPr="001850C4" w:rsidRDefault="00F539C6">
      <w:pPr>
        <w:rPr>
          <w:b/>
        </w:rPr>
      </w:pPr>
      <w:r w:rsidRPr="001850C4">
        <w:rPr>
          <w:b/>
        </w:rPr>
        <w:lastRenderedPageBreak/>
        <w:t>RESULTS</w:t>
      </w:r>
    </w:p>
    <w:p w14:paraId="2877BFB4" w14:textId="77777777" w:rsidR="00463D05" w:rsidRDefault="00463D05"/>
    <w:p w14:paraId="2625FAFD" w14:textId="4288367F" w:rsidR="006B582E" w:rsidRPr="006B582E" w:rsidRDefault="00C7026D">
      <w:pPr>
        <w:rPr>
          <w:i/>
        </w:rPr>
      </w:pPr>
      <w:r>
        <w:rPr>
          <w:i/>
        </w:rPr>
        <w:t>Duration of h</w:t>
      </w:r>
      <w:r w:rsidR="00BE2545">
        <w:rPr>
          <w:i/>
        </w:rPr>
        <w:t>erd p</w:t>
      </w:r>
      <w:r w:rsidR="006B582E">
        <w:rPr>
          <w:i/>
        </w:rPr>
        <w:t>rotection</w:t>
      </w:r>
      <w:r w:rsidR="00BE2545">
        <w:rPr>
          <w:i/>
        </w:rPr>
        <w:t xml:space="preserve"> depends on VE and migration</w:t>
      </w:r>
    </w:p>
    <w:p w14:paraId="27FD66C6" w14:textId="2CE51C4D" w:rsidR="00044C95" w:rsidRDefault="00611687">
      <w:r>
        <w:t>In a static population (i.e.,</w:t>
      </w:r>
      <w:r w:rsidR="00CF37BB">
        <w:t xml:space="preserve"> no births, deaths, or migration</w:t>
      </w:r>
      <w:r>
        <w:t>)</w:t>
      </w:r>
      <w:r w:rsidR="00CF37BB">
        <w:t xml:space="preserve">, </w:t>
      </w:r>
      <w:r w:rsidR="004F662A">
        <w:t xml:space="preserve">vaccination can provide </w:t>
      </w:r>
      <w:r w:rsidR="004F662A" w:rsidRPr="00FA4C65">
        <w:t>some</w:t>
      </w:r>
      <w:r w:rsidR="004F662A">
        <w:t xml:space="preserve"> herd protection as long as d</w:t>
      </w:r>
      <w:r w:rsidR="00CF37BB">
        <w:t>irect vaccine efficacy remains, which we estimate to be</w:t>
      </w:r>
      <w:r w:rsidR="0028276D">
        <w:t xml:space="preserve"> 4.2</w:t>
      </w:r>
      <w:r w:rsidR="00BB6260">
        <w:t xml:space="preserve"> years for the WC vaccine</w:t>
      </w:r>
      <w:r w:rsidR="0028276D">
        <w:t xml:space="preserve"> in our deterministic model framework</w:t>
      </w:r>
      <w:r w:rsidR="00BB6260">
        <w:t xml:space="preserve"> </w:t>
      </w:r>
      <w:r w:rsidR="00C345A8">
        <w:t>(</w:t>
      </w:r>
      <w:r w:rsidR="00D60633">
        <w:t>Fig 2</w:t>
      </w:r>
      <w:r>
        <w:t>, dotted line</w:t>
      </w:r>
      <w:r w:rsidR="00C032C9">
        <w:t>)</w:t>
      </w:r>
      <w:r w:rsidR="00CF37BB">
        <w:t>. The inclusion of migration can substan</w:t>
      </w:r>
      <w:r w:rsidR="00C032C9">
        <w:t xml:space="preserve">tially decrease </w:t>
      </w:r>
      <w:r w:rsidR="00586F75">
        <w:t>this duration</w:t>
      </w:r>
      <w:r w:rsidR="00C032C9">
        <w:t>. I</w:t>
      </w:r>
      <w:r w:rsidR="00CF37BB">
        <w:t>n a high-migration setting with an average duration</w:t>
      </w:r>
      <w:r w:rsidR="00C032C9">
        <w:t xml:space="preserve"> of residence of 2 years, the duration of any herd protection </w:t>
      </w:r>
      <w:r w:rsidR="00CF37BB">
        <w:t>decrease</w:t>
      </w:r>
      <w:r w:rsidR="00C032C9">
        <w:t>s</w:t>
      </w:r>
      <w:r w:rsidR="00CF37BB">
        <w:t xml:space="preserve"> </w:t>
      </w:r>
      <w:r w:rsidR="0028276D">
        <w:t>to 3.6</w:t>
      </w:r>
      <w:r w:rsidR="00BB6260">
        <w:t xml:space="preserve"> years</w:t>
      </w:r>
      <w:r w:rsidR="0096229A">
        <w:t xml:space="preserve"> following mass vaccination with the WC vaccine and </w:t>
      </w:r>
      <w:r w:rsidR="0028276D">
        <w:t>9.2</w:t>
      </w:r>
      <w:r w:rsidR="0096229A">
        <w:t xml:space="preserve"> years</w:t>
      </w:r>
      <w:r w:rsidR="00BB6260">
        <w:t xml:space="preserve"> </w:t>
      </w:r>
      <w:r w:rsidR="0028276D">
        <w:t>even for a perfect vaccine</w:t>
      </w:r>
      <w:r w:rsidR="00541512">
        <w:t xml:space="preserve"> (which retains VE=1 indefinitely)</w:t>
      </w:r>
      <w:r w:rsidR="0028276D">
        <w:t xml:space="preserve"> </w:t>
      </w:r>
      <w:r w:rsidR="00D60633">
        <w:t>(Fig 2</w:t>
      </w:r>
      <w:r w:rsidR="00BB6260">
        <w:t xml:space="preserve">, </w:t>
      </w:r>
      <w:r w:rsidR="00841525">
        <w:t>solid</w:t>
      </w:r>
      <w:r w:rsidR="0096229A">
        <w:t xml:space="preserve"> lines</w:t>
      </w:r>
      <w:r w:rsidR="00C032C9">
        <w:t>)</w:t>
      </w:r>
      <w:r w:rsidR="00CF37BB">
        <w:t xml:space="preserve">. </w:t>
      </w:r>
      <w:r w:rsidR="00575CD5">
        <w:t xml:space="preserve"> Between the three primary forces causing herd immunity to wane, namely waning direct effects, migration, and </w:t>
      </w:r>
      <w:r w:rsidR="00BE2545">
        <w:t xml:space="preserve">demographic turnover through births and </w:t>
      </w:r>
      <w:r w:rsidR="00575CD5">
        <w:t xml:space="preserve">deaths, we find that the first two are substantially more influential than the third. </w:t>
      </w:r>
      <w:r>
        <w:t>E</w:t>
      </w:r>
      <w:r w:rsidR="00CF37BB">
        <w:t xml:space="preserve">ven </w:t>
      </w:r>
      <w:r w:rsidR="006F7535">
        <w:t>pessimistic</w:t>
      </w:r>
      <w:r w:rsidR="00CF37BB">
        <w:t xml:space="preserve"> estimates of a life expectancy</w:t>
      </w:r>
      <w:r w:rsidR="00006508">
        <w:t xml:space="preserve"> of 40 years only result in a </w:t>
      </w:r>
      <w:r w:rsidR="00C032C9">
        <w:t>2</w:t>
      </w:r>
      <w:r w:rsidR="00CF37BB">
        <w:t xml:space="preserve">% </w:t>
      </w:r>
      <w:r w:rsidR="00C032C9">
        <w:t>decrease</w:t>
      </w:r>
      <w:r w:rsidR="00CF37BB">
        <w:t xml:space="preserve"> in the duration of herd protection</w:t>
      </w:r>
      <w:r w:rsidR="00BB6260">
        <w:t xml:space="preserve"> </w:t>
      </w:r>
      <w:r w:rsidR="006F7535">
        <w:t>as compared to</w:t>
      </w:r>
      <w:r w:rsidR="00006508">
        <w:t xml:space="preserve"> setting</w:t>
      </w:r>
      <w:r w:rsidR="006F7535">
        <w:t xml:space="preserve"> rates of birth and death to zero</w:t>
      </w:r>
      <w:r w:rsidR="0028276D">
        <w:t xml:space="preserve"> (</w:t>
      </w:r>
      <w:r w:rsidR="00D60633">
        <w:t>Fig S2</w:t>
      </w:r>
      <w:r w:rsidR="0028276D">
        <w:t>)</w:t>
      </w:r>
      <w:r w:rsidR="008B07D1">
        <w:t>.</w:t>
      </w:r>
      <w:r w:rsidR="00C7026D">
        <w:t xml:space="preserve"> Of interest to policy-makers is not just the duration of any herd protection, but specifically the DHI. </w:t>
      </w:r>
      <w:r w:rsidR="003640B7">
        <w:t>Fig S3</w:t>
      </w:r>
      <w:r w:rsidR="00C7026D">
        <w:t xml:space="preserve"> shows the strong positive dependence of DHI on high initial VC and low R</w:t>
      </w:r>
      <w:r w:rsidR="00C7026D">
        <w:softHyphen/>
      </w:r>
      <w:r w:rsidR="00C7026D">
        <w:rPr>
          <w:vertAlign w:val="subscript"/>
        </w:rPr>
        <w:t>0</w:t>
      </w:r>
      <w:r w:rsidR="00C7026D">
        <w:rPr>
          <w:vertAlign w:val="subscript"/>
        </w:rPr>
        <w:softHyphen/>
      </w:r>
      <w:r w:rsidR="00C7026D">
        <w:rPr>
          <w:vertAlign w:val="subscript"/>
        </w:rPr>
        <w:softHyphen/>
      </w:r>
      <w:r w:rsidR="00C7026D">
        <w:t>.</w:t>
      </w:r>
    </w:p>
    <w:p w14:paraId="540A596A" w14:textId="77777777" w:rsidR="00BB6260" w:rsidRDefault="00BB6260" w:rsidP="00CF37BB"/>
    <w:p w14:paraId="41490E58" w14:textId="7639F7B1" w:rsidR="006B582E" w:rsidRPr="00AC44CF" w:rsidRDefault="00936B69" w:rsidP="00CF37BB">
      <w:pPr>
        <w:rPr>
          <w:i/>
        </w:rPr>
      </w:pPr>
      <w:r>
        <w:rPr>
          <w:i/>
        </w:rPr>
        <w:t>Outbreak probability changes over time</w:t>
      </w:r>
      <w:r w:rsidR="00AC44CF">
        <w:rPr>
          <w:i/>
        </w:rPr>
        <w:t xml:space="preserve"> with </w:t>
      </w:r>
      <w:proofErr w:type="gramStart"/>
      <w:r w:rsidR="00AC44CF">
        <w:rPr>
          <w:i/>
        </w:rPr>
        <w:t>R</w:t>
      </w:r>
      <w:r w:rsidR="00AC44CF">
        <w:rPr>
          <w:i/>
          <w:vertAlign w:val="subscript"/>
        </w:rPr>
        <w:t>e</w:t>
      </w:r>
      <w:r w:rsidR="00AC44CF">
        <w:rPr>
          <w:i/>
        </w:rPr>
        <w:t>(</w:t>
      </w:r>
      <w:proofErr w:type="gramEnd"/>
      <w:r w:rsidR="00AC44CF">
        <w:rPr>
          <w:i/>
        </w:rPr>
        <w:t>t)</w:t>
      </w:r>
    </w:p>
    <w:p w14:paraId="2C1518C4" w14:textId="42C880C3" w:rsidR="00BB6260" w:rsidRDefault="00BB6260" w:rsidP="00CF37BB">
      <w:r>
        <w:t>Although</w:t>
      </w:r>
      <w:r w:rsidR="00D72DDD">
        <w:t xml:space="preserve"> deterministic models exhibit threshold-like behavior once</w:t>
      </w:r>
      <w:r>
        <w:t xml:space="preserve"> the reproductive number </w:t>
      </w:r>
      <w:r w:rsidR="00D72DDD">
        <w:t xml:space="preserve">exceeds one, an </w:t>
      </w:r>
      <w:r w:rsidR="00561BAD">
        <w:t xml:space="preserve">outbreak in reality </w:t>
      </w:r>
      <w:r>
        <w:t xml:space="preserve">is </w:t>
      </w:r>
      <w:r w:rsidR="00D72DDD">
        <w:t>possible below the</w:t>
      </w:r>
      <w:r>
        <w:t xml:space="preserve"> threshold and </w:t>
      </w:r>
      <w:r w:rsidR="00D72DDD">
        <w:t xml:space="preserve">is not </w:t>
      </w:r>
      <w:r>
        <w:t>guaranteed above the threshold.</w:t>
      </w:r>
      <w:r w:rsidR="00046565">
        <w:fldChar w:fldCharType="begin" w:fldLock="1"/>
      </w:r>
      <w:r w:rsidR="00AE6CD2">
        <w:instrText>ADDIN CSL_CITATION { "citationItems" : [ { "id" : "ITEM-1",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"ITEM-1", "issue" : "3", "issued" : { "date-parts" : [ [ "1971" ] ] }, "page" : "187-197", "title" : "Herd Immunity: Basic Concept and Relevance To Public Health Immunization Practices", "type" : "article-journal", "volume" : "94" }, "uris" : [ "http://www.mendeley.com/documents/?uuid=5009d451-914f-41ae-a22f-d0a38f33552a" ] } ], "mendeley" : { "formattedCitation" : "&lt;sup&gt;31&lt;/sup&gt;", "plainTextFormattedCitation" : "31", "previouslyFormattedCitation" : "&lt;sup&gt;31&lt;/sup&gt;" }, "properties" : { "noteIndex" : 0 }, "schema" : "https://github.com/citation-style-language/schema/raw/master/csl-citation.json" }</w:instrText>
      </w:r>
      <w:r w:rsidR="00046565">
        <w:fldChar w:fldCharType="separate"/>
      </w:r>
      <w:r w:rsidR="00380776" w:rsidRPr="00380776">
        <w:rPr>
          <w:noProof/>
          <w:vertAlign w:val="superscript"/>
        </w:rPr>
        <w:t>31</w:t>
      </w:r>
      <w:r w:rsidR="00046565">
        <w:fldChar w:fldCharType="end"/>
      </w:r>
      <w:r>
        <w:t xml:space="preserve"> </w:t>
      </w:r>
      <w:r w:rsidR="00DC6A61">
        <w:t xml:space="preserve">Holding vaccine coverage at 100%, </w:t>
      </w:r>
      <w:r w:rsidR="003640B7">
        <w:t xml:space="preserve">Fig 3 </w:t>
      </w:r>
      <w:r w:rsidR="00890B56">
        <w:t xml:space="preserve">shows that </w:t>
      </w:r>
      <w:r w:rsidR="0061434F">
        <w:t xml:space="preserve">mass vaccination reduces, but not eliminates, </w:t>
      </w:r>
      <w:r w:rsidR="00890B56">
        <w:t>th</w:t>
      </w:r>
      <w:r w:rsidR="0061434F">
        <w:t>e probability of an outbreak</w:t>
      </w:r>
      <w:r w:rsidR="00B259C1">
        <w:t xml:space="preserve"> </w:t>
      </w:r>
      <w:r w:rsidR="00890B56">
        <w:t>for a duration of time that depends critically on the vaccine efficacy</w:t>
      </w:r>
      <w:r w:rsidR="00DC6A61">
        <w:t xml:space="preserve"> profile</w:t>
      </w:r>
      <w:r w:rsidR="00890B56">
        <w:t xml:space="preserve"> and migration rate.</w:t>
      </w:r>
      <w:r w:rsidR="00561BAD">
        <w:t xml:space="preserve"> </w:t>
      </w:r>
      <w:r w:rsidR="00C07693">
        <w:t xml:space="preserve">DHI can be </w:t>
      </w:r>
      <w:r w:rsidR="00C51EE8">
        <w:t>inferred from</w:t>
      </w:r>
      <w:r w:rsidR="00C07693">
        <w:t xml:space="preserve"> the time </w:t>
      </w:r>
      <w:r w:rsidR="00611687">
        <w:t xml:space="preserve">of crossing </w:t>
      </w:r>
      <w:r w:rsidR="00C07693">
        <w:t>the horizon</w:t>
      </w:r>
      <w:r w:rsidR="00611687">
        <w:t xml:space="preserve">tal grey line, </w:t>
      </w:r>
      <w:r w:rsidR="004C3907">
        <w:t>which corresponds to R</w:t>
      </w:r>
      <w:r w:rsidR="004C3907">
        <w:rPr>
          <w:vertAlign w:val="subscript"/>
        </w:rPr>
        <w:t>e</w:t>
      </w:r>
      <w:r w:rsidR="004C3907">
        <w:t xml:space="preserve"> = 1 and, consequently, a </w:t>
      </w:r>
      <w:r w:rsidR="00611687">
        <w:t xml:space="preserve">24.6% </w:t>
      </w:r>
      <w:r w:rsidR="004C3907">
        <w:t>chance</w:t>
      </w:r>
      <w:r w:rsidR="00611687">
        <w:t xml:space="preserve"> of an outbreak</w:t>
      </w:r>
      <w:r w:rsidR="004C3907">
        <w:t xml:space="preserve"> </w:t>
      </w:r>
      <m:oMath>
        <m:r>
          <w:rPr>
            <w:rFonts w:ascii="Cambria Math" w:hAnsi="Cambria Math"/>
          </w:rPr>
          <m:t>≥</m:t>
        </m:r>
      </m:oMath>
      <w:r w:rsidR="00611687">
        <w:t>10 cases</w:t>
      </w:r>
      <w:r w:rsidR="004C3907">
        <w:t xml:space="preserve">. </w:t>
      </w:r>
      <w:r w:rsidR="00611687">
        <w:t>F</w:t>
      </w:r>
      <w:r w:rsidR="00537BAE">
        <w:t xml:space="preserve">or a setting with high transmission potential and high migration (red solid line), mass WC vaccination may not be able to achieve herd immunity, but </w:t>
      </w:r>
      <w:r w:rsidR="00611687">
        <w:t xml:space="preserve">can </w:t>
      </w:r>
      <w:r w:rsidR="00537BAE">
        <w:t xml:space="preserve">still drastically reduce </w:t>
      </w:r>
      <w:r w:rsidR="00611687">
        <w:t xml:space="preserve">by nearly 50 percentage points </w:t>
      </w:r>
      <w:r w:rsidR="00537BAE">
        <w:t>the probability of an outbreak given introduct</w:t>
      </w:r>
      <w:r w:rsidR="00611687">
        <w:t>ion</w:t>
      </w:r>
      <w:r w:rsidR="00537BAE">
        <w:t>.</w:t>
      </w:r>
    </w:p>
    <w:p w14:paraId="37C3474B" w14:textId="77777777" w:rsidR="00F539C6" w:rsidRDefault="00F539C6"/>
    <w:p w14:paraId="40699E4C" w14:textId="04EB75E7" w:rsidR="006B582E" w:rsidRPr="006B582E" w:rsidRDefault="00AC44CF">
      <w:pPr>
        <w:rPr>
          <w:i/>
        </w:rPr>
      </w:pPr>
      <w:r>
        <w:rPr>
          <w:i/>
        </w:rPr>
        <w:t>Optimizing r</w:t>
      </w:r>
      <w:r w:rsidR="006B582E">
        <w:rPr>
          <w:i/>
        </w:rPr>
        <w:t>evaccination</w:t>
      </w:r>
      <w:r>
        <w:rPr>
          <w:i/>
        </w:rPr>
        <w:t xml:space="preserve"> with</w:t>
      </w:r>
      <w:r w:rsidR="006B582E">
        <w:rPr>
          <w:i/>
        </w:rPr>
        <w:t xml:space="preserve"> “Mass then Maintain” strategies</w:t>
      </w:r>
    </w:p>
    <w:p w14:paraId="5AD8BA13" w14:textId="37597855" w:rsidR="0042502C" w:rsidRDefault="0034238E" w:rsidP="0094157E">
      <w:r>
        <w:t>We considered several operational strategies for sustaining herd immunity through vaccination</w:t>
      </w:r>
      <w:r w:rsidR="00014111">
        <w:t xml:space="preserve"> alone</w:t>
      </w:r>
      <w:r>
        <w:t xml:space="preserve">. </w:t>
      </w:r>
      <w:r w:rsidR="000D43E0">
        <w:t>We find that for a fixed vaccine allotment,</w:t>
      </w:r>
      <w:r w:rsidR="005E6674">
        <w:t xml:space="preserve"> </w:t>
      </w:r>
      <w:r w:rsidR="00014111">
        <w:t xml:space="preserve">“Mass then Maintain” </w:t>
      </w:r>
      <w:r w:rsidR="005E6674">
        <w:t xml:space="preserve">strategies that </w:t>
      </w:r>
      <w:r w:rsidR="00014111">
        <w:t>complement a single mass vaccination campaign with routine vaccinatio</w:t>
      </w:r>
      <w:r w:rsidR="002A1306">
        <w:t xml:space="preserve">n </w:t>
      </w:r>
      <w:r w:rsidR="0094157E">
        <w:t xml:space="preserve">can </w:t>
      </w:r>
      <w:r w:rsidR="002A1306">
        <w:t xml:space="preserve">maintain herd immunity </w:t>
      </w:r>
      <w:r w:rsidR="0094157E">
        <w:t>longer than either</w:t>
      </w:r>
      <w:r w:rsidR="00014111">
        <w:t xml:space="preserve"> recurring mass vaccination </w:t>
      </w:r>
      <w:r w:rsidR="0094157E">
        <w:t>or</w:t>
      </w:r>
      <w:r w:rsidR="00014111">
        <w:t xml:space="preserve"> routine vaccination strategies</w:t>
      </w:r>
      <w:r w:rsidR="0094157E">
        <w:t xml:space="preserve"> alone</w:t>
      </w:r>
      <w:r w:rsidR="00002C0D">
        <w:t xml:space="preserve"> (Fig 4</w:t>
      </w:r>
      <w:r w:rsidR="00AC44CF">
        <w:t>)</w:t>
      </w:r>
      <w:r w:rsidR="00014111">
        <w:t xml:space="preserve">. </w:t>
      </w:r>
      <w:r w:rsidR="00493178">
        <w:t xml:space="preserve">The intuition behind this complementary strategy is that recurring mass campaigns have diminishing returns </w:t>
      </w:r>
      <w:r w:rsidR="00C51EE8">
        <w:t xml:space="preserve">per vaccine once herd immunity is achieved; meanwhile </w:t>
      </w:r>
      <w:r w:rsidR="00493178">
        <w:t>routine vaccination alone requires a long period o</w:t>
      </w:r>
      <w:r w:rsidR="00C51EE8">
        <w:t>f time to build-up herd immunity</w:t>
      </w:r>
      <w:r w:rsidR="00493178">
        <w:t>.</w:t>
      </w:r>
      <w:r w:rsidR="006D6B6D">
        <w:t xml:space="preserve"> We found that in a </w:t>
      </w:r>
      <w:r w:rsidR="004F60A8">
        <w:t xml:space="preserve">population </w:t>
      </w:r>
      <w:r w:rsidR="00611687">
        <w:t xml:space="preserve">with size </w:t>
      </w:r>
      <m:oMath>
        <m:r>
          <w:rPr>
            <w:rFonts w:ascii="Cambria Math" w:hAnsi="Cambria Math"/>
          </w:rPr>
          <m:t>N</m:t>
        </m:r>
      </m:oMath>
      <w:r w:rsidR="00611687">
        <w:t xml:space="preserve">, </w:t>
      </w:r>
      <w:r w:rsidR="006D6B6D">
        <w:t>R</w:t>
      </w:r>
      <w:r w:rsidR="006D6B6D">
        <w:rPr>
          <w:vertAlign w:val="subscript"/>
        </w:rPr>
        <w:t>0</w:t>
      </w:r>
      <w:r w:rsidR="006D6B6D">
        <w:t>=1.5</w:t>
      </w:r>
      <w:r w:rsidR="00611687">
        <w:t>,</w:t>
      </w:r>
      <w:r w:rsidR="006D6B6D">
        <w:t xml:space="preserve"> and </w:t>
      </w:r>
      <w:r w:rsidR="00E86EA7">
        <w:t>high</w:t>
      </w:r>
      <w:r w:rsidR="006D6B6D">
        <w:t xml:space="preserve"> population tur</w:t>
      </w:r>
      <w:r w:rsidR="00B23DD8">
        <w:t xml:space="preserve">nover, provision of up to </w:t>
      </w:r>
      <m:oMath>
        <m:r>
          <w:rPr>
            <w:rFonts w:ascii="Cambria Math" w:hAnsi="Cambria Math"/>
          </w:rPr>
          <m:t>3N</m:t>
        </m:r>
      </m:oMath>
      <w:r w:rsidR="00611687">
        <w:t xml:space="preserve"> </w:t>
      </w:r>
      <w:r w:rsidR="00E86EA7">
        <w:t>vaccine courses</w:t>
      </w:r>
      <w:r w:rsidR="00B23DD8">
        <w:t xml:space="preserve"> can sustain</w:t>
      </w:r>
      <w:r w:rsidR="00E86EA7">
        <w:t xml:space="preserve"> </w:t>
      </w:r>
      <w:r w:rsidR="006D6B6D">
        <w:t xml:space="preserve">herd immunity </w:t>
      </w:r>
      <w:r w:rsidR="00B23DD8">
        <w:t xml:space="preserve">for 3.6 years </w:t>
      </w:r>
      <w:r w:rsidR="004F60A8">
        <w:t>through</w:t>
      </w:r>
      <w:r w:rsidR="00E86EA7">
        <w:t xml:space="preserve"> </w:t>
      </w:r>
      <w:r w:rsidR="003B3505">
        <w:t>annual</w:t>
      </w:r>
      <w:r w:rsidR="00E86EA7">
        <w:t xml:space="preserve"> </w:t>
      </w:r>
      <w:r w:rsidR="00E3037F">
        <w:t>m</w:t>
      </w:r>
      <w:r w:rsidR="00493178">
        <w:t xml:space="preserve">ass </w:t>
      </w:r>
      <w:r w:rsidR="00E3037F">
        <w:t>v</w:t>
      </w:r>
      <w:r w:rsidR="00B23DD8" w:rsidRPr="00E3037F">
        <w:t>accination</w:t>
      </w:r>
      <w:r w:rsidR="00E86EA7">
        <w:t>,</w:t>
      </w:r>
      <w:r w:rsidR="00B23DD8">
        <w:t xml:space="preserve"> 5.0 years th</w:t>
      </w:r>
      <w:r w:rsidR="003B6D69">
        <w:t>rough “Mass then Maintain”, and</w:t>
      </w:r>
      <w:r w:rsidR="003B3505">
        <w:t xml:space="preserve"> </w:t>
      </w:r>
      <w:r w:rsidR="00E3037F">
        <w:t>4.0 years through routine v</w:t>
      </w:r>
      <w:r w:rsidR="00B23DD8">
        <w:t>accination</w:t>
      </w:r>
      <w:r w:rsidR="00E86EA7">
        <w:t xml:space="preserve"> </w:t>
      </w:r>
      <w:r w:rsidR="00002C0D">
        <w:t>(Fig 4</w:t>
      </w:r>
      <w:r w:rsidR="009E526A">
        <w:t>)</w:t>
      </w:r>
      <w:r w:rsidR="00493178">
        <w:t>.</w:t>
      </w:r>
      <w:r w:rsidR="00077B6C">
        <w:t xml:space="preserve"> </w:t>
      </w:r>
    </w:p>
    <w:p w14:paraId="65FE2004" w14:textId="77777777" w:rsidR="006F7535" w:rsidRDefault="006F7535"/>
    <w:p w14:paraId="6CFAFD32" w14:textId="1D355A05" w:rsidR="006B582E" w:rsidRPr="006B582E" w:rsidRDefault="006B582E">
      <w:pPr>
        <w:rPr>
          <w:i/>
        </w:rPr>
      </w:pPr>
      <w:r>
        <w:rPr>
          <w:i/>
        </w:rPr>
        <w:t>Optimizing mass vaccination by targeting intermediate mobility</w:t>
      </w:r>
      <w:r w:rsidR="00167FD3">
        <w:rPr>
          <w:i/>
        </w:rPr>
        <w:t xml:space="preserve"> settings</w:t>
      </w:r>
    </w:p>
    <w:p w14:paraId="4B4F63B2" w14:textId="0A4D51C4" w:rsidR="00966387" w:rsidRDefault="004203D1">
      <w:r>
        <w:t xml:space="preserve">In addition to </w:t>
      </w:r>
      <w:r w:rsidR="00167FD3">
        <w:t xml:space="preserve">the </w:t>
      </w:r>
      <w:r>
        <w:t>strong influence</w:t>
      </w:r>
      <w:r w:rsidR="00167FD3">
        <w:t xml:space="preserve"> of migration</w:t>
      </w:r>
      <w:r>
        <w:t xml:space="preserve"> on </w:t>
      </w:r>
      <w:r w:rsidR="00167FD3">
        <w:t>DHI</w:t>
      </w:r>
      <w:r>
        <w:t xml:space="preserve">, </w:t>
      </w:r>
      <w:r w:rsidR="00C04090">
        <w:t>one</w:t>
      </w:r>
      <w:r w:rsidR="00A33106">
        <w:t xml:space="preserve"> may </w:t>
      </w:r>
      <w:r w:rsidR="00167FD3">
        <w:t>posit</w:t>
      </w:r>
      <w:r w:rsidR="00A33106">
        <w:t xml:space="preserve"> that communities with higher migration rates are also more likely to have cholera imported. </w:t>
      </w:r>
      <w:r w:rsidR="00C04090">
        <w:t xml:space="preserve">In order to </w:t>
      </w:r>
      <w:r w:rsidR="00C04090">
        <w:lastRenderedPageBreak/>
        <w:t xml:space="preserve">optimize OCV impact, there is a tension between </w:t>
      </w:r>
      <w:r w:rsidR="00167FD3">
        <w:t xml:space="preserve">targeting </w:t>
      </w:r>
      <w:r w:rsidR="00C04090">
        <w:t xml:space="preserve">remote </w:t>
      </w:r>
      <w:r w:rsidR="00167FD3">
        <w:t>communities</w:t>
      </w:r>
      <w:r w:rsidR="00C04090">
        <w:t xml:space="preserve">, where OCV protection </w:t>
      </w:r>
      <w:r w:rsidR="002C24BA">
        <w:t>is</w:t>
      </w:r>
      <w:r w:rsidR="00C04090">
        <w:t xml:space="preserve"> long-lasting</w:t>
      </w:r>
      <w:r w:rsidR="002C24BA">
        <w:t xml:space="preserve"> but cholera introduction is rare</w:t>
      </w:r>
      <w:r w:rsidR="00C04090">
        <w:t>, and highly mobile communities, where the opposite is expected.</w:t>
      </w:r>
      <w:r w:rsidR="000E5D49">
        <w:t xml:space="preserve"> </w:t>
      </w:r>
      <w:r w:rsidR="00002C0D">
        <w:t xml:space="preserve">Fig 5 </w:t>
      </w:r>
      <w:r w:rsidR="000E5D49">
        <w:t>show</w:t>
      </w:r>
      <w:r w:rsidR="00551453">
        <w:t>s</w:t>
      </w:r>
      <w:r w:rsidR="00456D57">
        <w:t xml:space="preserve"> that communities with intermediate levels of connectedness may experience the largest vaccine-derived decrease in the probability of an outbreak introduced via migration</w:t>
      </w:r>
      <w:r w:rsidR="00AD2DC7">
        <w:t>.</w:t>
      </w:r>
      <w:r w:rsidR="00501B43">
        <w:t xml:space="preserve"> </w:t>
      </w:r>
      <w:r w:rsidR="008C332F">
        <w:t xml:space="preserve">In </w:t>
      </w:r>
      <w:r w:rsidR="00501B43">
        <w:t xml:space="preserve">the </w:t>
      </w:r>
      <w:r w:rsidR="008C332F">
        <w:t>example</w:t>
      </w:r>
      <w:r w:rsidR="00002C0D">
        <w:t xml:space="preserve"> of Fig 5</w:t>
      </w:r>
      <w:r w:rsidR="00501B43">
        <w:t>,</w:t>
      </w:r>
      <w:r w:rsidR="008C332F">
        <w:t xml:space="preserve"> where R</w:t>
      </w:r>
      <w:r w:rsidR="008C332F">
        <w:rPr>
          <w:vertAlign w:val="subscript"/>
        </w:rPr>
        <w:t>0</w:t>
      </w:r>
      <w:r w:rsidR="008C332F">
        <w:t>=1.5 and the probability an incoming migrant is infectious is 1/N,</w:t>
      </w:r>
      <w:r w:rsidR="00501B43">
        <w:t xml:space="preserve"> </w:t>
      </w:r>
      <w:r w:rsidR="002C24BA">
        <w:t xml:space="preserve">the migration rate recorded in </w:t>
      </w:r>
      <w:proofErr w:type="spellStart"/>
      <w:r w:rsidR="002C24BA">
        <w:t>Bentiu</w:t>
      </w:r>
      <w:proofErr w:type="spellEnd"/>
      <w:r w:rsidR="002C24BA">
        <w:t xml:space="preserve"> in mid-2016 is near the optimal condition for maximizing the impact of a single mass vaccination campaign in the 4-6 year time horizon.</w:t>
      </w:r>
      <w:r w:rsidR="002C24BA" w:rsidRPr="002C24BA">
        <w:t xml:space="preserve"> </w:t>
      </w:r>
      <w:r w:rsidR="002C24BA">
        <w:t xml:space="preserve">If one is interested in shorter time horizons since vaccination, the migration rate that maximizes vaccine impact favors mobile communities, similar to the high population turnover observed in Dhaka in the study by </w:t>
      </w:r>
      <w:proofErr w:type="spellStart"/>
      <w:r w:rsidR="002C24BA">
        <w:t>Qadri</w:t>
      </w:r>
      <w:proofErr w:type="spellEnd"/>
      <w:r w:rsidR="002C24BA">
        <w:t xml:space="preserve"> et al</w:t>
      </w:r>
      <w:r w:rsidR="00046565">
        <w:t>.</w:t>
      </w:r>
      <w:r w:rsidR="00046565">
        <w:fldChar w:fldCharType="begin" w:fldLock="1"/>
      </w:r>
      <w:r w:rsidR="00AE6CD2">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"&lt;sup&gt;10&lt;/sup&gt;", "plainTextFormattedCitation" : "10", "previouslyFormattedCitation" : "&lt;sup&gt;10&lt;/sup&gt;" }, "properties" : { "noteIndex" : 0 }, "schema" : "https://github.com/citation-style-language/schema/raw/master/csl-citation.json" }</w:instrText>
      </w:r>
      <w:r w:rsidR="00046565">
        <w:fldChar w:fldCharType="separate"/>
      </w:r>
      <w:r w:rsidR="00380776" w:rsidRPr="00380776">
        <w:rPr>
          <w:noProof/>
          <w:vertAlign w:val="superscript"/>
        </w:rPr>
        <w:t>10</w:t>
      </w:r>
      <w:r w:rsidR="00046565">
        <w:fldChar w:fldCharType="end"/>
      </w:r>
      <w:r w:rsidR="00503E17">
        <w:t xml:space="preserve"> </w:t>
      </w:r>
    </w:p>
    <w:p w14:paraId="6A781B34" w14:textId="77777777" w:rsidR="00966387" w:rsidRDefault="00966387"/>
    <w:p w14:paraId="0642283E" w14:textId="22160BD1" w:rsidR="00966387" w:rsidRDefault="00D87EEC">
      <w:pPr>
        <w:rPr>
          <w:i/>
        </w:rPr>
      </w:pPr>
      <w:r>
        <w:rPr>
          <w:i/>
        </w:rPr>
        <w:t>Case Study</w:t>
      </w:r>
      <w:r w:rsidR="00966387">
        <w:rPr>
          <w:i/>
        </w:rPr>
        <w:t xml:space="preserve">: </w:t>
      </w:r>
      <w:proofErr w:type="spellStart"/>
      <w:r w:rsidR="00966387">
        <w:rPr>
          <w:i/>
        </w:rPr>
        <w:t>Bentiu</w:t>
      </w:r>
      <w:proofErr w:type="spellEnd"/>
      <w:r w:rsidR="00966387">
        <w:rPr>
          <w:i/>
        </w:rPr>
        <w:t xml:space="preserve"> </w:t>
      </w:r>
      <w:proofErr w:type="spellStart"/>
      <w:r w:rsidR="00966387">
        <w:rPr>
          <w:i/>
        </w:rPr>
        <w:t>PoC</w:t>
      </w:r>
      <w:proofErr w:type="spellEnd"/>
      <w:r>
        <w:rPr>
          <w:i/>
        </w:rPr>
        <w:t xml:space="preserve"> Camp</w:t>
      </w:r>
    </w:p>
    <w:p w14:paraId="5CCF5D4C" w14:textId="61702370" w:rsidR="00520DD4" w:rsidRDefault="009B1E00" w:rsidP="00520DD4">
      <w:r>
        <w:t xml:space="preserve">The </w:t>
      </w:r>
      <w:proofErr w:type="spellStart"/>
      <w:r>
        <w:t>Bentiu</w:t>
      </w:r>
      <w:proofErr w:type="spellEnd"/>
      <w:r>
        <w:t xml:space="preserve"> </w:t>
      </w:r>
      <w:proofErr w:type="spellStart"/>
      <w:r>
        <w:t>PoC</w:t>
      </w:r>
      <w:proofErr w:type="spellEnd"/>
      <w:r>
        <w:t xml:space="preserve"> Camp grew from 4</w:t>
      </w:r>
      <w:r w:rsidR="00DA6BB9">
        <w:t>,</w:t>
      </w:r>
      <w:r>
        <w:t xml:space="preserve">291 occupants in February 2014 to a peak of 140,101 in December 2015 and then converged to approximately 100,000 in </w:t>
      </w:r>
      <w:r w:rsidR="007C5881">
        <w:t>May</w:t>
      </w:r>
      <w:r>
        <w:t xml:space="preserve"> 2016 (</w:t>
      </w:r>
      <w:r w:rsidR="00002C0D">
        <w:t>Fig 6A</w:t>
      </w:r>
      <w:r>
        <w:t>). Two large OCV campaigns were performed using enough vaccines to achieve coverage of 82% in July 2014 and 90% in June 2015. We</w:t>
      </w:r>
      <w:r w:rsidR="00966387">
        <w:t xml:space="preserve"> </w:t>
      </w:r>
      <w:r>
        <w:t>estimate</w:t>
      </w:r>
      <w:r w:rsidR="00966387">
        <w:t xml:space="preserve"> the population fraction susceptible </w:t>
      </w:r>
      <w:r w:rsidR="00104461">
        <w:t>increased</w:t>
      </w:r>
      <w:r w:rsidR="00966387">
        <w:t xml:space="preserve"> to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=0.78</m:t>
        </m:r>
      </m:oMath>
      <w:r w:rsidR="00966387">
        <w:t xml:space="preserve"> by October 16, 2016, at which time the first cholera case of the outbreak was detected (</w:t>
      </w:r>
      <w:r w:rsidR="00002C0D">
        <w:t>Fig 6B</w:t>
      </w:r>
      <w:r w:rsidR="00966387">
        <w:t>).</w:t>
      </w:r>
      <w:r>
        <w:t xml:space="preserve"> </w:t>
      </w:r>
      <w:r w:rsidR="00966387">
        <w:t xml:space="preserve">For example, </w:t>
      </w:r>
      <w:r w:rsidR="00104461">
        <w:t>if we assume</w:t>
      </w:r>
      <w:r w:rsidR="00966387">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7C5881">
        <w:t>=1.5</w:t>
      </w:r>
      <w:r>
        <w:t xml:space="preserve">, then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966387">
        <w:t xml:space="preserve"> on October 16, 2016 </w:t>
      </w:r>
      <w:r>
        <w:t>would</w:t>
      </w:r>
      <w:r w:rsidR="00966387">
        <w:t xml:space="preserve"> </w:t>
      </w:r>
      <w:r w:rsidR="00104461">
        <w:t>equal</w:t>
      </w:r>
      <w:r w:rsidR="00966387">
        <w:t xml:space="preserve"> 1.18,</w:t>
      </w:r>
      <w:r>
        <w:t xml:space="preserve"> which</w:t>
      </w:r>
      <w:r w:rsidR="00966387">
        <w:t xml:space="preserve"> </w:t>
      </w:r>
      <w:r>
        <w:t>corresponds</w:t>
      </w:r>
      <w:r w:rsidR="00966387">
        <w:t xml:space="preserve"> to a </w:t>
      </w:r>
      <w:r w:rsidR="00BF150A">
        <w:t xml:space="preserve">sizeable </w:t>
      </w:r>
      <w:r w:rsidR="00966387">
        <w:t>30% probability that the introduction of a single cholera case would spark an outbreak of at least 50 cases (</w:t>
      </w:r>
      <w:r w:rsidR="00002C0D">
        <w:t>Fig 6C</w:t>
      </w:r>
      <w:r w:rsidR="00966387">
        <w:t>).</w:t>
      </w:r>
      <w:r w:rsidR="00BF150A">
        <w:t xml:space="preserve"> To assess what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BF150A">
        <w:t xml:space="preserve"> may be plausible in this setting, we estimated the time-dependent reproductive number from the observed case data using multiple retrospective methods. We found that </w:t>
      </w:r>
      <w:r w:rsidR="00520DD4">
        <w:t xml:space="preserve">a mean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441D19">
        <w:t xml:space="preserve"> of up to 3</w:t>
      </w:r>
      <w:r w:rsidR="00BF150A">
        <w:t xml:space="preserve"> </w:t>
      </w:r>
      <w:r w:rsidR="00520DD4">
        <w:t>was</w:t>
      </w:r>
      <w:r w:rsidR="00BF150A">
        <w:t xml:space="preserve"> consistent with these data (</w:t>
      </w:r>
      <w:r w:rsidR="00002C0D">
        <w:t>Fig S4</w:t>
      </w:r>
      <w:r w:rsidR="00BF150A">
        <w:t>).</w:t>
      </w:r>
    </w:p>
    <w:p w14:paraId="7ECABF59" w14:textId="77777777" w:rsidR="00520DD4" w:rsidRDefault="00520DD4" w:rsidP="00520DD4"/>
    <w:p w14:paraId="4206D01F" w14:textId="132EA68A" w:rsidR="00624556" w:rsidRPr="00DF6B9D" w:rsidRDefault="00100825" w:rsidP="00520DD4">
      <w:r>
        <w:t xml:space="preserve">The drivers of waning herd immunity in this population, from strongest to weakest, were population growth </w:t>
      </w:r>
      <w:proofErr w:type="gramStart"/>
      <m:oMath>
        <m:r>
          <w:rPr>
            <w:rFonts w:ascii="Cambria Math" w:hAnsi="Cambria Math"/>
          </w:rPr>
          <m:t>N(</m:t>
        </m:r>
        <w:proofErr w:type="gramEnd"/>
        <m:r>
          <w:rPr>
            <w:rFonts w:ascii="Cambria Math" w:hAnsi="Cambria Math"/>
          </w:rPr>
          <m:t>t)</m:t>
        </m:r>
      </m:oMath>
      <w:r>
        <w:t>,</w:t>
      </w:r>
      <w:r w:rsidR="009D0774">
        <w:t xml:space="preserve"> routine migration, waning </w:t>
      </w:r>
      <m:oMath>
        <m:r>
          <w:rPr>
            <w:rFonts w:ascii="Cambria Math" w:hAnsi="Cambria Math"/>
          </w:rPr>
          <m:t>VE(t)</m:t>
        </m:r>
      </m:oMath>
      <w:r>
        <w:t>, and lastly births/deaths (Table 1).</w:t>
      </w:r>
      <w:r w:rsidR="00520DD4">
        <w:t xml:space="preserve"> </w:t>
      </w:r>
      <w:r>
        <w:t xml:space="preserve">In the counterfactual scenario lacking these drivers, we would expect the proportion susceptible on October 16, 2016 to be as low as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=0.46</m:t>
        </m:r>
      </m:oMath>
      <w:r>
        <w:t xml:space="preserve">, which would render </w:t>
      </w:r>
      <w:r w:rsidR="00DF6B9D">
        <w:t xml:space="preserve">herd immunity even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=2</m:t>
        </m:r>
      </m:oMath>
      <w:r w:rsidR="00DF6B9D">
        <w:t>.</w:t>
      </w:r>
    </w:p>
    <w:p w14:paraId="2B7FCEB2" w14:textId="77777777" w:rsidR="00403CC2" w:rsidRDefault="00403CC2">
      <w:pPr>
        <w:rPr>
          <w:b/>
        </w:rPr>
      </w:pPr>
      <w:r>
        <w:rPr>
          <w:b/>
        </w:rPr>
        <w:br w:type="page"/>
      </w:r>
    </w:p>
    <w:p w14:paraId="07742BCA" w14:textId="247EB202" w:rsidR="00403CC2" w:rsidRPr="00403CC2" w:rsidRDefault="00403CC2" w:rsidP="00403CC2">
      <w:pPr>
        <w:rPr>
          <w:b/>
        </w:rPr>
      </w:pPr>
      <w:r w:rsidRPr="00403CC2">
        <w:rPr>
          <w:b/>
        </w:rPr>
        <w:lastRenderedPageBreak/>
        <w:t xml:space="preserve">Table 1. Drivers of waning herd immunity in </w:t>
      </w:r>
      <w:proofErr w:type="spellStart"/>
      <w:r w:rsidRPr="00403CC2">
        <w:rPr>
          <w:b/>
        </w:rPr>
        <w:t>Bentiu</w:t>
      </w:r>
      <w:proofErr w:type="spellEnd"/>
      <w:r w:rsidRPr="00403CC2">
        <w:rPr>
          <w:b/>
        </w:rPr>
        <w:t xml:space="preserve"> </w:t>
      </w:r>
      <w:proofErr w:type="spellStart"/>
      <w:r w:rsidRPr="00403CC2">
        <w:rPr>
          <w:b/>
        </w:rPr>
        <w:t>PoC</w:t>
      </w:r>
      <w:proofErr w:type="spellEnd"/>
    </w:p>
    <w:tbl>
      <w:tblPr>
        <w:tblStyle w:val="TableGrid"/>
        <w:tblW w:w="0" w:type="auto"/>
        <w:tblInd w:w="-522" w:type="dxa"/>
        <w:tblLayout w:type="fixed"/>
        <w:tblLook w:val="04A0" w:firstRow="1" w:lastRow="0" w:firstColumn="1" w:lastColumn="0" w:noHBand="0" w:noVBand="1"/>
      </w:tblPr>
      <w:tblGrid>
        <w:gridCol w:w="1620"/>
        <w:gridCol w:w="1080"/>
        <w:gridCol w:w="1170"/>
        <w:gridCol w:w="1080"/>
        <w:gridCol w:w="1170"/>
        <w:gridCol w:w="1170"/>
        <w:gridCol w:w="720"/>
        <w:gridCol w:w="1440"/>
      </w:tblGrid>
      <w:tr w:rsidR="00A26E68" w:rsidRPr="009D0774" w14:paraId="3ED90BCB" w14:textId="552522B7" w:rsidTr="00A26E68">
        <w:tc>
          <w:tcPr>
            <w:tcW w:w="1620" w:type="dxa"/>
            <w:vAlign w:val="center"/>
          </w:tcPr>
          <w:p w14:paraId="07F8F38B" w14:textId="45D8A534" w:rsidR="007C15E6" w:rsidRPr="009D0774" w:rsidRDefault="007C15E6" w:rsidP="00D65AB7">
            <w:pPr>
              <w:jc w:val="center"/>
              <w:rPr>
                <w:b/>
                <w:sz w:val="20"/>
                <w:szCs w:val="20"/>
              </w:rPr>
            </w:pPr>
            <w:r w:rsidRPr="009D0774">
              <w:rPr>
                <w:b/>
                <w:sz w:val="20"/>
                <w:szCs w:val="20"/>
              </w:rPr>
              <w:t>Scenario</w:t>
            </w:r>
          </w:p>
        </w:tc>
        <w:tc>
          <w:tcPr>
            <w:tcW w:w="1080" w:type="dxa"/>
            <w:vAlign w:val="center"/>
          </w:tcPr>
          <w:p w14:paraId="74A3DC88" w14:textId="66B8BE83" w:rsidR="007C15E6" w:rsidRPr="009D0774" w:rsidRDefault="00A26E68" w:rsidP="00D65AB7">
            <w:pPr>
              <w:jc w:val="center"/>
              <w:rPr>
                <w:b/>
                <w:sz w:val="20"/>
                <w:szCs w:val="20"/>
              </w:rPr>
            </w:pPr>
            <m:oMathPara>
              <m:oMath>
                <m:r>
                  <m:rPr>
                    <m:sty m:val="bi"/>
                  </m:rPr>
                  <w:rPr>
                    <w:rFonts w:ascii="Cambria Math" w:hAnsi="Cambria Math"/>
                    <w:sz w:val="20"/>
                    <w:szCs w:val="20"/>
                  </w:rPr>
                  <m:t>VE(t)</m:t>
                </m:r>
              </m:oMath>
            </m:oMathPara>
          </w:p>
        </w:tc>
        <w:tc>
          <w:tcPr>
            <w:tcW w:w="1170" w:type="dxa"/>
            <w:vAlign w:val="center"/>
          </w:tcPr>
          <w:p w14:paraId="4D5040B8" w14:textId="236BECD0" w:rsidR="007C15E6" w:rsidRPr="009D0774" w:rsidRDefault="00A26E68" w:rsidP="00D65AB7">
            <w:pPr>
              <w:jc w:val="center"/>
              <w:rPr>
                <w:b/>
                <w:sz w:val="20"/>
                <w:szCs w:val="20"/>
              </w:rPr>
            </w:pPr>
            <m:oMathPara>
              <m:oMath>
                <m:r>
                  <m:rPr>
                    <m:sty m:val="bi"/>
                  </m:rPr>
                  <w:rPr>
                    <w:rFonts w:ascii="Cambria Math" w:hAnsi="Cambria Math"/>
                    <w:sz w:val="20"/>
                    <w:szCs w:val="20"/>
                  </w:rPr>
                  <m:t>N(t)</m:t>
                </m:r>
              </m:oMath>
            </m:oMathPara>
          </w:p>
        </w:tc>
        <w:tc>
          <w:tcPr>
            <w:tcW w:w="1080" w:type="dxa"/>
            <w:vAlign w:val="center"/>
          </w:tcPr>
          <w:p w14:paraId="514941D3" w14:textId="7E656737" w:rsidR="00A26E68" w:rsidRDefault="00A26E68" w:rsidP="00D65AB7">
            <w:pPr>
              <w:jc w:val="center"/>
              <w:rPr>
                <w:b/>
                <w:sz w:val="20"/>
                <w:szCs w:val="20"/>
              </w:rPr>
            </w:pPr>
            <w:r>
              <w:rPr>
                <w:b/>
                <w:sz w:val="20"/>
                <w:szCs w:val="20"/>
              </w:rPr>
              <w:t>Birth &amp;</w:t>
            </w:r>
          </w:p>
          <w:p w14:paraId="1ACFC1AA" w14:textId="026F1280" w:rsidR="007C15E6" w:rsidRPr="009D0774" w:rsidRDefault="007C15E6" w:rsidP="00D65AB7">
            <w:pPr>
              <w:jc w:val="center"/>
              <w:rPr>
                <w:b/>
                <w:sz w:val="20"/>
                <w:szCs w:val="20"/>
              </w:rPr>
            </w:pPr>
            <w:r w:rsidRPr="009D0774">
              <w:rPr>
                <w:b/>
                <w:sz w:val="20"/>
                <w:szCs w:val="20"/>
              </w:rPr>
              <w:t>Death</w:t>
            </w:r>
          </w:p>
        </w:tc>
        <w:tc>
          <w:tcPr>
            <w:tcW w:w="1170" w:type="dxa"/>
            <w:vAlign w:val="center"/>
          </w:tcPr>
          <w:p w14:paraId="2F456309" w14:textId="538201A7" w:rsidR="007C15E6" w:rsidRPr="009D0774" w:rsidRDefault="007C15E6" w:rsidP="00D65AB7">
            <w:pPr>
              <w:jc w:val="center"/>
              <w:rPr>
                <w:b/>
                <w:sz w:val="20"/>
                <w:szCs w:val="20"/>
              </w:rPr>
            </w:pPr>
            <w:r w:rsidRPr="009D0774">
              <w:rPr>
                <w:b/>
                <w:sz w:val="20"/>
                <w:szCs w:val="20"/>
              </w:rPr>
              <w:t>Routine Migration</w:t>
            </w:r>
          </w:p>
        </w:tc>
        <w:tc>
          <w:tcPr>
            <w:tcW w:w="1170" w:type="dxa"/>
            <w:vAlign w:val="center"/>
          </w:tcPr>
          <w:p w14:paraId="30F9F414" w14:textId="77777777" w:rsidR="00A26E68" w:rsidRPr="00A26E68" w:rsidRDefault="00A26E68" w:rsidP="00A26E68">
            <w:pPr>
              <w:jc w:val="center"/>
              <w:rPr>
                <w:b/>
                <w:sz w:val="20"/>
                <w:szCs w:val="20"/>
              </w:rPr>
            </w:pPr>
            <m:oMathPara>
              <m:oMath>
                <m:r>
                  <m:rPr>
                    <m:sty m:val="bi"/>
                  </m:rPr>
                  <w:rPr>
                    <w:rFonts w:ascii="Cambria Math" w:hAnsi="Cambria Math"/>
                    <w:sz w:val="20"/>
                    <w:szCs w:val="20"/>
                  </w:rPr>
                  <m:t>X(t)</m:t>
                </m:r>
              </m:oMath>
            </m:oMathPara>
          </w:p>
          <w:p w14:paraId="13F526AA" w14:textId="4D0860EC" w:rsidR="00A26E68" w:rsidRPr="00A26E68" w:rsidRDefault="00A26E68" w:rsidP="00A26E68">
            <w:pPr>
              <w:jc w:val="center"/>
              <w:rPr>
                <w:b/>
                <w:sz w:val="20"/>
                <w:szCs w:val="20"/>
                <w:vertAlign w:val="subscript"/>
              </w:rPr>
            </w:pPr>
            <w:proofErr w:type="gramStart"/>
            <w:r>
              <w:rPr>
                <w:b/>
                <w:sz w:val="20"/>
                <w:szCs w:val="20"/>
              </w:rPr>
              <w:t>on</w:t>
            </w:r>
            <w:proofErr w:type="gramEnd"/>
            <w:r>
              <w:rPr>
                <w:b/>
                <w:sz w:val="20"/>
                <w:szCs w:val="20"/>
              </w:rPr>
              <w:t xml:space="preserve"> Oct 16, 2016</w:t>
            </w:r>
          </w:p>
        </w:tc>
        <w:tc>
          <w:tcPr>
            <w:tcW w:w="720" w:type="dxa"/>
            <w:vAlign w:val="center"/>
          </w:tcPr>
          <w:p w14:paraId="6EE8A727" w14:textId="21EF8A11" w:rsidR="007C15E6" w:rsidRPr="009D0774" w:rsidRDefault="00A26E68" w:rsidP="00786B9B">
            <w:pPr>
              <w:jc w:val="center"/>
              <w:rPr>
                <w:b/>
                <w:sz w:val="20"/>
                <w:szCs w:val="20"/>
              </w:rPr>
            </w:pPr>
            <m:oMathPara>
              <m:oMath>
                <m:r>
                  <m:rPr>
                    <m:sty m:val="bi"/>
                  </m:rPr>
                  <w:rPr>
                    <w:rFonts w:ascii="Cambria Math" w:hAnsi="Cambria Math"/>
                    <w:sz w:val="20"/>
                    <w:szCs w:val="20"/>
                  </w:rPr>
                  <m:t>∆X(t)</m:t>
                </m:r>
              </m:oMath>
            </m:oMathPara>
          </w:p>
        </w:tc>
        <w:tc>
          <w:tcPr>
            <w:tcW w:w="1440" w:type="dxa"/>
            <w:vAlign w:val="center"/>
          </w:tcPr>
          <w:p w14:paraId="0CB1ACD6" w14:textId="1F7BE40E" w:rsidR="007C15E6" w:rsidRPr="009D0774" w:rsidRDefault="007C15E6" w:rsidP="009D0774">
            <w:pPr>
              <w:jc w:val="center"/>
              <w:rPr>
                <w:b/>
                <w:sz w:val="20"/>
                <w:szCs w:val="20"/>
              </w:rPr>
            </w:pPr>
            <w:r w:rsidRPr="009D0774">
              <w:rPr>
                <w:b/>
                <w:sz w:val="20"/>
                <w:szCs w:val="20"/>
              </w:rPr>
              <w:t>Attributable Percent</w:t>
            </w:r>
          </w:p>
        </w:tc>
      </w:tr>
      <w:tr w:rsidR="00A26E68" w:rsidRPr="009D0774" w14:paraId="75941E69" w14:textId="77777777" w:rsidTr="00A26E68">
        <w:tc>
          <w:tcPr>
            <w:tcW w:w="1620" w:type="dxa"/>
            <w:shd w:val="clear" w:color="auto" w:fill="auto"/>
            <w:vAlign w:val="center"/>
          </w:tcPr>
          <w:p w14:paraId="3F663B80" w14:textId="624FD6B9" w:rsidR="007C15E6" w:rsidRPr="009D0774" w:rsidRDefault="007C15E6" w:rsidP="00D65AB7">
            <w:pPr>
              <w:jc w:val="center"/>
              <w:rPr>
                <w:b/>
                <w:sz w:val="20"/>
                <w:szCs w:val="20"/>
              </w:rPr>
            </w:pPr>
            <w:r>
              <w:rPr>
                <w:b/>
                <w:sz w:val="20"/>
                <w:szCs w:val="20"/>
              </w:rPr>
              <w:t xml:space="preserve">Composite </w:t>
            </w:r>
            <w:r w:rsidRPr="009D0774">
              <w:rPr>
                <w:b/>
                <w:sz w:val="20"/>
                <w:szCs w:val="20"/>
              </w:rPr>
              <w:t>Counterfactual</w:t>
            </w:r>
          </w:p>
        </w:tc>
        <w:tc>
          <w:tcPr>
            <w:tcW w:w="1080" w:type="dxa"/>
            <w:shd w:val="clear" w:color="auto" w:fill="D9D9D9" w:themeFill="background1" w:themeFillShade="D9"/>
            <w:vAlign w:val="center"/>
          </w:tcPr>
          <w:p w14:paraId="50056ECC" w14:textId="20B6C078" w:rsidR="007C15E6" w:rsidRPr="009D0774" w:rsidRDefault="007C15E6" w:rsidP="00D65AB7">
            <w:pPr>
              <w:jc w:val="center"/>
              <w:rPr>
                <w:sz w:val="20"/>
                <w:szCs w:val="20"/>
              </w:rPr>
            </w:pPr>
            <w:r w:rsidRPr="009D0774">
              <w:rPr>
                <w:sz w:val="20"/>
                <w:szCs w:val="20"/>
              </w:rPr>
              <w:t>VE=0.583</w:t>
            </w:r>
          </w:p>
        </w:tc>
        <w:tc>
          <w:tcPr>
            <w:tcW w:w="1170" w:type="dxa"/>
            <w:shd w:val="clear" w:color="auto" w:fill="D9D9D9" w:themeFill="background1" w:themeFillShade="D9"/>
            <w:vAlign w:val="center"/>
          </w:tcPr>
          <w:p w14:paraId="7B786504" w14:textId="1E027EA8" w:rsidR="007C15E6" w:rsidRPr="009D0774" w:rsidRDefault="007C15E6" w:rsidP="00D65AB7">
            <w:pPr>
              <w:jc w:val="center"/>
              <w:rPr>
                <w:sz w:val="20"/>
                <w:szCs w:val="20"/>
              </w:rPr>
            </w:pPr>
            <w:r w:rsidRPr="009D0774">
              <w:rPr>
                <w:sz w:val="20"/>
                <w:szCs w:val="20"/>
              </w:rPr>
              <w:t xml:space="preserve">N=100,000 </w:t>
            </w:r>
          </w:p>
        </w:tc>
        <w:tc>
          <w:tcPr>
            <w:tcW w:w="1080" w:type="dxa"/>
            <w:shd w:val="clear" w:color="auto" w:fill="D9D9D9" w:themeFill="background1" w:themeFillShade="D9"/>
            <w:vAlign w:val="center"/>
          </w:tcPr>
          <w:p w14:paraId="54C853A5" w14:textId="60C1BC4F" w:rsidR="007C15E6" w:rsidRPr="009D0774" w:rsidRDefault="007C15E6" w:rsidP="00D65AB7">
            <w:pPr>
              <w:jc w:val="center"/>
              <w:rPr>
                <w:sz w:val="20"/>
                <w:szCs w:val="20"/>
              </w:rPr>
            </w:pPr>
            <w:r w:rsidRPr="009D0774">
              <w:rPr>
                <w:sz w:val="20"/>
                <w:szCs w:val="20"/>
              </w:rPr>
              <w:t>0</w:t>
            </w:r>
          </w:p>
        </w:tc>
        <w:tc>
          <w:tcPr>
            <w:tcW w:w="1170" w:type="dxa"/>
            <w:shd w:val="clear" w:color="auto" w:fill="D9D9D9" w:themeFill="background1" w:themeFillShade="D9"/>
            <w:vAlign w:val="center"/>
          </w:tcPr>
          <w:p w14:paraId="243DD143" w14:textId="03621545" w:rsidR="007C15E6" w:rsidRPr="009D0774" w:rsidRDefault="007C15E6" w:rsidP="00D65AB7">
            <w:pPr>
              <w:jc w:val="center"/>
              <w:rPr>
                <w:sz w:val="20"/>
                <w:szCs w:val="20"/>
              </w:rPr>
            </w:pPr>
            <w:r w:rsidRPr="009D0774">
              <w:rPr>
                <w:sz w:val="20"/>
                <w:szCs w:val="20"/>
              </w:rPr>
              <w:t>0</w:t>
            </w:r>
          </w:p>
        </w:tc>
        <w:tc>
          <w:tcPr>
            <w:tcW w:w="1170" w:type="dxa"/>
            <w:shd w:val="clear" w:color="auto" w:fill="auto"/>
            <w:vAlign w:val="center"/>
          </w:tcPr>
          <w:p w14:paraId="7291B587" w14:textId="64D6A120" w:rsidR="007C15E6" w:rsidRPr="009D0774" w:rsidRDefault="007C15E6" w:rsidP="00D65AB7">
            <w:pPr>
              <w:jc w:val="center"/>
              <w:rPr>
                <w:sz w:val="20"/>
                <w:szCs w:val="20"/>
              </w:rPr>
            </w:pPr>
            <w:r w:rsidRPr="009D0774">
              <w:rPr>
                <w:sz w:val="20"/>
                <w:szCs w:val="20"/>
              </w:rPr>
              <w:t>0.46</w:t>
            </w:r>
          </w:p>
        </w:tc>
        <w:tc>
          <w:tcPr>
            <w:tcW w:w="720" w:type="dxa"/>
            <w:vAlign w:val="center"/>
          </w:tcPr>
          <w:p w14:paraId="2CA95477" w14:textId="60C672CF" w:rsidR="007C15E6" w:rsidRPr="009D0774" w:rsidRDefault="007C15E6" w:rsidP="007C15E6">
            <w:pPr>
              <w:jc w:val="center"/>
              <w:rPr>
                <w:sz w:val="20"/>
                <w:szCs w:val="20"/>
              </w:rPr>
            </w:pPr>
            <w:r>
              <w:rPr>
                <w:sz w:val="20"/>
                <w:szCs w:val="20"/>
              </w:rPr>
              <w:t>--</w:t>
            </w:r>
          </w:p>
        </w:tc>
        <w:tc>
          <w:tcPr>
            <w:tcW w:w="1440" w:type="dxa"/>
            <w:vAlign w:val="center"/>
          </w:tcPr>
          <w:p w14:paraId="5AEDF31A" w14:textId="6E617A9A" w:rsidR="007C15E6" w:rsidRPr="009D0774" w:rsidRDefault="007C15E6" w:rsidP="009D0774">
            <w:pPr>
              <w:jc w:val="center"/>
              <w:rPr>
                <w:sz w:val="20"/>
                <w:szCs w:val="20"/>
              </w:rPr>
            </w:pPr>
            <w:r w:rsidRPr="009D0774">
              <w:rPr>
                <w:sz w:val="20"/>
                <w:szCs w:val="20"/>
              </w:rPr>
              <w:t>--</w:t>
            </w:r>
          </w:p>
        </w:tc>
      </w:tr>
      <w:tr w:rsidR="00A26E68" w:rsidRPr="009D0774" w14:paraId="35D323DB" w14:textId="13FB3E72" w:rsidTr="00A26E68">
        <w:tc>
          <w:tcPr>
            <w:tcW w:w="1620" w:type="dxa"/>
            <w:shd w:val="clear" w:color="auto" w:fill="auto"/>
            <w:vAlign w:val="center"/>
          </w:tcPr>
          <w:p w14:paraId="2C89C67B" w14:textId="00BADB19" w:rsidR="007C15E6" w:rsidRPr="009D0774" w:rsidRDefault="007C15E6" w:rsidP="00D65AB7">
            <w:pPr>
              <w:jc w:val="center"/>
              <w:rPr>
                <w:b/>
                <w:sz w:val="20"/>
                <w:szCs w:val="20"/>
              </w:rPr>
            </w:pPr>
            <w:r w:rsidRPr="009D0774">
              <w:rPr>
                <w:b/>
                <w:sz w:val="20"/>
                <w:szCs w:val="20"/>
              </w:rPr>
              <w:t xml:space="preserve">Only </w:t>
            </w:r>
            <w:proofErr w:type="gramStart"/>
            <m:oMath>
              <m:r>
                <m:rPr>
                  <m:sty m:val="bi"/>
                </m:rPr>
                <w:rPr>
                  <w:rFonts w:ascii="Cambria Math" w:hAnsi="Cambria Math"/>
                  <w:sz w:val="20"/>
                  <w:szCs w:val="20"/>
                </w:rPr>
                <m:t>VE(</m:t>
              </m:r>
              <w:proofErr w:type="gramEnd"/>
              <m:r>
                <m:rPr>
                  <m:sty m:val="bi"/>
                </m:rPr>
                <w:rPr>
                  <w:rFonts w:ascii="Cambria Math" w:hAnsi="Cambria Math"/>
                  <w:sz w:val="20"/>
                  <w:szCs w:val="20"/>
                </w:rPr>
                <m:t>t)</m:t>
              </m:r>
            </m:oMath>
            <w:r w:rsidR="00A30A5D">
              <w:rPr>
                <w:b/>
                <w:sz w:val="20"/>
                <w:szCs w:val="20"/>
              </w:rPr>
              <w:t xml:space="preserve"> </w:t>
            </w:r>
            <w:r w:rsidRPr="009D0774">
              <w:rPr>
                <w:b/>
                <w:sz w:val="20"/>
                <w:szCs w:val="20"/>
              </w:rPr>
              <w:t>waning</w:t>
            </w:r>
          </w:p>
        </w:tc>
        <w:tc>
          <w:tcPr>
            <w:tcW w:w="1080" w:type="dxa"/>
            <w:shd w:val="clear" w:color="auto" w:fill="C6D9F1" w:themeFill="text2" w:themeFillTint="33"/>
            <w:vAlign w:val="center"/>
          </w:tcPr>
          <w:p w14:paraId="3C90260A" w14:textId="3551AD97" w:rsidR="007C15E6" w:rsidRPr="009D0774" w:rsidRDefault="007C15E6" w:rsidP="00D65AB7">
            <w:pPr>
              <w:jc w:val="center"/>
              <w:rPr>
                <w:sz w:val="20"/>
                <w:szCs w:val="20"/>
              </w:rPr>
            </w:pPr>
            <w:r w:rsidRPr="009D0774">
              <w:rPr>
                <w:sz w:val="20"/>
                <w:szCs w:val="20"/>
              </w:rPr>
              <w:t>Empirical</w:t>
            </w:r>
          </w:p>
        </w:tc>
        <w:tc>
          <w:tcPr>
            <w:tcW w:w="1170" w:type="dxa"/>
            <w:shd w:val="clear" w:color="auto" w:fill="D9D9D9" w:themeFill="background1" w:themeFillShade="D9"/>
            <w:vAlign w:val="center"/>
          </w:tcPr>
          <w:p w14:paraId="011020CF" w14:textId="4081CCDF" w:rsidR="007C15E6" w:rsidRPr="009D0774" w:rsidRDefault="007C15E6" w:rsidP="00642CB4">
            <w:pPr>
              <w:jc w:val="center"/>
              <w:rPr>
                <w:sz w:val="20"/>
                <w:szCs w:val="20"/>
              </w:rPr>
            </w:pPr>
            <w:r w:rsidRPr="009D0774">
              <w:rPr>
                <w:sz w:val="20"/>
                <w:szCs w:val="20"/>
              </w:rPr>
              <w:t xml:space="preserve">N=100,000 </w:t>
            </w:r>
          </w:p>
        </w:tc>
        <w:tc>
          <w:tcPr>
            <w:tcW w:w="1080" w:type="dxa"/>
            <w:shd w:val="clear" w:color="auto" w:fill="D9D9D9" w:themeFill="background1" w:themeFillShade="D9"/>
            <w:vAlign w:val="center"/>
          </w:tcPr>
          <w:p w14:paraId="62C74A23" w14:textId="65A6FE33" w:rsidR="007C15E6" w:rsidRPr="009D0774" w:rsidRDefault="007C15E6" w:rsidP="00D65AB7">
            <w:pPr>
              <w:jc w:val="center"/>
              <w:rPr>
                <w:sz w:val="20"/>
                <w:szCs w:val="20"/>
              </w:rPr>
            </w:pPr>
            <w:r w:rsidRPr="009D0774">
              <w:rPr>
                <w:sz w:val="20"/>
                <w:szCs w:val="20"/>
              </w:rPr>
              <w:t>0</w:t>
            </w:r>
          </w:p>
        </w:tc>
        <w:tc>
          <w:tcPr>
            <w:tcW w:w="1170" w:type="dxa"/>
            <w:shd w:val="clear" w:color="auto" w:fill="D9D9D9" w:themeFill="background1" w:themeFillShade="D9"/>
            <w:vAlign w:val="center"/>
          </w:tcPr>
          <w:p w14:paraId="12740F9D" w14:textId="2FEF977D" w:rsidR="007C15E6" w:rsidRPr="009D0774" w:rsidRDefault="007C15E6" w:rsidP="00D65AB7">
            <w:pPr>
              <w:jc w:val="center"/>
              <w:rPr>
                <w:sz w:val="20"/>
                <w:szCs w:val="20"/>
              </w:rPr>
            </w:pPr>
            <w:r w:rsidRPr="009D0774">
              <w:rPr>
                <w:sz w:val="20"/>
                <w:szCs w:val="20"/>
              </w:rPr>
              <w:t>0</w:t>
            </w:r>
          </w:p>
        </w:tc>
        <w:tc>
          <w:tcPr>
            <w:tcW w:w="1170" w:type="dxa"/>
            <w:shd w:val="clear" w:color="auto" w:fill="auto"/>
            <w:vAlign w:val="center"/>
          </w:tcPr>
          <w:p w14:paraId="0987B263" w14:textId="4D4C69D7" w:rsidR="007C15E6" w:rsidRPr="009D0774" w:rsidRDefault="007C15E6" w:rsidP="00D65AB7">
            <w:pPr>
              <w:jc w:val="center"/>
              <w:rPr>
                <w:sz w:val="20"/>
                <w:szCs w:val="20"/>
              </w:rPr>
            </w:pPr>
            <w:r w:rsidRPr="009D0774">
              <w:rPr>
                <w:sz w:val="20"/>
                <w:szCs w:val="20"/>
              </w:rPr>
              <w:t>0.51</w:t>
            </w:r>
          </w:p>
        </w:tc>
        <w:tc>
          <w:tcPr>
            <w:tcW w:w="720" w:type="dxa"/>
            <w:vAlign w:val="center"/>
          </w:tcPr>
          <w:p w14:paraId="42B31062" w14:textId="244AFA59" w:rsidR="007C15E6" w:rsidRPr="009D0774" w:rsidRDefault="007C15E6" w:rsidP="007C15E6">
            <w:pPr>
              <w:jc w:val="center"/>
              <w:rPr>
                <w:sz w:val="20"/>
                <w:szCs w:val="20"/>
              </w:rPr>
            </w:pPr>
            <w:r>
              <w:rPr>
                <w:sz w:val="20"/>
                <w:szCs w:val="20"/>
              </w:rPr>
              <w:t>0.05</w:t>
            </w:r>
          </w:p>
        </w:tc>
        <w:tc>
          <w:tcPr>
            <w:tcW w:w="1440" w:type="dxa"/>
            <w:vAlign w:val="center"/>
          </w:tcPr>
          <w:p w14:paraId="289769CA" w14:textId="771A3012" w:rsidR="007C15E6" w:rsidRPr="009D0774" w:rsidRDefault="007C15E6" w:rsidP="009D0774">
            <w:pPr>
              <w:jc w:val="center"/>
              <w:rPr>
                <w:sz w:val="20"/>
                <w:szCs w:val="20"/>
              </w:rPr>
            </w:pPr>
            <w:r w:rsidRPr="009D0774">
              <w:rPr>
                <w:sz w:val="20"/>
                <w:szCs w:val="20"/>
              </w:rPr>
              <w:t>11.6%</w:t>
            </w:r>
          </w:p>
        </w:tc>
      </w:tr>
      <w:tr w:rsidR="00A26E68" w:rsidRPr="009D0774" w14:paraId="23694327" w14:textId="53C24412" w:rsidTr="00A26E68">
        <w:tc>
          <w:tcPr>
            <w:tcW w:w="1620" w:type="dxa"/>
            <w:shd w:val="clear" w:color="auto" w:fill="auto"/>
            <w:vAlign w:val="center"/>
          </w:tcPr>
          <w:p w14:paraId="001362A0" w14:textId="38EEE754" w:rsidR="007C15E6" w:rsidRPr="009D0774" w:rsidRDefault="007C15E6" w:rsidP="00A30A5D">
            <w:pPr>
              <w:jc w:val="center"/>
              <w:rPr>
                <w:b/>
                <w:sz w:val="20"/>
                <w:szCs w:val="20"/>
              </w:rPr>
            </w:pPr>
            <w:r w:rsidRPr="009D0774">
              <w:rPr>
                <w:b/>
                <w:sz w:val="20"/>
                <w:szCs w:val="20"/>
              </w:rPr>
              <w:t xml:space="preserve">Only </w:t>
            </w:r>
            <w:proofErr w:type="gramStart"/>
            <m:oMath>
              <m:r>
                <m:rPr>
                  <m:sty m:val="bi"/>
                </m:rPr>
                <w:rPr>
                  <w:rFonts w:ascii="Cambria Math" w:hAnsi="Cambria Math"/>
                  <w:sz w:val="20"/>
                  <w:szCs w:val="20"/>
                </w:rPr>
                <m:t>N(</m:t>
              </m:r>
              <w:proofErr w:type="gramEnd"/>
              <m:r>
                <m:rPr>
                  <m:sty m:val="bi"/>
                </m:rPr>
                <w:rPr>
                  <w:rFonts w:ascii="Cambria Math" w:hAnsi="Cambria Math"/>
                  <w:sz w:val="20"/>
                  <w:szCs w:val="20"/>
                </w:rPr>
                <m:t>t)</m:t>
              </m:r>
            </m:oMath>
            <w:r w:rsidR="00A30A5D">
              <w:rPr>
                <w:b/>
                <w:sz w:val="20"/>
                <w:szCs w:val="20"/>
              </w:rPr>
              <w:t xml:space="preserve"> </w:t>
            </w:r>
            <w:r w:rsidRPr="009D0774">
              <w:rPr>
                <w:b/>
                <w:sz w:val="20"/>
                <w:szCs w:val="20"/>
              </w:rPr>
              <w:t>changes</w:t>
            </w:r>
          </w:p>
        </w:tc>
        <w:tc>
          <w:tcPr>
            <w:tcW w:w="1080" w:type="dxa"/>
            <w:shd w:val="clear" w:color="auto" w:fill="D9D9D9" w:themeFill="background1" w:themeFillShade="D9"/>
            <w:vAlign w:val="center"/>
          </w:tcPr>
          <w:p w14:paraId="02BB5458" w14:textId="5507A8D5" w:rsidR="007C15E6" w:rsidRPr="009D0774" w:rsidRDefault="007C15E6" w:rsidP="00642CB4">
            <w:pPr>
              <w:jc w:val="center"/>
              <w:rPr>
                <w:sz w:val="20"/>
                <w:szCs w:val="20"/>
              </w:rPr>
            </w:pPr>
            <w:r w:rsidRPr="009D0774">
              <w:rPr>
                <w:sz w:val="20"/>
                <w:szCs w:val="20"/>
              </w:rPr>
              <w:t xml:space="preserve">VE=0.583 </w:t>
            </w:r>
          </w:p>
        </w:tc>
        <w:tc>
          <w:tcPr>
            <w:tcW w:w="1170" w:type="dxa"/>
            <w:shd w:val="clear" w:color="auto" w:fill="C6D9F1" w:themeFill="text2" w:themeFillTint="33"/>
            <w:vAlign w:val="center"/>
          </w:tcPr>
          <w:p w14:paraId="679F5AA2" w14:textId="650C9041" w:rsidR="007C15E6" w:rsidRPr="009D0774" w:rsidRDefault="007C15E6" w:rsidP="00D65AB7">
            <w:pPr>
              <w:jc w:val="center"/>
              <w:rPr>
                <w:sz w:val="20"/>
                <w:szCs w:val="20"/>
              </w:rPr>
            </w:pPr>
            <w:r w:rsidRPr="009D0774">
              <w:rPr>
                <w:sz w:val="20"/>
                <w:szCs w:val="20"/>
              </w:rPr>
              <w:t>Empirical</w:t>
            </w:r>
          </w:p>
        </w:tc>
        <w:tc>
          <w:tcPr>
            <w:tcW w:w="1080" w:type="dxa"/>
            <w:shd w:val="clear" w:color="auto" w:fill="D9D9D9" w:themeFill="background1" w:themeFillShade="D9"/>
            <w:vAlign w:val="center"/>
          </w:tcPr>
          <w:p w14:paraId="6764D5DB" w14:textId="60669A3F" w:rsidR="007C15E6" w:rsidRPr="009D0774" w:rsidRDefault="007C15E6" w:rsidP="00D65AB7">
            <w:pPr>
              <w:jc w:val="center"/>
              <w:rPr>
                <w:sz w:val="20"/>
                <w:szCs w:val="20"/>
              </w:rPr>
            </w:pPr>
            <w:r w:rsidRPr="009D0774">
              <w:rPr>
                <w:sz w:val="20"/>
                <w:szCs w:val="20"/>
              </w:rPr>
              <w:t>0</w:t>
            </w:r>
          </w:p>
        </w:tc>
        <w:tc>
          <w:tcPr>
            <w:tcW w:w="1170" w:type="dxa"/>
            <w:shd w:val="clear" w:color="auto" w:fill="D9D9D9" w:themeFill="background1" w:themeFillShade="D9"/>
            <w:vAlign w:val="center"/>
          </w:tcPr>
          <w:p w14:paraId="226D147E" w14:textId="7C0D2175" w:rsidR="007C15E6" w:rsidRPr="009D0774" w:rsidRDefault="007C15E6" w:rsidP="00D65AB7">
            <w:pPr>
              <w:jc w:val="center"/>
              <w:rPr>
                <w:sz w:val="20"/>
                <w:szCs w:val="20"/>
              </w:rPr>
            </w:pPr>
            <w:r w:rsidRPr="009D0774">
              <w:rPr>
                <w:sz w:val="20"/>
                <w:szCs w:val="20"/>
              </w:rPr>
              <w:t>0</w:t>
            </w:r>
          </w:p>
        </w:tc>
        <w:tc>
          <w:tcPr>
            <w:tcW w:w="1170" w:type="dxa"/>
            <w:shd w:val="clear" w:color="auto" w:fill="auto"/>
            <w:vAlign w:val="center"/>
          </w:tcPr>
          <w:p w14:paraId="4DB7E8C2" w14:textId="355FDDBF" w:rsidR="007C15E6" w:rsidRPr="009D0774" w:rsidRDefault="007C15E6" w:rsidP="00D65AB7">
            <w:pPr>
              <w:jc w:val="center"/>
              <w:rPr>
                <w:sz w:val="20"/>
                <w:szCs w:val="20"/>
              </w:rPr>
            </w:pPr>
            <w:r w:rsidRPr="009D0774">
              <w:rPr>
                <w:sz w:val="20"/>
                <w:szCs w:val="20"/>
              </w:rPr>
              <w:t>0.66</w:t>
            </w:r>
          </w:p>
        </w:tc>
        <w:tc>
          <w:tcPr>
            <w:tcW w:w="720" w:type="dxa"/>
            <w:vAlign w:val="center"/>
          </w:tcPr>
          <w:p w14:paraId="0D858296" w14:textId="0DC54906" w:rsidR="007C15E6" w:rsidRPr="009D0774" w:rsidRDefault="007C15E6" w:rsidP="007C15E6">
            <w:pPr>
              <w:jc w:val="center"/>
              <w:rPr>
                <w:sz w:val="20"/>
                <w:szCs w:val="20"/>
              </w:rPr>
            </w:pPr>
            <w:r>
              <w:rPr>
                <w:sz w:val="20"/>
                <w:szCs w:val="20"/>
              </w:rPr>
              <w:t>0.2</w:t>
            </w:r>
          </w:p>
        </w:tc>
        <w:tc>
          <w:tcPr>
            <w:tcW w:w="1440" w:type="dxa"/>
            <w:vAlign w:val="center"/>
          </w:tcPr>
          <w:p w14:paraId="5EBA50A3" w14:textId="6A886487" w:rsidR="007C15E6" w:rsidRPr="009D0774" w:rsidRDefault="007C15E6" w:rsidP="009D0774">
            <w:pPr>
              <w:jc w:val="center"/>
              <w:rPr>
                <w:sz w:val="20"/>
                <w:szCs w:val="20"/>
              </w:rPr>
            </w:pPr>
            <w:r w:rsidRPr="009D0774">
              <w:rPr>
                <w:sz w:val="20"/>
                <w:szCs w:val="20"/>
              </w:rPr>
              <w:t>46.5%</w:t>
            </w:r>
          </w:p>
        </w:tc>
      </w:tr>
      <w:tr w:rsidR="00A26E68" w:rsidRPr="009D0774" w14:paraId="685635D3" w14:textId="2CB45ED9" w:rsidTr="00A26E68">
        <w:tc>
          <w:tcPr>
            <w:tcW w:w="1620" w:type="dxa"/>
            <w:shd w:val="clear" w:color="auto" w:fill="auto"/>
            <w:vAlign w:val="center"/>
          </w:tcPr>
          <w:p w14:paraId="1841FF7E" w14:textId="59039D71" w:rsidR="007C15E6" w:rsidRPr="009D0774" w:rsidRDefault="007C15E6" w:rsidP="00D65AB7">
            <w:pPr>
              <w:jc w:val="center"/>
              <w:rPr>
                <w:b/>
                <w:sz w:val="20"/>
                <w:szCs w:val="20"/>
              </w:rPr>
            </w:pPr>
            <w:r w:rsidRPr="009D0774">
              <w:rPr>
                <w:b/>
                <w:sz w:val="20"/>
                <w:szCs w:val="20"/>
              </w:rPr>
              <w:t>Only Births/Deaths</w:t>
            </w:r>
          </w:p>
        </w:tc>
        <w:tc>
          <w:tcPr>
            <w:tcW w:w="1080" w:type="dxa"/>
            <w:shd w:val="clear" w:color="auto" w:fill="D9D9D9" w:themeFill="background1" w:themeFillShade="D9"/>
            <w:vAlign w:val="center"/>
          </w:tcPr>
          <w:p w14:paraId="36F353D3" w14:textId="4603A75C" w:rsidR="007C15E6" w:rsidRPr="009D0774" w:rsidRDefault="007C15E6" w:rsidP="00D65AB7">
            <w:pPr>
              <w:jc w:val="center"/>
              <w:rPr>
                <w:sz w:val="20"/>
                <w:szCs w:val="20"/>
              </w:rPr>
            </w:pPr>
            <w:r w:rsidRPr="009D0774">
              <w:rPr>
                <w:sz w:val="20"/>
                <w:szCs w:val="20"/>
              </w:rPr>
              <w:t xml:space="preserve">VE=0.583 </w:t>
            </w:r>
          </w:p>
        </w:tc>
        <w:tc>
          <w:tcPr>
            <w:tcW w:w="1170" w:type="dxa"/>
            <w:shd w:val="clear" w:color="auto" w:fill="D9D9D9" w:themeFill="background1" w:themeFillShade="D9"/>
            <w:vAlign w:val="center"/>
          </w:tcPr>
          <w:p w14:paraId="2FE39155" w14:textId="18C5D125" w:rsidR="007C15E6" w:rsidRPr="009D0774" w:rsidRDefault="007C15E6" w:rsidP="00D65AB7">
            <w:pPr>
              <w:jc w:val="center"/>
              <w:rPr>
                <w:sz w:val="20"/>
                <w:szCs w:val="20"/>
              </w:rPr>
            </w:pPr>
            <w:r w:rsidRPr="009D0774">
              <w:rPr>
                <w:sz w:val="20"/>
                <w:szCs w:val="20"/>
              </w:rPr>
              <w:t xml:space="preserve">N=100,000 </w:t>
            </w:r>
          </w:p>
        </w:tc>
        <w:tc>
          <w:tcPr>
            <w:tcW w:w="1080" w:type="dxa"/>
            <w:shd w:val="clear" w:color="auto" w:fill="C6D9F1" w:themeFill="text2" w:themeFillTint="33"/>
            <w:vAlign w:val="center"/>
          </w:tcPr>
          <w:p w14:paraId="484B2EE3" w14:textId="3EA30C4A" w:rsidR="007C15E6" w:rsidRPr="009D0774" w:rsidRDefault="00C7026D"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170" w:type="dxa"/>
            <w:shd w:val="clear" w:color="auto" w:fill="D9D9D9" w:themeFill="background1" w:themeFillShade="D9"/>
            <w:vAlign w:val="center"/>
          </w:tcPr>
          <w:p w14:paraId="07529F79" w14:textId="0CA559D0" w:rsidR="007C15E6" w:rsidRPr="009D0774" w:rsidRDefault="007C15E6" w:rsidP="00D65AB7">
            <w:pPr>
              <w:jc w:val="center"/>
              <w:rPr>
                <w:sz w:val="20"/>
                <w:szCs w:val="20"/>
              </w:rPr>
            </w:pPr>
            <w:r w:rsidRPr="009D0774">
              <w:rPr>
                <w:sz w:val="20"/>
                <w:szCs w:val="20"/>
              </w:rPr>
              <w:t>0</w:t>
            </w:r>
          </w:p>
        </w:tc>
        <w:tc>
          <w:tcPr>
            <w:tcW w:w="1170" w:type="dxa"/>
            <w:shd w:val="clear" w:color="auto" w:fill="auto"/>
            <w:vAlign w:val="center"/>
          </w:tcPr>
          <w:p w14:paraId="07BC92BE" w14:textId="54C73927" w:rsidR="007C15E6" w:rsidRPr="009D0774" w:rsidRDefault="00B160BF" w:rsidP="00D65AB7">
            <w:pPr>
              <w:jc w:val="center"/>
              <w:rPr>
                <w:sz w:val="20"/>
                <w:szCs w:val="20"/>
              </w:rPr>
            </w:pPr>
            <w:r>
              <w:rPr>
                <w:sz w:val="20"/>
                <w:szCs w:val="20"/>
              </w:rPr>
              <w:t>0.49</w:t>
            </w:r>
          </w:p>
        </w:tc>
        <w:tc>
          <w:tcPr>
            <w:tcW w:w="720" w:type="dxa"/>
            <w:vAlign w:val="center"/>
          </w:tcPr>
          <w:p w14:paraId="5CF8A0D1" w14:textId="0727E559" w:rsidR="007C15E6" w:rsidRPr="009D0774" w:rsidRDefault="007C15E6" w:rsidP="007C15E6">
            <w:pPr>
              <w:jc w:val="center"/>
              <w:rPr>
                <w:sz w:val="20"/>
                <w:szCs w:val="20"/>
              </w:rPr>
            </w:pPr>
            <w:r>
              <w:rPr>
                <w:sz w:val="20"/>
                <w:szCs w:val="20"/>
              </w:rPr>
              <w:t>0.02</w:t>
            </w:r>
          </w:p>
        </w:tc>
        <w:tc>
          <w:tcPr>
            <w:tcW w:w="1440" w:type="dxa"/>
            <w:vAlign w:val="center"/>
          </w:tcPr>
          <w:p w14:paraId="1EA7784F" w14:textId="55EF6B6A" w:rsidR="007C15E6" w:rsidRPr="009D0774" w:rsidRDefault="007C15E6" w:rsidP="009D0774">
            <w:pPr>
              <w:jc w:val="center"/>
              <w:rPr>
                <w:sz w:val="20"/>
                <w:szCs w:val="20"/>
              </w:rPr>
            </w:pPr>
            <w:r w:rsidRPr="009D0774">
              <w:rPr>
                <w:sz w:val="20"/>
                <w:szCs w:val="20"/>
              </w:rPr>
              <w:t>4.7%</w:t>
            </w:r>
          </w:p>
        </w:tc>
      </w:tr>
      <w:tr w:rsidR="00A26E68" w:rsidRPr="009D0774" w14:paraId="767B0A44" w14:textId="19BF417F" w:rsidTr="00A26E68">
        <w:tc>
          <w:tcPr>
            <w:tcW w:w="1620" w:type="dxa"/>
            <w:shd w:val="clear" w:color="auto" w:fill="auto"/>
            <w:vAlign w:val="center"/>
          </w:tcPr>
          <w:p w14:paraId="6C8AA8F7" w14:textId="2F345610" w:rsidR="007C15E6" w:rsidRPr="009D0774" w:rsidRDefault="007C15E6" w:rsidP="00D65AB7">
            <w:pPr>
              <w:jc w:val="center"/>
              <w:rPr>
                <w:b/>
                <w:sz w:val="20"/>
                <w:szCs w:val="20"/>
              </w:rPr>
            </w:pPr>
            <w:r w:rsidRPr="009D0774">
              <w:rPr>
                <w:b/>
                <w:sz w:val="20"/>
                <w:szCs w:val="20"/>
              </w:rPr>
              <w:t>Only Routine Migration</w:t>
            </w:r>
          </w:p>
        </w:tc>
        <w:tc>
          <w:tcPr>
            <w:tcW w:w="1080" w:type="dxa"/>
            <w:shd w:val="clear" w:color="auto" w:fill="D9D9D9" w:themeFill="background1" w:themeFillShade="D9"/>
            <w:vAlign w:val="center"/>
          </w:tcPr>
          <w:p w14:paraId="1E80FDF6" w14:textId="577878B8" w:rsidR="007C15E6" w:rsidRPr="009D0774" w:rsidRDefault="007C15E6" w:rsidP="00D65AB7">
            <w:pPr>
              <w:jc w:val="center"/>
              <w:rPr>
                <w:sz w:val="20"/>
                <w:szCs w:val="20"/>
              </w:rPr>
            </w:pPr>
            <w:r w:rsidRPr="009D0774">
              <w:rPr>
                <w:sz w:val="20"/>
                <w:szCs w:val="20"/>
              </w:rPr>
              <w:t xml:space="preserve">VE=0.583 </w:t>
            </w:r>
          </w:p>
        </w:tc>
        <w:tc>
          <w:tcPr>
            <w:tcW w:w="1170" w:type="dxa"/>
            <w:shd w:val="clear" w:color="auto" w:fill="D9D9D9" w:themeFill="background1" w:themeFillShade="D9"/>
            <w:vAlign w:val="center"/>
          </w:tcPr>
          <w:p w14:paraId="559B89BA" w14:textId="21B8ACC9" w:rsidR="007C15E6" w:rsidRPr="009D0774" w:rsidRDefault="007C15E6" w:rsidP="00D65AB7">
            <w:pPr>
              <w:jc w:val="center"/>
              <w:rPr>
                <w:sz w:val="20"/>
                <w:szCs w:val="20"/>
              </w:rPr>
            </w:pPr>
            <w:r w:rsidRPr="009D0774">
              <w:rPr>
                <w:sz w:val="20"/>
                <w:szCs w:val="20"/>
              </w:rPr>
              <w:t xml:space="preserve">N=100,000 </w:t>
            </w:r>
          </w:p>
        </w:tc>
        <w:tc>
          <w:tcPr>
            <w:tcW w:w="1080" w:type="dxa"/>
            <w:shd w:val="clear" w:color="auto" w:fill="D9D9D9" w:themeFill="background1" w:themeFillShade="D9"/>
            <w:vAlign w:val="center"/>
          </w:tcPr>
          <w:p w14:paraId="4AFF89B9" w14:textId="467E9865" w:rsidR="007C15E6" w:rsidRPr="009D0774" w:rsidRDefault="007C15E6" w:rsidP="00D65AB7">
            <w:pPr>
              <w:jc w:val="center"/>
              <w:rPr>
                <w:sz w:val="20"/>
                <w:szCs w:val="20"/>
              </w:rPr>
            </w:pPr>
            <w:r w:rsidRPr="009D0774">
              <w:rPr>
                <w:sz w:val="20"/>
                <w:szCs w:val="20"/>
              </w:rPr>
              <w:t>0</w:t>
            </w:r>
          </w:p>
        </w:tc>
        <w:tc>
          <w:tcPr>
            <w:tcW w:w="1170" w:type="dxa"/>
            <w:shd w:val="clear" w:color="auto" w:fill="C6D9F1" w:themeFill="text2" w:themeFillTint="33"/>
            <w:vAlign w:val="center"/>
          </w:tcPr>
          <w:p w14:paraId="4853604A" w14:textId="438E514F" w:rsidR="007C15E6" w:rsidRPr="009D0774" w:rsidRDefault="00C7026D"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170" w:type="dxa"/>
            <w:shd w:val="clear" w:color="auto" w:fill="auto"/>
            <w:vAlign w:val="center"/>
          </w:tcPr>
          <w:p w14:paraId="41A1C7CE" w14:textId="268410BF" w:rsidR="007C15E6" w:rsidRPr="009D0774" w:rsidRDefault="007C15E6" w:rsidP="00D65AB7">
            <w:pPr>
              <w:jc w:val="center"/>
              <w:rPr>
                <w:sz w:val="20"/>
                <w:szCs w:val="20"/>
              </w:rPr>
            </w:pPr>
            <w:r w:rsidRPr="009D0774">
              <w:rPr>
                <w:sz w:val="20"/>
                <w:szCs w:val="20"/>
              </w:rPr>
              <w:t>0.62</w:t>
            </w:r>
          </w:p>
        </w:tc>
        <w:tc>
          <w:tcPr>
            <w:tcW w:w="720" w:type="dxa"/>
            <w:vAlign w:val="center"/>
          </w:tcPr>
          <w:p w14:paraId="76326CC5" w14:textId="172E2F28" w:rsidR="007C15E6" w:rsidRPr="009D0774" w:rsidRDefault="007C15E6" w:rsidP="007C15E6">
            <w:pPr>
              <w:jc w:val="center"/>
              <w:rPr>
                <w:sz w:val="20"/>
                <w:szCs w:val="20"/>
              </w:rPr>
            </w:pPr>
            <w:r>
              <w:rPr>
                <w:sz w:val="20"/>
                <w:szCs w:val="20"/>
              </w:rPr>
              <w:t>0.16</w:t>
            </w:r>
          </w:p>
        </w:tc>
        <w:tc>
          <w:tcPr>
            <w:tcW w:w="1440" w:type="dxa"/>
            <w:vAlign w:val="center"/>
          </w:tcPr>
          <w:p w14:paraId="594073F6" w14:textId="493E4D90" w:rsidR="007C15E6" w:rsidRPr="009D0774" w:rsidRDefault="007C15E6" w:rsidP="009D0774">
            <w:pPr>
              <w:jc w:val="center"/>
              <w:rPr>
                <w:sz w:val="20"/>
                <w:szCs w:val="20"/>
              </w:rPr>
            </w:pPr>
            <w:r w:rsidRPr="009D0774">
              <w:rPr>
                <w:sz w:val="20"/>
                <w:szCs w:val="20"/>
              </w:rPr>
              <w:t>37.2%</w:t>
            </w:r>
          </w:p>
        </w:tc>
      </w:tr>
      <w:tr w:rsidR="00A26E68" w:rsidRPr="009D0774" w14:paraId="11F1D063" w14:textId="77777777" w:rsidTr="00A26E68">
        <w:tc>
          <w:tcPr>
            <w:tcW w:w="1620" w:type="dxa"/>
            <w:shd w:val="clear" w:color="auto" w:fill="auto"/>
            <w:vAlign w:val="center"/>
          </w:tcPr>
          <w:p w14:paraId="3899F03E" w14:textId="76D53E43" w:rsidR="00B160BF" w:rsidRPr="009D0774" w:rsidRDefault="00B160BF" w:rsidP="00D65AB7">
            <w:pPr>
              <w:jc w:val="center"/>
              <w:rPr>
                <w:b/>
                <w:sz w:val="20"/>
                <w:szCs w:val="20"/>
              </w:rPr>
            </w:pPr>
            <w:r w:rsidRPr="009D0774">
              <w:rPr>
                <w:b/>
                <w:sz w:val="20"/>
                <w:szCs w:val="20"/>
              </w:rPr>
              <w:t>Observed</w:t>
            </w:r>
          </w:p>
        </w:tc>
        <w:tc>
          <w:tcPr>
            <w:tcW w:w="1080" w:type="dxa"/>
            <w:shd w:val="clear" w:color="auto" w:fill="C6D9F1" w:themeFill="text2" w:themeFillTint="33"/>
            <w:vAlign w:val="center"/>
          </w:tcPr>
          <w:p w14:paraId="04A251F8" w14:textId="5A360D01" w:rsidR="00B160BF" w:rsidRPr="009D0774" w:rsidRDefault="00B160BF" w:rsidP="00D65AB7">
            <w:pPr>
              <w:jc w:val="center"/>
              <w:rPr>
                <w:sz w:val="20"/>
                <w:szCs w:val="20"/>
              </w:rPr>
            </w:pPr>
            <w:r w:rsidRPr="009D0774">
              <w:rPr>
                <w:sz w:val="20"/>
                <w:szCs w:val="20"/>
              </w:rPr>
              <w:t>Empirical</w:t>
            </w:r>
          </w:p>
        </w:tc>
        <w:tc>
          <w:tcPr>
            <w:tcW w:w="1170" w:type="dxa"/>
            <w:shd w:val="clear" w:color="auto" w:fill="C6D9F1" w:themeFill="text2" w:themeFillTint="33"/>
            <w:vAlign w:val="center"/>
          </w:tcPr>
          <w:p w14:paraId="622F4998" w14:textId="4C49CC64" w:rsidR="00B160BF" w:rsidRPr="009D0774" w:rsidRDefault="00B160BF" w:rsidP="00D65AB7">
            <w:pPr>
              <w:jc w:val="center"/>
              <w:rPr>
                <w:sz w:val="20"/>
                <w:szCs w:val="20"/>
              </w:rPr>
            </w:pPr>
            <w:r w:rsidRPr="009D0774">
              <w:rPr>
                <w:sz w:val="20"/>
                <w:szCs w:val="20"/>
              </w:rPr>
              <w:t>Empirical</w:t>
            </w:r>
          </w:p>
        </w:tc>
        <w:tc>
          <w:tcPr>
            <w:tcW w:w="1080" w:type="dxa"/>
            <w:shd w:val="clear" w:color="auto" w:fill="C6D9F1" w:themeFill="text2" w:themeFillTint="33"/>
            <w:vAlign w:val="center"/>
          </w:tcPr>
          <w:p w14:paraId="4B273664" w14:textId="62B9A9B9" w:rsidR="00B160BF" w:rsidRPr="009D0774" w:rsidRDefault="00C7026D" w:rsidP="00D65AB7">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170" w:type="dxa"/>
            <w:shd w:val="clear" w:color="auto" w:fill="C6D9F1" w:themeFill="text2" w:themeFillTint="33"/>
            <w:vAlign w:val="center"/>
          </w:tcPr>
          <w:p w14:paraId="3A5E82EE" w14:textId="4CE3018B" w:rsidR="00B160BF" w:rsidRPr="009D0774" w:rsidRDefault="00C7026D"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170" w:type="dxa"/>
            <w:shd w:val="clear" w:color="auto" w:fill="auto"/>
            <w:vAlign w:val="center"/>
          </w:tcPr>
          <w:p w14:paraId="56D1ADD1" w14:textId="197A6F99" w:rsidR="00B160BF" w:rsidRPr="009D0774" w:rsidRDefault="00B160BF" w:rsidP="00D65AB7">
            <w:pPr>
              <w:jc w:val="center"/>
              <w:rPr>
                <w:sz w:val="20"/>
                <w:szCs w:val="20"/>
              </w:rPr>
            </w:pPr>
            <w:r w:rsidRPr="009D0774">
              <w:rPr>
                <w:sz w:val="20"/>
                <w:szCs w:val="20"/>
              </w:rPr>
              <w:t>0.78</w:t>
            </w:r>
          </w:p>
        </w:tc>
        <w:tc>
          <w:tcPr>
            <w:tcW w:w="720" w:type="dxa"/>
            <w:vAlign w:val="center"/>
          </w:tcPr>
          <w:p w14:paraId="61495B5E" w14:textId="23C6D666" w:rsidR="00B160BF" w:rsidRPr="00786B9B" w:rsidRDefault="00B160BF" w:rsidP="007C15E6">
            <w:pPr>
              <w:jc w:val="center"/>
              <w:rPr>
                <w:sz w:val="20"/>
                <w:szCs w:val="20"/>
              </w:rPr>
            </w:pPr>
            <w:r w:rsidRPr="00786B9B">
              <w:rPr>
                <w:sz w:val="20"/>
                <w:szCs w:val="20"/>
              </w:rPr>
              <w:t>0.32</w:t>
            </w:r>
          </w:p>
        </w:tc>
        <w:tc>
          <w:tcPr>
            <w:tcW w:w="1440" w:type="dxa"/>
            <w:vAlign w:val="center"/>
          </w:tcPr>
          <w:p w14:paraId="4505FE19" w14:textId="6AABB604" w:rsidR="00B160BF" w:rsidRPr="009D0774" w:rsidRDefault="00B160BF" w:rsidP="009D0774">
            <w:pPr>
              <w:jc w:val="center"/>
              <w:rPr>
                <w:b/>
                <w:sz w:val="20"/>
                <w:szCs w:val="20"/>
              </w:rPr>
            </w:pPr>
            <w:r>
              <w:rPr>
                <w:b/>
                <w:sz w:val="20"/>
                <w:szCs w:val="20"/>
              </w:rPr>
              <w:t>--</w:t>
            </w:r>
          </w:p>
        </w:tc>
      </w:tr>
    </w:tbl>
    <w:p w14:paraId="2D8145F1" w14:textId="330E89D2" w:rsidR="00BE2545" w:rsidRPr="00167FD3" w:rsidRDefault="00BE2545">
      <w:r>
        <w:rPr>
          <w:b/>
        </w:rPr>
        <w:br w:type="page"/>
      </w:r>
    </w:p>
    <w:p w14:paraId="383A7E96" w14:textId="1BAF41F0" w:rsidR="00F539C6" w:rsidRPr="001850C4" w:rsidRDefault="00F539C6">
      <w:pPr>
        <w:rPr>
          <w:b/>
        </w:rPr>
      </w:pPr>
      <w:r w:rsidRPr="001850C4">
        <w:rPr>
          <w:b/>
        </w:rPr>
        <w:lastRenderedPageBreak/>
        <w:t>DISCUSSION</w:t>
      </w:r>
    </w:p>
    <w:p w14:paraId="0A3EFFA7" w14:textId="77777777" w:rsidR="00575CD5" w:rsidRDefault="00575CD5" w:rsidP="00575CD5">
      <w:r>
        <w:t>Our results can help inform decision-makers about the time window they can expect a population to resist a cholera outbreak even if the pathogen were to be introduced. During this window, WASH interventions can be scaled-up to provide longer-term protection, or a data-driven routine re-vaccination schedule can be determined. We developed an interactive tool to facilitate implementation of these results for a user-defined setting (</w:t>
      </w:r>
      <w:hyperlink r:id="rId13" w:history="1">
        <w:r w:rsidRPr="001C5656">
          <w:rPr>
            <w:rStyle w:val="Hyperlink"/>
          </w:rPr>
          <w:t>https://coreypeak.shinyapps.io/herd_protection_estimator/</w:t>
        </w:r>
      </w:hyperlink>
      <w:r>
        <w:t>)</w:t>
      </w:r>
      <w:r w:rsidRPr="00546529">
        <w:t>.</w:t>
      </w:r>
    </w:p>
    <w:p w14:paraId="52F2711F" w14:textId="77777777" w:rsidR="00575CD5" w:rsidRDefault="00575CD5" w:rsidP="00575CD5"/>
    <w:p w14:paraId="7AB15C96" w14:textId="16CD59D1" w:rsidR="00575CD5" w:rsidRDefault="00575CD5" w:rsidP="007A6AEE">
      <w:r>
        <w:t>One practical implementation of “Mass then Maintain” can include a high-coverage mass campaign followed by routine vaccination of new members of the population (through birth or immigration). Recent work has also shown serological triggers for periodic mass v</w:t>
      </w:r>
      <w:r w:rsidR="003B6D69">
        <w:t>accination can be an effective and efficient</w:t>
      </w:r>
      <w:r>
        <w:t xml:space="preserve"> method to maintain herd immunity.</w:t>
      </w:r>
      <w:r>
        <w:fldChar w:fldCharType="begin" w:fldLock="1"/>
      </w:r>
      <w:r w:rsidR="00AE6CD2">
        <w:instrText>ADDIN CSL_CITATION { "citationItems" : [ { "id" : "ITEM-1", "itemData" : { "DOI" : "10.1371/journal.pmed.1002144", "ISSN" : "1549-1676", "PMID" : "27727285", "abstract" : "BACKGROUND Routine vaccination supplemented by planned campaigns occurring at 2-5 y intervals is the core of current measles control and elimination efforts. Yet, large, unexpected outbreaks still occur, even when control measures appear effective. Supplementing these activities with mass vaccination campaigns triggered when low levels of measles immunity are observed in a sample of the population (i.e., serosurveys) or incident measles cases occur may provide a way to limit the size of outbreaks. METHODS AND FINDINGS Measles incidence was simulated using stochastic age-structured epidemic models in settings conducive to high or low measles incidence, roughly reflecting demographic contexts and measles vaccination coverage of four heterogeneous countries: Nepal, Niger, Yemen, and Zambia. Uncertainty in underlying vaccination rates was modeled. Scenarios with case- or serosurvey-triggered campaigns reaching 20% of the susceptible population were compared to scenarios without triggered campaigns. The best performing of the tested case-triggered campaigns prevent an average of 28,613 (95% CI 25,722-31,505) cases over 15 y in our highest incidence setting and 599 (95% CI 464-735) cases in the lowest incidence setting. Serosurvey-triggered campaigns can prevent 89,173 (95% CI, 86,768-91,577) and 744 (612-876) cases, respectively, but are triggered yearly in high-incidence settings. Triggered campaigns reduce the highest cumulative incidence seen in simulations by up to 80%. While the scenarios considered in this strategic modeling exercise are reflective of real populations, the exact quantitative interpretation of the results is limited by the simplifications in country structure, vaccination policy, and surveillance system performance. Careful investigation into the cost-effectiveness in different contexts would be essential before moving forward with implementation. CONCLUSIONS Serologically triggered campaigns could help prevent severe epidemics in the face of epidemiological and vaccination uncertainty. Hence, small-scale serology may serve as the basis for effective adaptive public health strategies, although, in high-incidence settings, case-triggered approaches are likely more efficient.", "author" : [ { "dropping-particle" : "", "family" : "Lessler", "given" : "Justin", "non-dropping-particle" : "", "parse-names" : false, "suffix" : "" }, { "dropping-particle" : "", "family" : "Metcalf", "given" : "C Jessica E", "non-dropping-particle" : "", "parse-names" : false, "suffix" : "" }, { "dropping-particle" : "", "family" : "Cutts", "given" : "Felicity T", "non-dropping-particle" : "", "parse-names" : false, "suffix" : "" }, { "dropping-particle" : "", "family" : "Grenfell", "given" : "Bryan T", "non-dropping-particle" : "", "parse-names" : false, "suffix" : "" } ], "container-title" : "PLoS medicine", "id" : "ITEM-1", "issue" : "10", "issued" : { "date-parts" : [ [ "2016" ] ] }, "page" : "e1002144", "title" : "Impact on Epidemic Measles of Vaccination Campaigns Triggered by Disease Outbreaks or Serosurveys: A Modeling Study.", "type" : "article-journal", "volume" : "13" }, "uris" : [ "http://www.mendeley.com/documents/?uuid=e206f074-1121-4eed-90db-45ddad3a80aa" ] } ], "mendeley" : { "formattedCitation" : "&lt;sup&gt;32&lt;/sup&gt;", "plainTextFormattedCitation" : "32", "previouslyFormattedCitation" : "&lt;sup&gt;32&lt;/sup&gt;" }, "properties" : { "noteIndex" : 0 }, "schema" : "https://github.com/citation-style-language/schema/raw/master/csl-citation.json" }</w:instrText>
      </w:r>
      <w:r>
        <w:fldChar w:fldCharType="separate"/>
      </w:r>
      <w:r w:rsidR="00380776" w:rsidRPr="00380776">
        <w:rPr>
          <w:noProof/>
          <w:vertAlign w:val="superscript"/>
        </w:rPr>
        <w:t>32</w:t>
      </w:r>
      <w:r>
        <w:fldChar w:fldCharType="end"/>
      </w:r>
      <w:r>
        <w:t xml:space="preserve"> The authors suggest th</w:t>
      </w:r>
      <w:r w:rsidR="003B6D69">
        <w:t xml:space="preserve">at in high-incidence areas (or </w:t>
      </w:r>
      <w:r>
        <w:t xml:space="preserve">when VE is moderate or low), serological triggers could come so often that frequent planned vaccinations may be more appropriate. Indeed, in our example with imperfect OCVs, at least annual mass vaccination may be needed to maintain herd immunity. </w:t>
      </w:r>
    </w:p>
    <w:p w14:paraId="08682F25" w14:textId="77777777" w:rsidR="00575CD5" w:rsidRDefault="00575CD5" w:rsidP="00575CD5"/>
    <w:p w14:paraId="100B7ACA" w14:textId="17AC5B35" w:rsidR="00575CD5" w:rsidRDefault="00575CD5" w:rsidP="00575CD5">
      <w:r>
        <w:t>Current guidelines for the optimal use of the OCV stockpile r</w:t>
      </w:r>
      <w:r w:rsidR="003B6D69">
        <w:t>ecommend the consideration of “a</w:t>
      </w:r>
      <w:r>
        <w:t>reas with i</w:t>
      </w:r>
      <w:r w:rsidR="007A6AEE">
        <w:t>mportant population movements”</w:t>
      </w:r>
      <w:r>
        <w:t>.</w:t>
      </w:r>
      <w:r w:rsidR="007A6AEE">
        <w:fldChar w:fldCharType="begin" w:fldLock="1"/>
      </w:r>
      <w:r w:rsidR="00AE6CD2">
        <w:instrText>ADDIN CSL_CITATION { "citationItems" : [ { "id" : "ITEM-1", "itemData" : { "author" : [ { "dropping-particle" : "", "family" : "World Health Organization", "given" : "", "non-dropping-particle" : "", "parse-names" : false, "suffix" : "" } ], "id" : "ITEM-1", "issued" : { "date-parts" : [ [ "2013" ] ] }, "publisher-place" : "Geneva, Switzerland", "title" : "Guidance on how to access the Oral Cholera Vaccine ( OCV ) from the ICG emergency stockpile", "type" : "report" }, "uris" : [ "http://www.mendeley.com/documents/?uuid=63e3ef5c-53f3-4b05-a43c-1628cd316e33" ] } ], "mendeley" : { "formattedCitation" : "&lt;sup&gt;33&lt;/sup&gt;", "plainTextFormattedCitation" : "33", "previouslyFormattedCitation" : "&lt;sup&gt;33&lt;/sup&gt;" }, "properties" : { "noteIndex" : 0 }, "schema" : "https://github.com/citation-style-language/schema/raw/master/csl-citation.json" }</w:instrText>
      </w:r>
      <w:r w:rsidR="007A6AEE">
        <w:fldChar w:fldCharType="separate"/>
      </w:r>
      <w:r w:rsidR="00380776" w:rsidRPr="00380776">
        <w:rPr>
          <w:noProof/>
          <w:vertAlign w:val="superscript"/>
        </w:rPr>
        <w:t>33</w:t>
      </w:r>
      <w:r w:rsidR="007A6AEE">
        <w:fldChar w:fldCharType="end"/>
      </w:r>
      <w:r w:rsidR="007A6AEE">
        <w:t xml:space="preserve"> </w:t>
      </w:r>
      <w:r>
        <w:t xml:space="preserve">The role of mobility in connecting a heterogeneous transmission landscape was demonstrated by </w:t>
      </w:r>
      <w:proofErr w:type="spellStart"/>
      <w:r>
        <w:t>Azman</w:t>
      </w:r>
      <w:proofErr w:type="spellEnd"/>
      <w:r>
        <w:t xml:space="preserve"> et al.</w:t>
      </w:r>
      <w:r>
        <w:fldChar w:fldCharType="begin" w:fldLock="1"/>
      </w:r>
      <w:r w:rsidR="00AE6CD2">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"mendeley" : { "formattedCitation" : "&lt;sup&gt;34&lt;/sup&gt;", "plainTextFormattedCitation" : "34", "previouslyFormattedCitation" : "&lt;sup&gt;34&lt;/sup&gt;" }, "properties" : { "noteIndex" : 0 }, "schema" : "https://github.com/citation-style-language/schema/raw/master/csl-citation.json" }</w:instrText>
      </w:r>
      <w:r>
        <w:fldChar w:fldCharType="separate"/>
      </w:r>
      <w:r w:rsidR="00380776" w:rsidRPr="00380776">
        <w:rPr>
          <w:noProof/>
          <w:vertAlign w:val="superscript"/>
        </w:rPr>
        <w:t>34</w:t>
      </w:r>
      <w:r>
        <w:fldChar w:fldCharType="end"/>
      </w:r>
      <w:r>
        <w:t xml:space="preserve"> </w:t>
      </w:r>
      <w:r w:rsidR="003B6D69">
        <w:t>H</w:t>
      </w:r>
      <w:r>
        <w:t>ere we</w:t>
      </w:r>
      <w:r w:rsidR="003B6D69">
        <w:t xml:space="preserve"> further</w:t>
      </w:r>
      <w:r>
        <w:t xml:space="preserve"> show there are two competing effects of high mobility on </w:t>
      </w:r>
      <w:r w:rsidR="007A6AEE">
        <w:t>expected vaccine impact</w:t>
      </w:r>
      <w:r>
        <w:t>. First, we expect settings with high migration rates to experience more frequent introduction of cholera, all else being equal. Therefore, the expected probability of an outbreak in a population with higher migration is larger. Second, settings with high migration rates will also experience faster waning of herd protection. Therefore, the expected benefit of mass vaccination has a shorter duration in high-mobility settings. Together, these forces would suggest that a setting with intermediate degree of mobility would have a moderate risk of cholera introduction but also a moderate duration of protection afforded by vaccination. In order to operationalize this finding, data on migration rates from sources such as censuses or mobile phone call data records must be collected to define “intermediate” mobility for a given context. We find that the optimal migration rate shifts lower (i.e., preferring less mobile populations) in settings with a high average R</w:t>
      </w:r>
      <w:r>
        <w:rPr>
          <w:vertAlign w:val="subscript"/>
        </w:rPr>
        <w:t>0</w:t>
      </w:r>
      <w:r>
        <w:t xml:space="preserve">. Our primary results assume an outbreak is at least 10 cases. If this threshold is increased to 100 or 1,000 cases, the probabilities of “outbreaks” decreases, but the optimal migration rate is not affected. These findings </w:t>
      </w:r>
      <w:r w:rsidR="0009137F">
        <w:t>focus only on</w:t>
      </w:r>
      <w:r>
        <w:t xml:space="preserve"> cholera</w:t>
      </w:r>
      <w:r w:rsidR="0009137F">
        <w:t xml:space="preserve"> outbreaks </w:t>
      </w:r>
      <w:r>
        <w:t>introduced through migratio</w:t>
      </w:r>
      <w:r w:rsidR="0009137F">
        <w:t>n and assume</w:t>
      </w:r>
      <w:r>
        <w:t xml:space="preserve"> that each imported infection is independent, that infectious cases are imported at the very beginning of their disease</w:t>
      </w:r>
      <w:r w:rsidR="0009137F">
        <w:t xml:space="preserve"> experience</w:t>
      </w:r>
      <w:r>
        <w:t>, and that the count of secondary cases follows a Poisson distribution.</w:t>
      </w:r>
      <w:r>
        <w:fldChar w:fldCharType="begin" w:fldLock="1"/>
      </w:r>
      <w:r w:rsidR="00AE6CD2">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"&lt;sup&gt;22&lt;/sup&gt;", "plainTextFormattedCitation" : "22", "previouslyFormattedCitation" : "&lt;sup&gt;22&lt;/sup&gt;" }, "properties" : { "noteIndex" : 0 }, "schema" : "https://github.com/citation-style-language/schema/raw/master/csl-citation.json" }</w:instrText>
      </w:r>
      <w:r>
        <w:fldChar w:fldCharType="separate"/>
      </w:r>
      <w:r w:rsidR="00380776" w:rsidRPr="00380776">
        <w:rPr>
          <w:noProof/>
          <w:vertAlign w:val="superscript"/>
        </w:rPr>
        <w:t>22</w:t>
      </w:r>
      <w:r>
        <w:fldChar w:fldCharType="end"/>
      </w:r>
    </w:p>
    <w:p w14:paraId="0B74B373" w14:textId="77777777" w:rsidR="00FA75B1" w:rsidRDefault="00FA75B1"/>
    <w:p w14:paraId="371705BA" w14:textId="67FBB00A" w:rsidR="00F539C6" w:rsidRPr="006118CA" w:rsidRDefault="00575CD5">
      <w:r>
        <w:t>We demonstrate</w:t>
      </w:r>
      <w:r w:rsidR="00F539C6">
        <w:t xml:space="preserve"> that even for a population that recently underwent a mass OCV campaign, </w:t>
      </w:r>
      <w:r w:rsidR="008861F0">
        <w:t>there is a risk of cholera re-emergence in the near future</w:t>
      </w:r>
      <w:r w:rsidR="0061434F">
        <w:t>, but the probability of an outbreak can be reduced by high vaccine coverage</w:t>
      </w:r>
      <w:r w:rsidR="008861F0">
        <w:t>. Such re-emergence does not imply vaccine failure, but instead can result from population turnover, waning of direct effects, or pernicious seasonal forcing.</w:t>
      </w:r>
      <w:r w:rsidR="006118CA">
        <w:t xml:space="preserve"> Additionally, non-random mixing of populations can result in patches with outbreak potential within a population with an average R</w:t>
      </w:r>
      <w:r w:rsidR="006118CA">
        <w:rPr>
          <w:vertAlign w:val="subscript"/>
        </w:rPr>
        <w:t>e</w:t>
      </w:r>
      <w:r w:rsidR="006118CA">
        <w:t xml:space="preserve"> below the threshold of one</w:t>
      </w:r>
      <w:r w:rsidR="0009137F">
        <w:t>.</w:t>
      </w:r>
      <w:r w:rsidR="0009137F">
        <w:fldChar w:fldCharType="begin" w:fldLock="1"/>
      </w:r>
      <w:r w:rsidR="00AE6CD2">
        <w:instrText>ADDIN CSL_CITATION { "citationItems" : [ { "id" : "ITEM-1", "itemData" : { "author" : [ { "dropping-particle" : "", "family" : "Azman", "given" : "Andrew", "non-dropping-particle" : "", "parse-names" : false, "suffix" : "" }, { "dropping-particle" : "", "family" : "Luquero", "given" : "Francisco J", "non-dropping-particle" : "", "parse-names" : false, "suffix" : "" }, { "dropping-particle" : "", "family" : "Rodrigues", "given" : "Amabelia", "non-dropping-particle" : "", "parse-names" : false, "suffix" : "" }, { "dropping-particle" : "", "family" : "Grais", "given" : "Rebecca F", "non-dropping-particle" : "", "parse-names" : false, "suffix" : "" }, { "dropping-particle" : "", "family" : "Banga", "given" : "Cunhate Na", "non-dropping-particle" : "", "parse-names" : false, "suffix" : "" }, { "dropping-particle" : "", "family" : "Palma", "given" : "Pedro Pablo", "non-dropping-particle" : "", "parse-names" : false, "suffix" : "" }, { "dropping-particle" : "", "family" : "Grenfell", "given" : "Bryan T", "non-dropping-particle" : "", "parse-names" : false, "suffix" : "" }, { "dropping-particle" : "", "family" : "Lessler", "given" : "Justin", "non-dropping-particle" : "", "parse-names" : false, "suffix" : "" } ], "container-title" : "PLoS neglected tropical diseases", "id" : "ITEM-1", "issued" : { "date-parts" : [ [ "2012" ] ] }, "page" : "1-8", "title" : "Urban Cholera Transmission Hotspots and their Implications for Reactive Vaccination : Evidence from Bissau City", "type" : "article-journal" }, "uris" : [ "http://www.mendeley.com/documents/?uuid=b4f83783-53bf-4f43-bb50-7f7c2aa6f683" ] } ], "mendeley" : { "formattedCitation" : "&lt;sup&gt;35&lt;/sup&gt;", "plainTextFormattedCitation" : "35", "previouslyFormattedCitation" : "&lt;sup&gt;35&lt;/sup&gt;" }, "properties" : { "noteIndex" : 0 }, "schema" : "https://github.com/citation-style-language/schema/raw/master/csl-citation.json" }</w:instrText>
      </w:r>
      <w:r w:rsidR="0009137F">
        <w:fldChar w:fldCharType="separate"/>
      </w:r>
      <w:r w:rsidR="00380776" w:rsidRPr="00380776">
        <w:rPr>
          <w:noProof/>
          <w:vertAlign w:val="superscript"/>
        </w:rPr>
        <w:t>35</w:t>
      </w:r>
      <w:r w:rsidR="0009137F">
        <w:fldChar w:fldCharType="end"/>
      </w:r>
    </w:p>
    <w:p w14:paraId="0A04C24D" w14:textId="77777777" w:rsidR="0071157B" w:rsidRDefault="0071157B"/>
    <w:p w14:paraId="1231658F" w14:textId="7257E1AD" w:rsidR="00596D3C" w:rsidRDefault="0071157B" w:rsidP="00596D3C">
      <w:r>
        <w:t>Our results depend on se</w:t>
      </w:r>
      <w:r w:rsidR="00321F30">
        <w:t>v</w:t>
      </w:r>
      <w:r w:rsidR="00596D3C">
        <w:t xml:space="preserve">eral simplifying assumptions. By assuming a well-mixed population, we are assuming no heterogeneity in contact patterns or local reproductive numbers. In reality, we expect diseases, especially ones with environmental transmission characteristics like cholera, to exhibit substantial spatial heterogeneity in transmission intensity. In sub-regions with high transmission potential, outbreaks may be more likely to occur, but likewise other areas of the region with lower potential will have a probability of outbreaks lower than the mean effective reproductive number would here suggest. These differences become crucial if, as we may expect, migration may occur at higher rates in settings with higher transmission potential due to confounders like poverty and temporary infrastructures. In that case, we would expect the routine vaccination of migrants to be even more crucial. </w:t>
      </w:r>
    </w:p>
    <w:p w14:paraId="28EB1FBB" w14:textId="66A2E4D3" w:rsidR="0071157B" w:rsidRDefault="0071157B" w:rsidP="00F038DC"/>
    <w:p w14:paraId="762011A8" w14:textId="2E0C6DAD" w:rsidR="0016567C" w:rsidRDefault="0016567C" w:rsidP="00F038DC">
      <w:r>
        <w:t xml:space="preserve">The migration rates estimated from the three settings are intended for benchmarking and not to imply that these rates are </w:t>
      </w:r>
      <w:r w:rsidR="00596D3C">
        <w:t>constant, or generalizable, for the whole population</w:t>
      </w:r>
      <w:r>
        <w:t>.</w:t>
      </w:r>
      <w:r w:rsidR="00B41222">
        <w:t xml:space="preserve"> </w:t>
      </w:r>
      <w:r w:rsidR="007353D3">
        <w:t>However, the settings do exemplify the wide range of human mobility and its possible impact on OCV decision-making.</w:t>
      </w:r>
    </w:p>
    <w:p w14:paraId="0EB9B387" w14:textId="77777777" w:rsidR="003D3BBD" w:rsidRDefault="003D3BBD" w:rsidP="00F038DC"/>
    <w:p w14:paraId="0528FD51" w14:textId="4A92749B" w:rsidR="003D3BBD" w:rsidRDefault="003D3BBD" w:rsidP="00F038DC">
      <w:r>
        <w:t>Cholera vaccine efficacy has been shown to vary by age of recipient,</w:t>
      </w:r>
      <w:r w:rsidR="0009137F">
        <w:fldChar w:fldCharType="begin" w:fldLock="1"/>
      </w:r>
      <w:r w:rsidR="00AE6CD2">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"&lt;sup&gt;21&lt;/sup&gt;", "plainTextFormattedCitation" : "21", "previouslyFormattedCitation" : "&lt;sup&gt;21&lt;/sup&gt;" }, "properties" : { "noteIndex" : 0 }, "schema" : "https://github.com/citation-style-language/schema/raw/master/csl-citation.json" }</w:instrText>
      </w:r>
      <w:r w:rsidR="0009137F">
        <w:fldChar w:fldCharType="separate"/>
      </w:r>
      <w:r w:rsidR="00380776" w:rsidRPr="00380776">
        <w:rPr>
          <w:noProof/>
          <w:vertAlign w:val="superscript"/>
        </w:rPr>
        <w:t>21</w:t>
      </w:r>
      <w:r w:rsidR="0009137F">
        <w:fldChar w:fldCharType="end"/>
      </w:r>
      <w:r>
        <w:t xml:space="preserve"> however for simplicity we do not model this age structure in the main results.</w:t>
      </w:r>
      <w:r w:rsidR="00596D3C">
        <w:t xml:space="preserve"> If children are members of a mass vaccination campaign</w:t>
      </w:r>
      <w:r w:rsidR="0009137F">
        <w:t xml:space="preserve"> and respond poorly to OCV</w:t>
      </w:r>
      <w:r w:rsidR="00596D3C">
        <w:t>, we would expect herd immunity would wane more quickly, and especially so if children are disproport</w:t>
      </w:r>
      <w:r w:rsidR="0009137F">
        <w:t>ionate sources of transmission.</w:t>
      </w:r>
    </w:p>
    <w:p w14:paraId="5D8B4ED0" w14:textId="79B93738" w:rsidR="00A12181" w:rsidRDefault="00A12181" w:rsidP="00F038DC"/>
    <w:p w14:paraId="269CD9E9" w14:textId="16FA35E7" w:rsidR="00E87CB3" w:rsidRDefault="00101669" w:rsidP="00E87CB3">
      <w:r>
        <w:t xml:space="preserve">The model we </w:t>
      </w:r>
      <w:r w:rsidR="007353D3">
        <w:t xml:space="preserve">present </w:t>
      </w:r>
      <w:r>
        <w:t>is not limited to cholera</w:t>
      </w:r>
      <w:r w:rsidR="007353D3">
        <w:t xml:space="preserve"> or other diseases with only short-duration or leaky vaccines</w:t>
      </w:r>
      <w:r w:rsidR="00E87CB3">
        <w:t xml:space="preserve"> such as the typhoid </w:t>
      </w:r>
      <w:r w:rsidR="00FE63D9">
        <w:t>c</w:t>
      </w:r>
      <w:r w:rsidR="00601E61">
        <w:t>apsular polysaccharide vaccine</w:t>
      </w:r>
      <w:r w:rsidR="007353D3">
        <w:t>.</w:t>
      </w:r>
      <w:r w:rsidR="00601E61">
        <w:fldChar w:fldCharType="begin" w:fldLock="1"/>
      </w:r>
      <w:r w:rsidR="00AE6CD2">
        <w:instrText>ADDIN CSL_CITATION { "citationItems" : [ { "id" : "ITEM-1", "itemData" : { "container-title" : "MMWR", "id" : "ITEM-1", "issued" : { "date-parts" : [ [ "1994" ] ] }, "title" : "Recommendations of the Advisory Committee on Immunization Practices (ACIP): Typhoid Immunization", "type" : "article-journal", "volume" : "RR-14" }, "uris" : [ "http://www.mendeley.com/documents/?uuid=b377b3b0-3b67-4e5f-9341-cc4e6f0312ca" ] } ], "mendeley" : { "formattedCitation" : "&lt;sup&gt;36&lt;/sup&gt;", "plainTextFormattedCitation" : "36", "previouslyFormattedCitation" : "&lt;sup&gt;36&lt;/sup&gt;" }, "properties" : { "noteIndex" : 0 }, "schema" : "https://github.com/citation-style-language/schema/raw/master/csl-citation.json" }</w:instrText>
      </w:r>
      <w:r w:rsidR="00601E61">
        <w:fldChar w:fldCharType="separate"/>
      </w:r>
      <w:r w:rsidR="00380776" w:rsidRPr="00380776">
        <w:rPr>
          <w:noProof/>
          <w:vertAlign w:val="superscript"/>
        </w:rPr>
        <w:t>36</w:t>
      </w:r>
      <w:r w:rsidR="00601E61">
        <w:fldChar w:fldCharType="end"/>
      </w:r>
      <w:r w:rsidR="007353D3">
        <w:t xml:space="preserve"> We find the “Mass then Maintain” strategy continues to outperform </w:t>
      </w:r>
      <w:r w:rsidR="00E87CB3">
        <w:t>routine vaccination or periodic mass vaccination even when there is a perfect vaccine (i.e., VE=1 indefinitely). We also find that intermediate levels of migration continue to maximize vaccine impact for a perfect vaccine, but the optimal migration rate increases with vaccine performanc</w:t>
      </w:r>
      <w:r w:rsidR="00527DCB">
        <w:t>e</w:t>
      </w:r>
      <w:r w:rsidR="00A065FB">
        <w:t xml:space="preserve"> (</w:t>
      </w:r>
      <w:r w:rsidR="00002C0D">
        <w:t>Fig S5</w:t>
      </w:r>
      <w:r w:rsidR="00A065FB">
        <w:t>)</w:t>
      </w:r>
      <w:r w:rsidR="00527DCB">
        <w:t>.</w:t>
      </w:r>
      <w:r w:rsidR="00AE6CD2">
        <w:t xml:space="preserve"> These findings support the use of mass vaccination to quickly introduce a new vaccine that henceforth is to become a member of the routine immunization program, as was done when the Salk inactivated polio vaccine was licensed in the 1950’s and was distributed </w:t>
      </w:r>
      <w:r w:rsidR="00AE6CD2">
        <w:rPr>
          <w:i/>
        </w:rPr>
        <w:t>en masse</w:t>
      </w:r>
      <w:r w:rsidR="00AE6CD2">
        <w:t xml:space="preserve"> before becoming a routine childhood vaccine.</w:t>
      </w:r>
      <w:r w:rsidR="00AE6CD2">
        <w:fldChar w:fldCharType="begin" w:fldLock="1"/>
      </w:r>
      <w:r w:rsidR="00170BC3">
        <w:instrText>ADDIN CSL_CITATION { "citationItems" : [ { "id" : "ITEM-1",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"ITEM-1", "issued" : { "date-parts" : [ [ "2006" ] ] }, "page" : "1-16", "title" : "Mass vaccination: When and why", "type" : "article-journal", "volume" : "304" }, "uris" : [ "http://www.mendeley.com/documents/?uuid=e67bc3db-3ad1-43a7-92aa-7f2fe5f3b89a" ] } ], "mendeley" : { "formattedCitation" : "&lt;sup&gt;3&lt;/sup&gt;", "plainTextFormattedCitation" : "3", "previouslyFormattedCitation" : "&lt;sup&gt;3&lt;/sup&gt;" }, "properties" : { "noteIndex" : 0 }, "schema" : "https://github.com/citation-style-language/schema/raw/master/csl-citation.json" }</w:instrText>
      </w:r>
      <w:r w:rsidR="00AE6CD2">
        <w:fldChar w:fldCharType="separate"/>
      </w:r>
      <w:r w:rsidR="00AE6CD2" w:rsidRPr="00AE6CD2">
        <w:rPr>
          <w:noProof/>
          <w:vertAlign w:val="superscript"/>
        </w:rPr>
        <w:t>3</w:t>
      </w:r>
      <w:r w:rsidR="00AE6CD2">
        <w:fldChar w:fldCharType="end"/>
      </w:r>
    </w:p>
    <w:p w14:paraId="41BC4726" w14:textId="77777777" w:rsidR="00E87CB3" w:rsidRDefault="00E87CB3" w:rsidP="00E87CB3"/>
    <w:p w14:paraId="4EF38A31" w14:textId="78ADCC15" w:rsidR="00E87CB3" w:rsidRDefault="00FE63D9" w:rsidP="004B689C">
      <w:r>
        <w:t>The phenomenon of waning herd immunity also has strong implications on disease control strategies that include mass vaccination or “mop up” vaccination</w:t>
      </w:r>
      <w:r w:rsidR="004B689C">
        <w:t>, such as measles</w:t>
      </w:r>
      <w:r w:rsidR="00170BC3">
        <w:fldChar w:fldCharType="begin" w:fldLock="1"/>
      </w:r>
      <w:r w:rsidR="004B689C">
        <w:instrText>ADDIN CSL_CITATION { "citationItems" : [ { "id" : "ITEM-1", "itemData" : { "DOI" : "10.1016/S0140-6736(02)08517-3", "ISBN" : "0140-6736 (Print)\\n0140-6736 (Linking)", "ISSN" : "01406736", "PMID" : "12047966", "abstract" : "Background: Measles is the leading cause of vaccine-preventable death in Africa. Regional measles elimination is considered feasible using current vaccines and a series of WHO-recommended strategies. We aimed to interrupt transmission of measles, and to use case-based surveillance to show the effect of such interruption. Methods: In southern Africa from 1996, seven countries with a total population of approximately 70 million and with relatively high routine vaccination coverage implemented measles elimination strategies. In addition to routine measles immunisation at 9 months of age, these included nationwide catch-up campaigns among children aged 9months to 14 years, then follow-up campaigns every 3-4 years among children aged 9-59 months, and the establishment of case-based measles surveillance with serological diagnostic confirmation. Results: Nearly 24 million children aged 9 months to 14 years were vaccinated, with overall vaccination coverage of 91%. Reported clinical measles cases declined from 60 000 in 1996 to 117 laboratory-confirmed measles cases in 2000. Reported measles deaths declined from 166 in 1996 to zero in 2000. No increase in adverse events was noted after the measles vaccination campaign. Conclusion: A reduction in measles mortality and morbidity can be achieved in very low-income countries, in countries that split their vaccination campaigns by geographical area or by age-group of the target population, and where initial routine measles vaccination coverage among infants was &lt;90%, even when prevalance of HIV/AIDS was extremely high. Continued high-level national commitment will be crucial to implementation and maintenance of proven strategies in southern Africa.", "author" : [ { "dropping-particle" : "", "family" : "Biellik", "given" : "Robin", "non-dropping-particle" : "", "parse-names" : false, "suffix" : "" }, { "dropping-particle" : "", "family" : "Madema", "given" : "Simon", "non-dropping-particle" : "", "parse-names" : false, "suffix" : "" }, { "dropping-particle" : "", "family" : "Taole", "given" : "Anne", "non-dropping-particle" : "", "parse-names" : false, "suffix" : "" }, { "dropping-particle" : "", "family" : "Kutsulukuta", "given" : "Agnes", "non-dropping-particle" : "", "parse-names" : false, "suffix" : "" }, { "dropping-particle" : "", "family" : "Allies", "given" : "Ernestina", "non-dropping-particle" : "", "parse-names" : false, "suffix" : "" }, { "dropping-particle" : "", "family" : "Eggers", "given" : "Rudi", "non-dropping-particle" : "", "parse-names" : false, "suffix" : "" }, { "dropping-particle" : "", "family" : "Ngcobo", "given" : "Ntombenhle", "non-dropping-particle" : "", "parse-names" : false, "suffix" : "" }, { "dropping-particle" : "", "family" : "Nxumalo", "given" : "Mavis", "non-dropping-particle" : "", "parse-names" : false, "suffix" : "" }, { "dropping-particle" : "", "family" : "Shearley", "given" : "Adelaide", "non-dropping-particle" : "", "parse-names" : false, "suffix" : "" }, { "dropping-particle" : "", "family" : "Mabuzane", "given" : "Egleah", "non-dropping-particle" : "", "parse-names" : false, "suffix" : "" }, { "dropping-particle" : "", "family" : "Kufa", "given" : "Erica", "non-dropping-particle" : "", "parse-names" : false, "suffix" : "" }, { "dropping-particle" : "", "family" : "Okwo-Bele", "given" : "Jean Marie", "non-dropping-particle" : "", "parse-names" : false, "suffix" : "" } ], "container-title" : "Lancet", "id" : "ITEM-1", "issue" : "9317", "issued" : { "date-parts" : [ [ "2002" ] ] }, "page" : "1564-1568", "title" : "First 5 years of measles elimination in southern Africa: 1996-2000", "type" : "article-journal", "volume" : "359" }, "uris" : [ "http://www.mendeley.com/documents/?uuid=e181eed5-2c3b-42bd-a854-f1545bb62b89" ] } ], "mendeley" : { "formattedCitation" : "&lt;sup&gt;37&lt;/sup&gt;", "plainTextFormattedCitation" : "37", "previouslyFormattedCitation" : "&lt;sup&gt;37&lt;/sup&gt;" }, "properties" : { "noteIndex" : 0 }, "schema" : "https://github.com/citation-style-language/schema/raw/master/csl-citation.json" }</w:instrText>
      </w:r>
      <w:r w:rsidR="00170BC3">
        <w:fldChar w:fldCharType="separate"/>
      </w:r>
      <w:r w:rsidR="00170BC3" w:rsidRPr="00170BC3">
        <w:rPr>
          <w:noProof/>
          <w:vertAlign w:val="superscript"/>
        </w:rPr>
        <w:t>37</w:t>
      </w:r>
      <w:r w:rsidR="00170BC3">
        <w:fldChar w:fldCharType="end"/>
      </w:r>
      <w:r w:rsidR="004B689C">
        <w:t xml:space="preserve"> and yellow fever.</w:t>
      </w:r>
      <w:r w:rsidR="004B689C">
        <w:fldChar w:fldCharType="begin" w:fldLock="1"/>
      </w:r>
      <w:r w:rsidR="004B689C">
        <w:instrText>ADDIN CSL_CITATION { "citationItems" : [ { "id" : "ITEM-1", "itemData" : { "author" : [ { "dropping-particle" : "", "family" : "WHO-UNICEF", "given" : "", "non-dropping-particle" : "", "parse-names" : false, "suffix" : "" } ], "id" : "ITEM-1", "issued" : { "date-parts" : [ [ "2010" ] ] }, "number-of-pages" : "4", "title" : "Yellow Fever Initiative: Providing an opportunity of a lifetime", "type" : "report" }, "uris" : [ "http://www.mendeley.com/documents/?uuid=bef8840a-5883-40e6-9d97-e2e4fdb26066" ] } ], "mendeley" : { "formattedCitation" : "&lt;sup&gt;38&lt;/sup&gt;", "plainTextFormattedCitation" : "38" }, "properties" : { "noteIndex" : 0 }, "schema" : "https://github.com/citation-style-language/schema/raw/master/csl-citation.json" }</w:instrText>
      </w:r>
      <w:r w:rsidR="004B689C">
        <w:fldChar w:fldCharType="separate"/>
      </w:r>
      <w:r w:rsidR="004B689C" w:rsidRPr="004B689C">
        <w:rPr>
          <w:noProof/>
          <w:vertAlign w:val="superscript"/>
        </w:rPr>
        <w:t>38</w:t>
      </w:r>
      <w:r w:rsidR="004B689C">
        <w:fldChar w:fldCharType="end"/>
      </w:r>
      <w:r>
        <w:t xml:space="preserve"> For yellow fever in particular, fractional vaccine doses have been used to extend vaccine supply under the assumption that VE of fractional doses lasts at least one year.</w:t>
      </w:r>
      <w:r w:rsidR="00A61C71">
        <w:fldChar w:fldCharType="begin" w:fldLock="1"/>
      </w:r>
      <w:r w:rsidR="004B689C">
        <w:instrText>ADDIN CSL_CITATION { "citationItems" : [ { "id" : "ITEM-1", "itemData" : { "DOI" : "10.1016/S0140-6736(16)31838-4", "ISSN" : "01406736", "author" : [ { "dropping-particle" : "", "family" : "Wu", "given" : "Joseph T", "non-dropping-particle" : "", "parse-names" : false, "suffix" : "" }, { "dropping-particle" : "", "family" : "Peak", "given" : "Corey M", "non-dropping-particle" : "", "parse-names" : false, "suffix" : "" }, { "dropping-particle" : "", "family" : "Leung", "given" : "Gabriel M", "non-dropping-particle" : "", "parse-names" : false, "suffix" : "" }, { "dropping-particle" : "", "family" : "Lipsitch", "given" : "Marc", "non-dropping-particle" : "", "parse-names" : false, "suffix" : "" } ], "container-title" : "The Lancet", "id" : "ITEM-1", "issue" : "16", "issued" : { "date-parts" : [ [ "2016", "11" ] ] }, "page" : "053421", "publisher" : "Elsevier Ltd", "title" : "Fractional dosing of yellow fever vaccine to extend supply: a modelling study", "type" : "article-journal", "volume" : "6736" }, "uris" : [ "http://www.mendeley.com/documents/?uuid=3839998a-ef83-4e97-acdf-bcfce5dde720" ] } ], "mendeley" : { "formattedCitation" : "&lt;sup&gt;39&lt;/sup&gt;", "plainTextFormattedCitation" : "39", "previouslyFormattedCitation" : "&lt;sup&gt;38&lt;/sup&gt;" }, "properties" : { "noteIndex" : 0 }, "schema" : "https://github.com/citation-style-language/schema/raw/master/csl-citation.json" }</w:instrText>
      </w:r>
      <w:r w:rsidR="00A61C71">
        <w:fldChar w:fldCharType="separate"/>
      </w:r>
      <w:r w:rsidR="004B689C" w:rsidRPr="004B689C">
        <w:rPr>
          <w:noProof/>
          <w:vertAlign w:val="superscript"/>
        </w:rPr>
        <w:t>39</w:t>
      </w:r>
      <w:r w:rsidR="00A61C71">
        <w:fldChar w:fldCharType="end"/>
      </w:r>
      <w:r>
        <w:t xml:space="preserve"> </w:t>
      </w:r>
      <w:r w:rsidR="00380776">
        <w:t>Following the mass vaccination of 25 million people in Angola and The Democratic Republic of the Congo, routine vaccination may be the most efficient way to hencefo</w:t>
      </w:r>
      <w:r w:rsidR="00770127">
        <w:t>rth sustain herd immunity in the</w:t>
      </w:r>
      <w:r w:rsidR="00380776">
        <w:t>s</w:t>
      </w:r>
      <w:r w:rsidR="00770127">
        <w:t>e</w:t>
      </w:r>
      <w:r w:rsidR="00380776">
        <w:t xml:space="preserve"> population</w:t>
      </w:r>
      <w:r w:rsidR="00770127">
        <w:t>s,</w:t>
      </w:r>
      <w:r w:rsidR="00380776">
        <w:t xml:space="preserve"> should</w:t>
      </w:r>
      <w:r w:rsidR="00770127">
        <w:t xml:space="preserve"> this</w:t>
      </w:r>
      <w:r w:rsidR="00380776">
        <w:t xml:space="preserve"> be the goal. </w:t>
      </w:r>
      <w:r>
        <w:t>Human mobility and waning herd immunity are key considerations for when these urban populations should be revaccinated.</w:t>
      </w:r>
    </w:p>
    <w:p w14:paraId="3E9F5610" w14:textId="77777777" w:rsidR="00D552F7" w:rsidRDefault="00D552F7" w:rsidP="00F038DC"/>
    <w:p w14:paraId="135FD3EF" w14:textId="77777777" w:rsidR="002B44C8" w:rsidRDefault="002B44C8">
      <w:pPr>
        <w:rPr>
          <w:b/>
        </w:rPr>
      </w:pPr>
      <w:r>
        <w:rPr>
          <w:b/>
        </w:rPr>
        <w:br w:type="page"/>
      </w:r>
    </w:p>
    <w:p w14:paraId="28C18944" w14:textId="79E64E89" w:rsidR="00D552F7" w:rsidRDefault="002F22F3" w:rsidP="00F038DC">
      <w:r>
        <w:rPr>
          <w:b/>
        </w:rPr>
        <w:lastRenderedPageBreak/>
        <w:t>FIGURE CAPTIONS</w:t>
      </w:r>
    </w:p>
    <w:p w14:paraId="657F9299" w14:textId="77777777" w:rsidR="00700D43" w:rsidRDefault="00700D43" w:rsidP="00F038DC"/>
    <w:p w14:paraId="1A85EB6E" w14:textId="4DFC94BF" w:rsidR="007914F5" w:rsidRDefault="007914F5" w:rsidP="007914F5">
      <w:r>
        <w:rPr>
          <w:b/>
        </w:rPr>
        <w:t>Fig 1. Compartmental model framework.</w:t>
      </w:r>
      <w:r>
        <w:t xml:space="preserve"> </w:t>
      </w:r>
    </w:p>
    <w:p w14:paraId="1EA5A07F" w14:textId="200B3F42" w:rsidR="007914F5" w:rsidRDefault="007914F5" w:rsidP="007914F5">
      <w:r>
        <w:t>Individuals in a well-mixed population include</w:t>
      </w:r>
      <w:r w:rsidR="002B1D6D">
        <w:t xml:space="preserve"> explicit compartments for</w:t>
      </w:r>
      <w:r>
        <w:t xml:space="preserve"> susceptible (</w:t>
      </w:r>
      <m:oMath>
        <m:r>
          <w:rPr>
            <w:rFonts w:ascii="Cambria Math" w:hAnsi="Cambria Math"/>
          </w:rPr>
          <m:t>S</m:t>
        </m:r>
      </m:oMath>
      <w:r>
        <w:t>) and vaccinated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V</m:t>
            </m:r>
          </m:e>
          <m:sub>
            <m:r>
              <w:rPr>
                <w:rFonts w:ascii="Cambria Math" w:hAnsi="Cambria Math"/>
              </w:rPr>
              <m:t>n</m:t>
            </m:r>
          </m:sub>
        </m:sSub>
      </m:oMath>
      <w:r w:rsidR="002B1D6D">
        <w:t>). Individuals enter and leave the system through birth, death, and migration (grey dashed arrows) and progress between stages in the population (black arrows). The force of infection for individuals in a compartment V</w:t>
      </w:r>
      <w:r w:rsidR="002B1D6D">
        <w:rPr>
          <w:vertAlign w:val="subscript"/>
        </w:rPr>
        <w:t>i</w:t>
      </w:r>
      <w:r w:rsidR="002B1D6D">
        <w:t xml:space="preserve"> is reduced by a factor of </w:t>
      </w:r>
      <m:oMath>
        <m:r>
          <w:rPr>
            <w:rFonts w:ascii="Cambria Math" w:hAnsi="Cambria Math"/>
          </w:rPr>
          <m:t>1-VE(i)</m:t>
        </m:r>
      </m:oMath>
      <w:r w:rsidR="002B1D6D">
        <w:t xml:space="preserve">. Disease progression compartments for exposed but not yet infectious (E), infectious (I), and recovered (R) are shown, but are not explicitly modeled due to the focus of this study on vaccine-derived herd immunity. We show </w:t>
      </w:r>
      <w:r>
        <w:t xml:space="preserve">a direct disease transmission process and a leaky vaccine action model. </w:t>
      </w:r>
    </w:p>
    <w:p w14:paraId="64E9062D" w14:textId="77777777" w:rsidR="007914F5" w:rsidRDefault="007914F5" w:rsidP="00F038DC"/>
    <w:p w14:paraId="11875F02" w14:textId="2D4076AC" w:rsidR="001B42D3" w:rsidRDefault="00D60633" w:rsidP="00F038DC">
      <w:pPr>
        <w:rPr>
          <w:b/>
        </w:rPr>
      </w:pPr>
      <w:r>
        <w:rPr>
          <w:b/>
        </w:rPr>
        <w:t>Fig 2</w:t>
      </w:r>
      <w:r w:rsidR="00700D43" w:rsidRPr="00700D43">
        <w:rPr>
          <w:b/>
        </w:rPr>
        <w:t>. Changes in the proportion of the population susceptible (</w:t>
      </w:r>
      <w:proofErr w:type="gramStart"/>
      <m:oMath>
        <m:r>
          <m:rPr>
            <m:sty m:val="bi"/>
          </m:rPr>
          <w:rPr>
            <w:rFonts w:ascii="Cambria Math" w:hAnsi="Cambria Math"/>
          </w:rPr>
          <m:t>X(</m:t>
        </m:r>
        <w:proofErr w:type="gramEnd"/>
        <m:r>
          <m:rPr>
            <m:sty m:val="bi"/>
          </m:rPr>
          <w:rPr>
            <w:rFonts w:ascii="Cambria Math" w:hAnsi="Cambria Math"/>
          </w:rPr>
          <m:t>t)</m:t>
        </m:r>
      </m:oMath>
      <w:r w:rsidR="00700D43" w:rsidRPr="00700D43">
        <w:rPr>
          <w:b/>
        </w:rPr>
        <w:t>) as a function of years since vaccination</w:t>
      </w:r>
      <w:r w:rsidR="00700D43">
        <w:rPr>
          <w:b/>
        </w:rPr>
        <w:t xml:space="preserve">. </w:t>
      </w:r>
    </w:p>
    <w:p w14:paraId="6A27E26D" w14:textId="1154944A" w:rsidR="00700D43" w:rsidRDefault="00700D43" w:rsidP="00F038DC">
      <w:r>
        <w:t xml:space="preserve">Population susceptibility following mass vaccination </w:t>
      </w:r>
      <w:r w:rsidR="00A12927">
        <w:t xml:space="preserve">(100% coverage) of WC </w:t>
      </w:r>
      <w:r>
        <w:t>and a hypothetical vaccine with VE=1 increases more quickly in the presence of high migration rates</w:t>
      </w:r>
      <w:r w:rsidR="00023E37">
        <w:t xml:space="preserve"> </w:t>
      </w:r>
      <w:r>
        <w:t>(</w:t>
      </w:r>
      <w:r w:rsidR="00841525">
        <w:t>solid</w:t>
      </w:r>
      <w:r>
        <w:t xml:space="preserve"> lines)</w:t>
      </w:r>
      <w:r w:rsidR="009549C9">
        <w:t xml:space="preserve"> as compared to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9549C9">
        <w:t>(</w:t>
      </w:r>
      <w:r w:rsidR="00A12927">
        <w:t>dashed</w:t>
      </w:r>
      <w:r w:rsidR="009549C9">
        <w:t xml:space="preserve"> lines) or no migration (</w:t>
      </w:r>
      <w:r w:rsidR="00841525">
        <w:t>dotted</w:t>
      </w:r>
      <w:r w:rsidR="009549C9">
        <w:t xml:space="preserve"> lines)</w:t>
      </w:r>
      <w:r>
        <w:t>.</w:t>
      </w:r>
      <w:r w:rsidR="004737E0">
        <w:t xml:space="preserve"> </w:t>
      </w:r>
    </w:p>
    <w:p w14:paraId="74D4141A" w14:textId="77777777" w:rsidR="00700D43" w:rsidRDefault="00700D43" w:rsidP="00F038DC"/>
    <w:p w14:paraId="5CE2A6E3" w14:textId="365A3564" w:rsidR="001B42D3" w:rsidRDefault="00002C0D" w:rsidP="00F038DC">
      <w:r>
        <w:rPr>
          <w:b/>
        </w:rPr>
        <w:t>Fig 3</w:t>
      </w:r>
      <w:r w:rsidR="00700D43">
        <w:rPr>
          <w:b/>
        </w:rPr>
        <w:t xml:space="preserve">. </w:t>
      </w:r>
      <w:proofErr w:type="gramStart"/>
      <w:r w:rsidR="00700D43">
        <w:rPr>
          <w:b/>
        </w:rPr>
        <w:t>Changes in the probability of an outbreak as a function of years since vaccination.</w:t>
      </w:r>
      <w:proofErr w:type="gramEnd"/>
      <w:r w:rsidR="00700D43">
        <w:t xml:space="preserve"> </w:t>
      </w:r>
    </w:p>
    <w:p w14:paraId="46B73293" w14:textId="7AD01C2F" w:rsidR="000E7967" w:rsidRDefault="00700D43" w:rsidP="00F038DC">
      <w:r>
        <w:t xml:space="preserve">The probability of an outbreak, defined </w:t>
      </w:r>
      <w:r w:rsidR="00023E37">
        <w:t>as at least 10 transmission events following a single introduction, increases with time since mass vac</w:t>
      </w:r>
      <w:r w:rsidR="00A12927">
        <w:t xml:space="preserve">cination (100% coverage) of WC </w:t>
      </w:r>
      <w:r w:rsidR="00023E37">
        <w:t>and a hypothetical vaccine with VE=1</w:t>
      </w:r>
      <w:r w:rsidR="00A12927">
        <w:t xml:space="preserve"> for all time</w:t>
      </w:r>
      <w:r w:rsidR="00023E37">
        <w:t>. Settings with basic reproductive numbers of 1 (blue), 1.5 (green), and 2 (red) h</w:t>
      </w:r>
      <w:r w:rsidR="00A12927">
        <w:t>ave increasingly high asymptotic outbreak probabilities</w:t>
      </w:r>
      <w:r w:rsidR="00023E37">
        <w:t xml:space="preserve"> of 24.6% (horizontal grey line), 59.7%, and 79.7%, respectively. Settings with high migration rates for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0D703C">
        <w:t xml:space="preserve"> </w:t>
      </w:r>
      <w:r w:rsidR="00023E37">
        <w:t>(</w:t>
      </w:r>
      <w:r w:rsidR="00841525">
        <w:t>solid</w:t>
      </w:r>
      <w:r w:rsidR="00023E37">
        <w:t xml:space="preserve"> lines) demonstrate substantially faster growth in the probability of an outbreak than settings with low migration rates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D703C">
        <w:t xml:space="preserve"> </w:t>
      </w:r>
      <w:r w:rsidR="00023E37">
        <w:t>(</w:t>
      </w:r>
      <w:r w:rsidR="00AE249C">
        <w:t>dashed</w:t>
      </w:r>
      <w:r w:rsidR="00023E37">
        <w:t xml:space="preserve"> lines).</w:t>
      </w:r>
    </w:p>
    <w:p w14:paraId="2EE559C8" w14:textId="77777777" w:rsidR="00002C0D" w:rsidRDefault="00002C0D" w:rsidP="00002C0D"/>
    <w:p w14:paraId="2FB212E4" w14:textId="15E15CA6" w:rsidR="00002C0D" w:rsidRDefault="00002C0D" w:rsidP="00002C0D">
      <w:pPr>
        <w:rPr>
          <w:b/>
        </w:rPr>
      </w:pPr>
      <w:r>
        <w:rPr>
          <w:b/>
        </w:rPr>
        <w:t>Fig 4. Vaccine strategies to maximize DHI.</w:t>
      </w:r>
    </w:p>
    <w:p w14:paraId="5D8B885F" w14:textId="77777777" w:rsidR="00002C0D" w:rsidRPr="001B42D3" w:rsidRDefault="00002C0D" w:rsidP="00002C0D">
      <w:pPr>
        <w:rPr>
          <w:b/>
        </w:rPr>
      </w:pPr>
      <w:r w:rsidRPr="006F2CC8">
        <w:t>(A)</w:t>
      </w:r>
      <w:r>
        <w:t xml:space="preserve"> </w:t>
      </w:r>
      <w:r w:rsidRPr="006F2CC8">
        <w:t>Recurring</w:t>
      </w:r>
      <w:r>
        <w:t xml:space="preserve"> mass vaccination with 100% coverage of </w:t>
      </w:r>
      <w:proofErr w:type="spellStart"/>
      <w:r>
        <w:t>susceptibles</w:t>
      </w:r>
      <w:proofErr w:type="spellEnd"/>
      <w:r>
        <w:t xml:space="preserve"> every year (dashed line) or two years (dotted line) is shown to periodically achieve then lose herd immunity, as recorded by the faded horizontal lines below. (B) Mass vaccination of 80% followed by routine vaccination of 8 (green), 12 (teal), or 16 (purple) individuals per day is shown to maximize DHI. (C) Routine vaccination only. The following are held constant for all simulations: population size = 10,000; maximum vaccine courses = 30,000; R</w:t>
      </w:r>
      <w:r>
        <w:rPr>
          <w:vertAlign w:val="subscript"/>
        </w:rPr>
        <w:t>0</w:t>
      </w:r>
      <w:r>
        <w:t xml:space="preserve"> = 1.5; migration rate = </w:t>
      </w:r>
      <m:oMath>
        <m:f>
          <m:fPr>
            <m:ctrlPr>
              <w:rPr>
                <w:rFonts w:ascii="Cambria Math" w:hAnsi="Cambria Math"/>
                <w:i/>
              </w:rPr>
            </m:ctrlPr>
          </m:fPr>
          <m:num>
            <m:r>
              <w:rPr>
                <w:rFonts w:ascii="Cambria Math" w:hAnsi="Cambria Math"/>
              </w:rPr>
              <m:t>1</m:t>
            </m:r>
          </m:num>
          <m:den>
            <m:r>
              <w:rPr>
                <w:rFonts w:ascii="Cambria Math" w:hAnsi="Cambria Math"/>
              </w:rPr>
              <m:t>2 years</m:t>
            </m:r>
          </m:den>
        </m:f>
      </m:oMath>
      <w:r>
        <w:t xml:space="preserve">; and birth and death rates = </w:t>
      </w:r>
      <m:oMath>
        <m:f>
          <m:fPr>
            <m:ctrlPr>
              <w:rPr>
                <w:rFonts w:ascii="Cambria Math" w:hAnsi="Cambria Math"/>
                <w:i/>
              </w:rPr>
            </m:ctrlPr>
          </m:fPr>
          <m:num>
            <m:r>
              <w:rPr>
                <w:rFonts w:ascii="Cambria Math" w:hAnsi="Cambria Math"/>
              </w:rPr>
              <m:t>1</m:t>
            </m:r>
          </m:num>
          <m:den>
            <m:r>
              <w:rPr>
                <w:rFonts w:ascii="Cambria Math" w:hAnsi="Cambria Math"/>
              </w:rPr>
              <m:t>40 years</m:t>
            </m:r>
          </m:den>
        </m:f>
      </m:oMath>
      <w:r>
        <w:t>.</w:t>
      </w:r>
    </w:p>
    <w:p w14:paraId="4748FDF0" w14:textId="77777777" w:rsidR="00B862CB" w:rsidRDefault="00B862CB" w:rsidP="00F038DC"/>
    <w:p w14:paraId="11D240E6" w14:textId="19EF69D1" w:rsidR="001B42D3" w:rsidRDefault="00002C0D" w:rsidP="00837827">
      <w:r>
        <w:rPr>
          <w:b/>
        </w:rPr>
        <w:t>Fig 5</w:t>
      </w:r>
      <w:r w:rsidR="00B862CB">
        <w:rPr>
          <w:b/>
        </w:rPr>
        <w:t>. Vaccine targeting optimized in settings with intermediate rates of migration.</w:t>
      </w:r>
      <w:r w:rsidR="00B862CB">
        <w:t xml:space="preserve"> </w:t>
      </w:r>
    </w:p>
    <w:p w14:paraId="5642C51D" w14:textId="4A107AB1" w:rsidR="00B862CB" w:rsidRDefault="009A3CE6" w:rsidP="00837827">
      <w:r>
        <w:t xml:space="preserve">Vaccine impact is measured by the decrease in the N-year cumulative probability of an outbreak comparing a mass </w:t>
      </w:r>
      <w:r w:rsidR="00103784">
        <w:t xml:space="preserve">WC </w:t>
      </w:r>
      <w:r>
        <w:t>vaccination campaign with VC=1 versus no vaccination, and is shown to reach maxima</w:t>
      </w:r>
      <w:r w:rsidR="00103784">
        <w:t xml:space="preserve"> (triangles)</w:t>
      </w:r>
      <w:r>
        <w:t xml:space="preserve"> at intermediate levels of connectivity. The ti</w:t>
      </w:r>
      <w:r w:rsidR="005D6069">
        <w:t xml:space="preserve">me </w:t>
      </w:r>
      <w:r>
        <w:t xml:space="preserve">since vaccination (colored lines) modifies these maxima. </w:t>
      </w:r>
      <w:r w:rsidR="00503E17">
        <w:t xml:space="preserve">Vertical grey lines denote the </w:t>
      </w:r>
      <w:r w:rsidR="00503E17">
        <w:lastRenderedPageBreak/>
        <w:t>estimate</w:t>
      </w:r>
      <w:r w:rsidR="00831DED">
        <w:t xml:space="preserve">d migration rates for Calcutta, </w:t>
      </w:r>
      <w:proofErr w:type="spellStart"/>
      <w:r w:rsidR="00831DED">
        <w:t>Bentiu</w:t>
      </w:r>
      <w:proofErr w:type="spellEnd"/>
      <w:r w:rsidR="00601E61">
        <w:t xml:space="preserve"> </w:t>
      </w:r>
      <w:proofErr w:type="spellStart"/>
      <w:r w:rsidR="00601E61">
        <w:t>PoC</w:t>
      </w:r>
      <w:proofErr w:type="spellEnd"/>
      <w:r w:rsidR="00601E61">
        <w:t xml:space="preserve"> Camp</w:t>
      </w:r>
      <w:r w:rsidR="00831DED">
        <w:t>, and Dhaka</w:t>
      </w:r>
      <w:r w:rsidR="00503E17">
        <w:t xml:space="preserve"> as described in Methods. </w:t>
      </w:r>
      <w:r w:rsidR="00B862CB">
        <w:t>In this example, R</w:t>
      </w:r>
      <w:r w:rsidR="00B862CB">
        <w:rPr>
          <w:vertAlign w:val="subscript"/>
        </w:rPr>
        <w:t>0</w:t>
      </w:r>
      <w:r w:rsidR="00B862CB">
        <w:t xml:space="preserve"> is </w:t>
      </w:r>
      <w:r w:rsidR="00503E17">
        <w:t>set to</w:t>
      </w:r>
      <w:r w:rsidR="00B862CB">
        <w:t xml:space="preserve"> 1.5 and </w:t>
      </w:r>
      <w:r w:rsidR="00837827">
        <w:t>the average probability that a migrant is infected is 1/N, where N is the community size. See Supplemental Information for alternative parameters sets.</w:t>
      </w:r>
    </w:p>
    <w:p w14:paraId="6F7A0565" w14:textId="77777777" w:rsidR="00002C0D" w:rsidRDefault="00002C0D" w:rsidP="00837827"/>
    <w:p w14:paraId="289AFC17" w14:textId="5C096807" w:rsidR="00002C0D" w:rsidRDefault="00002C0D" w:rsidP="00837827">
      <w:pPr>
        <w:rPr>
          <w:b/>
        </w:rPr>
      </w:pPr>
      <w:r>
        <w:rPr>
          <w:b/>
        </w:rPr>
        <w:t xml:space="preserve">Fig 6. </w:t>
      </w:r>
      <w:proofErr w:type="spellStart"/>
      <w:proofErr w:type="gramStart"/>
      <w:r w:rsidR="00FF1E30">
        <w:rPr>
          <w:b/>
        </w:rPr>
        <w:t>Bentiu</w:t>
      </w:r>
      <w:proofErr w:type="spellEnd"/>
      <w:r w:rsidR="00FF1E30">
        <w:rPr>
          <w:b/>
        </w:rPr>
        <w:t xml:space="preserve"> </w:t>
      </w:r>
      <w:proofErr w:type="spellStart"/>
      <w:r w:rsidR="00FF1E30">
        <w:rPr>
          <w:b/>
        </w:rPr>
        <w:t>PoC</w:t>
      </w:r>
      <w:proofErr w:type="spellEnd"/>
      <w:r w:rsidR="00FF1E30">
        <w:rPr>
          <w:b/>
        </w:rPr>
        <w:t xml:space="preserve"> Camp case study.</w:t>
      </w:r>
      <w:proofErr w:type="gramEnd"/>
    </w:p>
    <w:p w14:paraId="5CA90A9F" w14:textId="1B7DB10A" w:rsidR="00FF1E30" w:rsidRPr="00FF1E30" w:rsidRDefault="00FF1E30" w:rsidP="00837827">
      <w:r>
        <w:t xml:space="preserve">(A) Estimated population size (blue line), individuals vaccinated assuming two-dose coverage (green bars), and case counts in October and November (grey bars). IOM began reporting entries and exits in December 2015 and are represented by the feint green and red ribbons around the blue line. (B) The proportion susceptible over time decreases due to mass vaccination events, and increases quickly during periods of population growth due to influx of new camp residents assumed to be susceptible. (C) The probability that a single case sparks an outbreak of at least 50 cases increases with </w:t>
      </w:r>
      <w:proofErr w:type="gramStart"/>
      <m:oMath>
        <m:r>
          <w:rPr>
            <w:rFonts w:ascii="Cambria Math" w:hAnsi="Cambria Math"/>
          </w:rPr>
          <m:t>X(</m:t>
        </m:r>
        <w:proofErr w:type="gramEnd"/>
        <m:r>
          <w:rPr>
            <w:rFonts w:ascii="Cambria Math" w:hAnsi="Cambria Math"/>
          </w:rPr>
          <m:t>t)</m:t>
        </m:r>
      </m:oMath>
      <w:r>
        <w:t>.</w:t>
      </w:r>
    </w:p>
    <w:p w14:paraId="1898DBC0" w14:textId="77777777" w:rsidR="000A51A6" w:rsidRDefault="000A51A6">
      <w:r>
        <w:br w:type="page"/>
      </w:r>
    </w:p>
    <w:p w14:paraId="7838A847" w14:textId="77777777" w:rsidR="002B44C8" w:rsidRDefault="000A51A6" w:rsidP="00546529">
      <w:pPr>
        <w:widowControl w:val="0"/>
        <w:autoSpaceDE w:val="0"/>
        <w:autoSpaceDN w:val="0"/>
        <w:adjustRightInd w:val="0"/>
        <w:ind w:left="640" w:hanging="640"/>
        <w:rPr>
          <w:b/>
        </w:rPr>
      </w:pPr>
      <w:r w:rsidRPr="000A51A6">
        <w:rPr>
          <w:b/>
        </w:rPr>
        <w:lastRenderedPageBreak/>
        <w:t>REFERE</w:t>
      </w:r>
      <w:r>
        <w:rPr>
          <w:b/>
        </w:rPr>
        <w:t>NCES</w:t>
      </w:r>
    </w:p>
    <w:p w14:paraId="003D32E5" w14:textId="4179666D" w:rsidR="004B689C" w:rsidRPr="004B689C" w:rsidRDefault="000A51A6" w:rsidP="004B689C">
      <w:pPr>
        <w:widowControl w:val="0"/>
        <w:autoSpaceDE w:val="0"/>
        <w:autoSpaceDN w:val="0"/>
        <w:adjustRightInd w:val="0"/>
        <w:ind w:left="640" w:hanging="640"/>
        <w:rPr>
          <w:rFonts w:ascii="Cambria" w:hAnsi="Cambria"/>
          <w:noProof/>
        </w:rPr>
      </w:pPr>
      <w:r>
        <w:rPr>
          <w:b/>
        </w:rPr>
        <w:fldChar w:fldCharType="begin" w:fldLock="1"/>
      </w:r>
      <w:r>
        <w:rPr>
          <w:b/>
        </w:rPr>
        <w:instrText xml:space="preserve">ADDIN Mendeley Bibliography CSL_BIBLIOGRAPHY </w:instrText>
      </w:r>
      <w:r>
        <w:rPr>
          <w:b/>
        </w:rPr>
        <w:fldChar w:fldCharType="separate"/>
      </w:r>
      <w:r w:rsidR="004B689C" w:rsidRPr="004B689C">
        <w:rPr>
          <w:rFonts w:ascii="Cambria" w:hAnsi="Cambria"/>
          <w:noProof/>
        </w:rPr>
        <w:t>1</w:t>
      </w:r>
      <w:r w:rsidR="004B689C" w:rsidRPr="004B689C">
        <w:rPr>
          <w:rFonts w:ascii="Cambria" w:hAnsi="Cambria"/>
          <w:noProof/>
        </w:rPr>
        <w:tab/>
        <w:t xml:space="preserve">Fine PE. Herd immunity: history, theory, practice. </w:t>
      </w:r>
      <w:r w:rsidR="004B689C" w:rsidRPr="004B689C">
        <w:rPr>
          <w:rFonts w:ascii="Cambria" w:hAnsi="Cambria"/>
          <w:i/>
          <w:iCs/>
          <w:noProof/>
        </w:rPr>
        <w:t>Epidemiol Rev</w:t>
      </w:r>
      <w:r w:rsidR="004B689C" w:rsidRPr="004B689C">
        <w:rPr>
          <w:rFonts w:ascii="Cambria" w:hAnsi="Cambria"/>
          <w:noProof/>
        </w:rPr>
        <w:t xml:space="preserve"> 1993; </w:t>
      </w:r>
      <w:r w:rsidR="004B689C" w:rsidRPr="004B689C">
        <w:rPr>
          <w:rFonts w:ascii="Cambria" w:hAnsi="Cambria"/>
          <w:b/>
          <w:bCs/>
          <w:noProof/>
        </w:rPr>
        <w:t>15</w:t>
      </w:r>
      <w:r w:rsidR="004B689C" w:rsidRPr="004B689C">
        <w:rPr>
          <w:rFonts w:ascii="Cambria" w:hAnsi="Cambria"/>
          <w:noProof/>
        </w:rPr>
        <w:t>: 265–302.</w:t>
      </w:r>
    </w:p>
    <w:p w14:paraId="46D62F1E"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w:t>
      </w:r>
      <w:r w:rsidRPr="004B689C">
        <w:rPr>
          <w:rFonts w:ascii="Cambria" w:hAnsi="Cambria"/>
          <w:noProof/>
        </w:rPr>
        <w:tab/>
        <w:t xml:space="preserve">Anderson RM, May RM. Vaccination and herd immunity to infectious diseases. </w:t>
      </w:r>
      <w:r w:rsidRPr="004B689C">
        <w:rPr>
          <w:rFonts w:ascii="Cambria" w:hAnsi="Cambria"/>
          <w:i/>
          <w:iCs/>
          <w:noProof/>
        </w:rPr>
        <w:t>Nature</w:t>
      </w:r>
      <w:r w:rsidRPr="004B689C">
        <w:rPr>
          <w:rFonts w:ascii="Cambria" w:hAnsi="Cambria"/>
          <w:noProof/>
        </w:rPr>
        <w:t xml:space="preserve"> 1985; </w:t>
      </w:r>
      <w:r w:rsidRPr="004B689C">
        <w:rPr>
          <w:rFonts w:ascii="Cambria" w:hAnsi="Cambria"/>
          <w:b/>
          <w:bCs/>
          <w:noProof/>
        </w:rPr>
        <w:t>318</w:t>
      </w:r>
      <w:r w:rsidRPr="004B689C">
        <w:rPr>
          <w:rFonts w:ascii="Cambria" w:hAnsi="Cambria"/>
          <w:noProof/>
        </w:rPr>
        <w:t>: 323–9.</w:t>
      </w:r>
    </w:p>
    <w:p w14:paraId="21DA6705"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w:t>
      </w:r>
      <w:r w:rsidRPr="004B689C">
        <w:rPr>
          <w:rFonts w:ascii="Cambria" w:hAnsi="Cambria"/>
          <w:noProof/>
        </w:rPr>
        <w:tab/>
        <w:t xml:space="preserve">Heymann DL, Aylward RB. Mass vaccination: When and why. </w:t>
      </w:r>
      <w:r w:rsidRPr="004B689C">
        <w:rPr>
          <w:rFonts w:ascii="Cambria" w:hAnsi="Cambria"/>
          <w:i/>
          <w:iCs/>
          <w:noProof/>
        </w:rPr>
        <w:t>Curr Top Microbiol Immunol</w:t>
      </w:r>
      <w:r w:rsidRPr="004B689C">
        <w:rPr>
          <w:rFonts w:ascii="Cambria" w:hAnsi="Cambria"/>
          <w:noProof/>
        </w:rPr>
        <w:t xml:space="preserve"> 2006; </w:t>
      </w:r>
      <w:r w:rsidRPr="004B689C">
        <w:rPr>
          <w:rFonts w:ascii="Cambria" w:hAnsi="Cambria"/>
          <w:b/>
          <w:bCs/>
          <w:noProof/>
        </w:rPr>
        <w:t>304</w:t>
      </w:r>
      <w:r w:rsidRPr="004B689C">
        <w:rPr>
          <w:rFonts w:ascii="Cambria" w:hAnsi="Cambria"/>
          <w:noProof/>
        </w:rPr>
        <w:t>: 1–16.</w:t>
      </w:r>
    </w:p>
    <w:p w14:paraId="52AEF9DD"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4</w:t>
      </w:r>
      <w:r w:rsidRPr="004B689C">
        <w:rPr>
          <w:rFonts w:ascii="Cambria" w:hAnsi="Cambria"/>
          <w:noProof/>
        </w:rPr>
        <w:tab/>
        <w:t xml:space="preserve">Ali M, Emch M, von Seidlein L, </w:t>
      </w:r>
      <w:r w:rsidRPr="004B689C">
        <w:rPr>
          <w:rFonts w:ascii="Cambria" w:hAnsi="Cambria"/>
          <w:i/>
          <w:iCs/>
          <w:noProof/>
        </w:rPr>
        <w:t>et al.</w:t>
      </w:r>
      <w:r w:rsidRPr="004B689C">
        <w:rPr>
          <w:rFonts w:ascii="Cambria" w:hAnsi="Cambria"/>
          <w:noProof/>
        </w:rPr>
        <w:t xml:space="preserve"> Herd immunity conferred by killed oral cholera vaccines in Bangladesh: a reanalysis. </w:t>
      </w:r>
      <w:r w:rsidRPr="004B689C">
        <w:rPr>
          <w:rFonts w:ascii="Cambria" w:hAnsi="Cambria"/>
          <w:i/>
          <w:iCs/>
          <w:noProof/>
        </w:rPr>
        <w:t>Lancet</w:t>
      </w:r>
      <w:r w:rsidRPr="004B689C">
        <w:rPr>
          <w:rFonts w:ascii="Cambria" w:hAnsi="Cambria"/>
          <w:noProof/>
        </w:rPr>
        <w:t xml:space="preserve"> 2005; </w:t>
      </w:r>
      <w:r w:rsidRPr="004B689C">
        <w:rPr>
          <w:rFonts w:ascii="Cambria" w:hAnsi="Cambria"/>
          <w:b/>
          <w:bCs/>
          <w:noProof/>
        </w:rPr>
        <w:t>366</w:t>
      </w:r>
      <w:r w:rsidRPr="004B689C">
        <w:rPr>
          <w:rFonts w:ascii="Cambria" w:hAnsi="Cambria"/>
          <w:noProof/>
        </w:rPr>
        <w:t>: 44–9.</w:t>
      </w:r>
    </w:p>
    <w:p w14:paraId="1DB48554"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5</w:t>
      </w:r>
      <w:r w:rsidRPr="004B689C">
        <w:rPr>
          <w:rFonts w:ascii="Cambria" w:hAnsi="Cambria"/>
          <w:noProof/>
        </w:rPr>
        <w:tab/>
        <w:t xml:space="preserve">Ali M, Sur D, You YA, </w:t>
      </w:r>
      <w:r w:rsidRPr="004B689C">
        <w:rPr>
          <w:rFonts w:ascii="Cambria" w:hAnsi="Cambria"/>
          <w:i/>
          <w:iCs/>
          <w:noProof/>
        </w:rPr>
        <w:t>et al.</w:t>
      </w:r>
      <w:r w:rsidRPr="004B689C">
        <w:rPr>
          <w:rFonts w:ascii="Cambria" w:hAnsi="Cambria"/>
          <w:noProof/>
        </w:rPr>
        <w:t xml:space="preserve"> Herd protection by a bivalent killed whole-cell oral cholera vaccine in the slums of Kolkata, India. </w:t>
      </w:r>
      <w:r w:rsidRPr="004B689C">
        <w:rPr>
          <w:rFonts w:ascii="Cambria" w:hAnsi="Cambria"/>
          <w:i/>
          <w:iCs/>
          <w:noProof/>
        </w:rPr>
        <w:t>Clin Infect Dis</w:t>
      </w:r>
      <w:r w:rsidRPr="004B689C">
        <w:rPr>
          <w:rFonts w:ascii="Cambria" w:hAnsi="Cambria"/>
          <w:noProof/>
        </w:rPr>
        <w:t xml:space="preserve"> 2013; </w:t>
      </w:r>
      <w:r w:rsidRPr="004B689C">
        <w:rPr>
          <w:rFonts w:ascii="Cambria" w:hAnsi="Cambria"/>
          <w:b/>
          <w:bCs/>
          <w:noProof/>
        </w:rPr>
        <w:t>56</w:t>
      </w:r>
      <w:r w:rsidRPr="004B689C">
        <w:rPr>
          <w:rFonts w:ascii="Cambria" w:hAnsi="Cambria"/>
          <w:noProof/>
        </w:rPr>
        <w:t>: 1123–31.</w:t>
      </w:r>
    </w:p>
    <w:p w14:paraId="316BAC87"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6</w:t>
      </w:r>
      <w:r w:rsidRPr="004B689C">
        <w:rPr>
          <w:rFonts w:ascii="Cambria" w:hAnsi="Cambria"/>
          <w:noProof/>
        </w:rPr>
        <w:tab/>
        <w:t xml:space="preserve">World Health Organization. Cholera, 2015. </w:t>
      </w:r>
      <w:r w:rsidRPr="004B689C">
        <w:rPr>
          <w:rFonts w:ascii="Cambria" w:hAnsi="Cambria"/>
          <w:i/>
          <w:iCs/>
          <w:noProof/>
        </w:rPr>
        <w:t>Wkly Epidemiol Rec</w:t>
      </w:r>
      <w:r w:rsidRPr="004B689C">
        <w:rPr>
          <w:rFonts w:ascii="Cambria" w:hAnsi="Cambria"/>
          <w:noProof/>
        </w:rPr>
        <w:t xml:space="preserve"> 2016; </w:t>
      </w:r>
      <w:r w:rsidRPr="004B689C">
        <w:rPr>
          <w:rFonts w:ascii="Cambria" w:hAnsi="Cambria"/>
          <w:b/>
          <w:bCs/>
          <w:noProof/>
        </w:rPr>
        <w:t>38</w:t>
      </w:r>
      <w:r w:rsidRPr="004B689C">
        <w:rPr>
          <w:rFonts w:ascii="Cambria" w:hAnsi="Cambria"/>
          <w:noProof/>
        </w:rPr>
        <w:t>: 433–40.</w:t>
      </w:r>
    </w:p>
    <w:p w14:paraId="0AC675B0"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7</w:t>
      </w:r>
      <w:r w:rsidRPr="004B689C">
        <w:rPr>
          <w:rFonts w:ascii="Cambria" w:hAnsi="Cambria"/>
          <w:noProof/>
        </w:rPr>
        <w:tab/>
        <w:t xml:space="preserve">Clemens J, Holmgren J. When, How, and Where can Oral Cholera Vaccines be Used to Interrupt Cholera Outbreaks? </w:t>
      </w:r>
      <w:r w:rsidRPr="004B689C">
        <w:rPr>
          <w:rFonts w:ascii="Cambria" w:hAnsi="Cambria"/>
          <w:i/>
          <w:iCs/>
          <w:noProof/>
        </w:rPr>
        <w:t>Curr Top Microbiol Immunol</w:t>
      </w:r>
      <w:r w:rsidRPr="004B689C">
        <w:rPr>
          <w:rFonts w:ascii="Cambria" w:hAnsi="Cambria"/>
          <w:noProof/>
        </w:rPr>
        <w:t xml:space="preserve"> 2014; : 231–58.</w:t>
      </w:r>
    </w:p>
    <w:p w14:paraId="7A9D8EB7"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8</w:t>
      </w:r>
      <w:r w:rsidRPr="004B689C">
        <w:rPr>
          <w:rFonts w:ascii="Cambria" w:hAnsi="Cambria"/>
          <w:noProof/>
        </w:rPr>
        <w:tab/>
        <w:t>Ministry of Health. Situation Report #93 on Cholera in South Sudan As at 23:59 Hours , 3 November 2016. 2016.</w:t>
      </w:r>
    </w:p>
    <w:p w14:paraId="09790203"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9</w:t>
      </w:r>
      <w:r w:rsidRPr="004B689C">
        <w:rPr>
          <w:rFonts w:ascii="Cambria" w:hAnsi="Cambria"/>
          <w:noProof/>
        </w:rPr>
        <w:tab/>
        <w:t xml:space="preserve">Sur D, Kanungo S, Sah B, </w:t>
      </w:r>
      <w:r w:rsidRPr="004B689C">
        <w:rPr>
          <w:rFonts w:ascii="Cambria" w:hAnsi="Cambria"/>
          <w:i/>
          <w:iCs/>
          <w:noProof/>
        </w:rPr>
        <w:t>et al.</w:t>
      </w:r>
      <w:r w:rsidRPr="004B689C">
        <w:rPr>
          <w:rFonts w:ascii="Cambria" w:hAnsi="Cambria"/>
          <w:noProof/>
        </w:rPr>
        <w:t xml:space="preserve"> Efficacy of a Low-Cost, inactivated Whole-Cell oral cholera vaccine: Results from 3 years of Follow-Up of a randomized, controlled trial. </w:t>
      </w:r>
      <w:r w:rsidRPr="004B689C">
        <w:rPr>
          <w:rFonts w:ascii="Cambria" w:hAnsi="Cambria"/>
          <w:i/>
          <w:iCs/>
          <w:noProof/>
        </w:rPr>
        <w:t>PLoS Negl Trop Dis</w:t>
      </w:r>
      <w:r w:rsidRPr="004B689C">
        <w:rPr>
          <w:rFonts w:ascii="Cambria" w:hAnsi="Cambria"/>
          <w:noProof/>
        </w:rPr>
        <w:t xml:space="preserve"> 2011; </w:t>
      </w:r>
      <w:r w:rsidRPr="004B689C">
        <w:rPr>
          <w:rFonts w:ascii="Cambria" w:hAnsi="Cambria"/>
          <w:b/>
          <w:bCs/>
          <w:noProof/>
        </w:rPr>
        <w:t>5</w:t>
      </w:r>
      <w:r w:rsidRPr="004B689C">
        <w:rPr>
          <w:rFonts w:ascii="Cambria" w:hAnsi="Cambria"/>
          <w:noProof/>
        </w:rPr>
        <w:t>: 1–6.</w:t>
      </w:r>
    </w:p>
    <w:p w14:paraId="024EE690"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10</w:t>
      </w:r>
      <w:r w:rsidRPr="004B689C">
        <w:rPr>
          <w:rFonts w:ascii="Cambria" w:hAnsi="Cambria"/>
          <w:noProof/>
        </w:rPr>
        <w:tab/>
        <w:t xml:space="preserve">Qadri F, Ali M, Chowdhury F, </w:t>
      </w:r>
      <w:r w:rsidRPr="004B689C">
        <w:rPr>
          <w:rFonts w:ascii="Cambria" w:hAnsi="Cambria"/>
          <w:i/>
          <w:iCs/>
          <w:noProof/>
        </w:rPr>
        <w:t>et al.</w:t>
      </w:r>
      <w:r w:rsidRPr="004B689C">
        <w:rPr>
          <w:rFonts w:ascii="Cambria" w:hAnsi="Cambria"/>
          <w:noProof/>
        </w:rPr>
        <w:t xml:space="preserve"> Feasibility and effectiveness of oral cholera vaccine in an urban endemic setting in Bangladesh: a cluster randomised open-label trial. </w:t>
      </w:r>
      <w:r w:rsidRPr="004B689C">
        <w:rPr>
          <w:rFonts w:ascii="Cambria" w:hAnsi="Cambria"/>
          <w:i/>
          <w:iCs/>
          <w:noProof/>
        </w:rPr>
        <w:t>Lancet</w:t>
      </w:r>
      <w:r w:rsidRPr="004B689C">
        <w:rPr>
          <w:rFonts w:ascii="Cambria" w:hAnsi="Cambria"/>
          <w:noProof/>
        </w:rPr>
        <w:t xml:space="preserve"> 2015; </w:t>
      </w:r>
      <w:r w:rsidRPr="004B689C">
        <w:rPr>
          <w:rFonts w:ascii="Cambria" w:hAnsi="Cambria"/>
          <w:b/>
          <w:bCs/>
          <w:noProof/>
        </w:rPr>
        <w:t>6736</w:t>
      </w:r>
      <w:r w:rsidRPr="004B689C">
        <w:rPr>
          <w:rFonts w:ascii="Cambria" w:hAnsi="Cambria"/>
          <w:noProof/>
        </w:rPr>
        <w:t>: 1–10.</w:t>
      </w:r>
    </w:p>
    <w:p w14:paraId="27EFE201"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11</w:t>
      </w:r>
      <w:r w:rsidRPr="004B689C">
        <w:rPr>
          <w:rFonts w:ascii="Cambria" w:hAnsi="Cambria"/>
          <w:noProof/>
        </w:rPr>
        <w:tab/>
        <w:t xml:space="preserve">McLean AR, Anderson RM. Measles in developing countries. Part II. The predicted impact of mass vaccination. </w:t>
      </w:r>
      <w:r w:rsidRPr="004B689C">
        <w:rPr>
          <w:rFonts w:ascii="Cambria" w:hAnsi="Cambria"/>
          <w:i/>
          <w:iCs/>
          <w:noProof/>
        </w:rPr>
        <w:t>Epidemiol Infect</w:t>
      </w:r>
      <w:r w:rsidRPr="004B689C">
        <w:rPr>
          <w:rFonts w:ascii="Cambria" w:hAnsi="Cambria"/>
          <w:noProof/>
        </w:rPr>
        <w:t xml:space="preserve"> 1988; </w:t>
      </w:r>
      <w:r w:rsidRPr="004B689C">
        <w:rPr>
          <w:rFonts w:ascii="Cambria" w:hAnsi="Cambria"/>
          <w:b/>
          <w:bCs/>
          <w:noProof/>
        </w:rPr>
        <w:t>100</w:t>
      </w:r>
      <w:r w:rsidRPr="004B689C">
        <w:rPr>
          <w:rFonts w:ascii="Cambria" w:hAnsi="Cambria"/>
          <w:noProof/>
        </w:rPr>
        <w:t>: 419–42.</w:t>
      </w:r>
    </w:p>
    <w:p w14:paraId="38BE02FA"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12</w:t>
      </w:r>
      <w:r w:rsidRPr="004B689C">
        <w:rPr>
          <w:rFonts w:ascii="Cambria" w:hAnsi="Cambria"/>
          <w:noProof/>
        </w:rPr>
        <w:tab/>
        <w:t xml:space="preserve">Mclean AR, Blower SM. Imperfect Vaccines and Herd Immunity to HIV. </w:t>
      </w:r>
      <w:r w:rsidRPr="004B689C">
        <w:rPr>
          <w:rFonts w:ascii="Cambria" w:hAnsi="Cambria"/>
          <w:i/>
          <w:iCs/>
          <w:noProof/>
        </w:rPr>
        <w:t>Proc R Soc B Biol Sci</w:t>
      </w:r>
      <w:r w:rsidRPr="004B689C">
        <w:rPr>
          <w:rFonts w:ascii="Cambria" w:hAnsi="Cambria"/>
          <w:noProof/>
        </w:rPr>
        <w:t xml:space="preserve"> 1993; </w:t>
      </w:r>
      <w:r w:rsidRPr="004B689C">
        <w:rPr>
          <w:rFonts w:ascii="Cambria" w:hAnsi="Cambria"/>
          <w:b/>
          <w:bCs/>
          <w:noProof/>
        </w:rPr>
        <w:t>253</w:t>
      </w:r>
      <w:r w:rsidRPr="004B689C">
        <w:rPr>
          <w:rFonts w:ascii="Cambria" w:hAnsi="Cambria"/>
          <w:noProof/>
        </w:rPr>
        <w:t>: 9–13.</w:t>
      </w:r>
    </w:p>
    <w:p w14:paraId="6C850DA7"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13</w:t>
      </w:r>
      <w:r w:rsidRPr="004B689C">
        <w:rPr>
          <w:rFonts w:ascii="Cambria" w:hAnsi="Cambria"/>
          <w:noProof/>
        </w:rPr>
        <w:tab/>
        <w:t xml:space="preserve">Blower S, Schwartz EJ, Mills J. Forecasting the future of HIV epidemics: The impact of antiretroviral therapies &amp; imperfect vaccines. </w:t>
      </w:r>
      <w:r w:rsidRPr="004B689C">
        <w:rPr>
          <w:rFonts w:ascii="Cambria" w:hAnsi="Cambria"/>
          <w:i/>
          <w:iCs/>
          <w:noProof/>
        </w:rPr>
        <w:t>AIDS Rev</w:t>
      </w:r>
      <w:r w:rsidRPr="004B689C">
        <w:rPr>
          <w:rFonts w:ascii="Cambria" w:hAnsi="Cambria"/>
          <w:noProof/>
        </w:rPr>
        <w:t xml:space="preserve"> 2003; </w:t>
      </w:r>
      <w:r w:rsidRPr="004B689C">
        <w:rPr>
          <w:rFonts w:ascii="Cambria" w:hAnsi="Cambria"/>
          <w:b/>
          <w:bCs/>
          <w:noProof/>
        </w:rPr>
        <w:t>5</w:t>
      </w:r>
      <w:r w:rsidRPr="004B689C">
        <w:rPr>
          <w:rFonts w:ascii="Cambria" w:hAnsi="Cambria"/>
          <w:noProof/>
        </w:rPr>
        <w:t>: 113–25.</w:t>
      </w:r>
    </w:p>
    <w:p w14:paraId="4769C1E5"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14</w:t>
      </w:r>
      <w:r w:rsidRPr="004B689C">
        <w:rPr>
          <w:rFonts w:ascii="Cambria" w:hAnsi="Cambria"/>
          <w:noProof/>
        </w:rPr>
        <w:tab/>
        <w:t xml:space="preserve">Mossong J, Muller CP. Modelling measles re-emergence as a result of waning of immunity in vaccinated populations. </w:t>
      </w:r>
      <w:r w:rsidRPr="004B689C">
        <w:rPr>
          <w:rFonts w:ascii="Cambria" w:hAnsi="Cambria"/>
          <w:i/>
          <w:iCs/>
          <w:noProof/>
        </w:rPr>
        <w:t>Vaccine</w:t>
      </w:r>
      <w:r w:rsidRPr="004B689C">
        <w:rPr>
          <w:rFonts w:ascii="Cambria" w:hAnsi="Cambria"/>
          <w:noProof/>
        </w:rPr>
        <w:t xml:space="preserve"> 2003; </w:t>
      </w:r>
      <w:r w:rsidRPr="004B689C">
        <w:rPr>
          <w:rFonts w:ascii="Cambria" w:hAnsi="Cambria"/>
          <w:b/>
          <w:bCs/>
          <w:noProof/>
        </w:rPr>
        <w:t>21</w:t>
      </w:r>
      <w:r w:rsidRPr="004B689C">
        <w:rPr>
          <w:rFonts w:ascii="Cambria" w:hAnsi="Cambria"/>
          <w:noProof/>
        </w:rPr>
        <w:t>: 4597–603.</w:t>
      </w:r>
    </w:p>
    <w:p w14:paraId="3F403C58"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15</w:t>
      </w:r>
      <w:r w:rsidRPr="004B689C">
        <w:rPr>
          <w:rFonts w:ascii="Cambria" w:hAnsi="Cambria"/>
          <w:noProof/>
        </w:rPr>
        <w:tab/>
        <w:t xml:space="preserve">MAGPANTAY FMG, DOMENECH DE CELLÈS M, ROHANI P, KING AA. Pertussis immunity and epidemiology: mode and duration of vaccine-induced immunity. </w:t>
      </w:r>
      <w:r w:rsidRPr="004B689C">
        <w:rPr>
          <w:rFonts w:ascii="Cambria" w:hAnsi="Cambria"/>
          <w:i/>
          <w:iCs/>
          <w:noProof/>
        </w:rPr>
        <w:t>Parasitology</w:t>
      </w:r>
      <w:r w:rsidRPr="004B689C">
        <w:rPr>
          <w:rFonts w:ascii="Cambria" w:hAnsi="Cambria"/>
          <w:noProof/>
        </w:rPr>
        <w:t xml:space="preserve"> 2016; </w:t>
      </w:r>
      <w:r w:rsidRPr="004B689C">
        <w:rPr>
          <w:rFonts w:ascii="Cambria" w:hAnsi="Cambria"/>
          <w:b/>
          <w:bCs/>
          <w:noProof/>
        </w:rPr>
        <w:t>143</w:t>
      </w:r>
      <w:r w:rsidRPr="004B689C">
        <w:rPr>
          <w:rFonts w:ascii="Cambria" w:hAnsi="Cambria"/>
          <w:noProof/>
        </w:rPr>
        <w:t>: 835–49.</w:t>
      </w:r>
    </w:p>
    <w:p w14:paraId="1E57C0C1"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16</w:t>
      </w:r>
      <w:r w:rsidRPr="004B689C">
        <w:rPr>
          <w:rFonts w:ascii="Cambria" w:hAnsi="Cambria"/>
          <w:noProof/>
        </w:rPr>
        <w:tab/>
        <w:t xml:space="preserve">Metcalf CJE, Lessler J, Klepac P, Cutts F, Grenfell BT. Impact of birth rate, seasonality and transmission rate on minimum levels of coverage needed for rubella vaccination. </w:t>
      </w:r>
      <w:r w:rsidRPr="004B689C">
        <w:rPr>
          <w:rFonts w:ascii="Cambria" w:hAnsi="Cambria"/>
          <w:i/>
          <w:iCs/>
          <w:noProof/>
        </w:rPr>
        <w:t>Epidemiol Infect</w:t>
      </w:r>
      <w:r w:rsidRPr="004B689C">
        <w:rPr>
          <w:rFonts w:ascii="Cambria" w:hAnsi="Cambria"/>
          <w:noProof/>
        </w:rPr>
        <w:t xml:space="preserve"> 2012; </w:t>
      </w:r>
      <w:r w:rsidRPr="004B689C">
        <w:rPr>
          <w:rFonts w:ascii="Cambria" w:hAnsi="Cambria"/>
          <w:b/>
          <w:bCs/>
          <w:noProof/>
        </w:rPr>
        <w:t>140</w:t>
      </w:r>
      <w:r w:rsidRPr="004B689C">
        <w:rPr>
          <w:rFonts w:ascii="Cambria" w:hAnsi="Cambria"/>
          <w:noProof/>
        </w:rPr>
        <w:t>: 2290–301.</w:t>
      </w:r>
    </w:p>
    <w:p w14:paraId="278A7C37"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17</w:t>
      </w:r>
      <w:r w:rsidRPr="004B689C">
        <w:rPr>
          <w:rFonts w:ascii="Cambria" w:hAnsi="Cambria"/>
          <w:noProof/>
        </w:rPr>
        <w:tab/>
        <w:t xml:space="preserve">Lloyd AL. Realistic distributions of infectious periods in epidemic models: changing patterns of persistence and dynamics. </w:t>
      </w:r>
      <w:r w:rsidRPr="004B689C">
        <w:rPr>
          <w:rFonts w:ascii="Cambria" w:hAnsi="Cambria"/>
          <w:i/>
          <w:iCs/>
          <w:noProof/>
        </w:rPr>
        <w:t>Theor Popul Biol</w:t>
      </w:r>
      <w:r w:rsidRPr="004B689C">
        <w:rPr>
          <w:rFonts w:ascii="Cambria" w:hAnsi="Cambria"/>
          <w:noProof/>
        </w:rPr>
        <w:t xml:space="preserve"> 2001; </w:t>
      </w:r>
      <w:r w:rsidRPr="004B689C">
        <w:rPr>
          <w:rFonts w:ascii="Cambria" w:hAnsi="Cambria"/>
          <w:b/>
          <w:bCs/>
          <w:noProof/>
        </w:rPr>
        <w:t>60</w:t>
      </w:r>
      <w:r w:rsidRPr="004B689C">
        <w:rPr>
          <w:rFonts w:ascii="Cambria" w:hAnsi="Cambria"/>
          <w:noProof/>
        </w:rPr>
        <w:t>: 59–71.</w:t>
      </w:r>
    </w:p>
    <w:p w14:paraId="06CC0421"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18</w:t>
      </w:r>
      <w:r w:rsidRPr="004B689C">
        <w:rPr>
          <w:rFonts w:ascii="Cambria" w:hAnsi="Cambria"/>
          <w:noProof/>
        </w:rPr>
        <w:tab/>
        <w:t xml:space="preserve">Krylova O, Earn DJD. Effects of the infectious period distribution on predicted transitions in childhood disease dynamics. </w:t>
      </w:r>
      <w:r w:rsidRPr="004B689C">
        <w:rPr>
          <w:rFonts w:ascii="Cambria" w:hAnsi="Cambria"/>
          <w:i/>
          <w:iCs/>
          <w:noProof/>
        </w:rPr>
        <w:t>J R Soc Interface</w:t>
      </w:r>
      <w:r w:rsidRPr="004B689C">
        <w:rPr>
          <w:rFonts w:ascii="Cambria" w:hAnsi="Cambria"/>
          <w:noProof/>
        </w:rPr>
        <w:t xml:space="preserve"> 2013; </w:t>
      </w:r>
      <w:r w:rsidRPr="004B689C">
        <w:rPr>
          <w:rFonts w:ascii="Cambria" w:hAnsi="Cambria"/>
          <w:b/>
          <w:bCs/>
          <w:noProof/>
        </w:rPr>
        <w:t>10</w:t>
      </w:r>
      <w:r w:rsidRPr="004B689C">
        <w:rPr>
          <w:rFonts w:ascii="Cambria" w:hAnsi="Cambria"/>
          <w:noProof/>
        </w:rPr>
        <w:t>: 20130098.</w:t>
      </w:r>
    </w:p>
    <w:p w14:paraId="5BC717AA"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19</w:t>
      </w:r>
      <w:r w:rsidRPr="004B689C">
        <w:rPr>
          <w:rFonts w:ascii="Cambria" w:hAnsi="Cambria"/>
          <w:noProof/>
        </w:rPr>
        <w:tab/>
        <w:t xml:space="preserve">Soetaert K, Petzoldt T, Setzer RW. Package deSolve : Solving Initial Value Differential Equations in R. </w:t>
      </w:r>
      <w:r w:rsidRPr="004B689C">
        <w:rPr>
          <w:rFonts w:ascii="Cambria" w:hAnsi="Cambria"/>
          <w:i/>
          <w:iCs/>
          <w:noProof/>
        </w:rPr>
        <w:t>J Stat Softw</w:t>
      </w:r>
      <w:r w:rsidRPr="004B689C">
        <w:rPr>
          <w:rFonts w:ascii="Cambria" w:hAnsi="Cambria"/>
          <w:noProof/>
        </w:rPr>
        <w:t xml:space="preserve"> 2010; </w:t>
      </w:r>
      <w:r w:rsidRPr="004B689C">
        <w:rPr>
          <w:rFonts w:ascii="Cambria" w:hAnsi="Cambria"/>
          <w:b/>
          <w:bCs/>
          <w:noProof/>
        </w:rPr>
        <w:t>33</w:t>
      </w:r>
      <w:r w:rsidRPr="004B689C">
        <w:rPr>
          <w:rFonts w:ascii="Cambria" w:hAnsi="Cambria"/>
          <w:noProof/>
        </w:rPr>
        <w:t>: 1–25.</w:t>
      </w:r>
    </w:p>
    <w:p w14:paraId="7FE3BF01"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20</w:t>
      </w:r>
      <w:r w:rsidRPr="004B689C">
        <w:rPr>
          <w:rFonts w:ascii="Cambria" w:hAnsi="Cambria"/>
          <w:noProof/>
        </w:rPr>
        <w:tab/>
        <w:t xml:space="preserve">Clemens JD, Sack D a, Harris JR, </w:t>
      </w:r>
      <w:r w:rsidRPr="004B689C">
        <w:rPr>
          <w:rFonts w:ascii="Cambria" w:hAnsi="Cambria"/>
          <w:i/>
          <w:iCs/>
          <w:noProof/>
        </w:rPr>
        <w:t>et al.</w:t>
      </w:r>
      <w:r w:rsidRPr="004B689C">
        <w:rPr>
          <w:rFonts w:ascii="Cambria" w:hAnsi="Cambria"/>
          <w:noProof/>
        </w:rPr>
        <w:t xml:space="preserve"> Field trial of oral cholera vaccines in Bangladesh: results from three-year follow-up. </w:t>
      </w:r>
      <w:r w:rsidRPr="004B689C">
        <w:rPr>
          <w:rFonts w:ascii="Cambria" w:hAnsi="Cambria"/>
          <w:i/>
          <w:iCs/>
          <w:noProof/>
        </w:rPr>
        <w:t>Lancet</w:t>
      </w:r>
      <w:r w:rsidRPr="004B689C">
        <w:rPr>
          <w:rFonts w:ascii="Cambria" w:hAnsi="Cambria"/>
          <w:noProof/>
        </w:rPr>
        <w:t xml:space="preserve"> 1990; </w:t>
      </w:r>
      <w:r w:rsidRPr="004B689C">
        <w:rPr>
          <w:rFonts w:ascii="Cambria" w:hAnsi="Cambria"/>
          <w:b/>
          <w:bCs/>
          <w:noProof/>
        </w:rPr>
        <w:t>335</w:t>
      </w:r>
      <w:r w:rsidRPr="004B689C">
        <w:rPr>
          <w:rFonts w:ascii="Cambria" w:hAnsi="Cambria"/>
          <w:noProof/>
        </w:rPr>
        <w:t>: 270–3.</w:t>
      </w:r>
    </w:p>
    <w:p w14:paraId="5F2378EE"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21</w:t>
      </w:r>
      <w:r w:rsidRPr="004B689C">
        <w:rPr>
          <w:rFonts w:ascii="Cambria" w:hAnsi="Cambria"/>
          <w:noProof/>
        </w:rPr>
        <w:tab/>
        <w:t xml:space="preserve">Durham LK, Longini IM, Halloran ME, Clemens JD, Nizam A, Rao M. Estimation of vaccine efficacy in the presence of waning: application to cholera vaccines. </w:t>
      </w:r>
      <w:r w:rsidRPr="004B689C">
        <w:rPr>
          <w:rFonts w:ascii="Cambria" w:hAnsi="Cambria"/>
          <w:i/>
          <w:iCs/>
          <w:noProof/>
        </w:rPr>
        <w:t>Am J Epidemiol</w:t>
      </w:r>
      <w:r w:rsidRPr="004B689C">
        <w:rPr>
          <w:rFonts w:ascii="Cambria" w:hAnsi="Cambria"/>
          <w:noProof/>
        </w:rPr>
        <w:t xml:space="preserve"> 1998; </w:t>
      </w:r>
      <w:r w:rsidRPr="004B689C">
        <w:rPr>
          <w:rFonts w:ascii="Cambria" w:hAnsi="Cambria"/>
          <w:b/>
          <w:bCs/>
          <w:noProof/>
        </w:rPr>
        <w:t>147</w:t>
      </w:r>
      <w:r w:rsidRPr="004B689C">
        <w:rPr>
          <w:rFonts w:ascii="Cambria" w:hAnsi="Cambria"/>
          <w:noProof/>
        </w:rPr>
        <w:t>: 948–59.</w:t>
      </w:r>
    </w:p>
    <w:p w14:paraId="6EE32E21"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lastRenderedPageBreak/>
        <w:t>22</w:t>
      </w:r>
      <w:r w:rsidRPr="004B689C">
        <w:rPr>
          <w:rFonts w:ascii="Cambria" w:hAnsi="Cambria"/>
          <w:noProof/>
        </w:rPr>
        <w:tab/>
        <w:t>Becker NG. Minor outbreaks when infectives are homogenous. In: Modeling to Inform Infectious Disease Control. 2015: 7–28.</w:t>
      </w:r>
    </w:p>
    <w:p w14:paraId="1C6DA8DE"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23</w:t>
      </w:r>
      <w:r w:rsidRPr="004B689C">
        <w:rPr>
          <w:rFonts w:ascii="Cambria" w:hAnsi="Cambria"/>
          <w:noProof/>
        </w:rPr>
        <w:tab/>
        <w:t xml:space="preserve">Mott J. The Distribution of the Time-to-Emptiness of a Discrete Dam Under Steady Demand. </w:t>
      </w:r>
      <w:r w:rsidRPr="004B689C">
        <w:rPr>
          <w:rFonts w:ascii="Cambria" w:hAnsi="Cambria"/>
          <w:i/>
          <w:iCs/>
          <w:noProof/>
        </w:rPr>
        <w:t>J R Stat Soc Ser B</w:t>
      </w:r>
      <w:r w:rsidRPr="004B689C">
        <w:rPr>
          <w:rFonts w:ascii="Cambria" w:hAnsi="Cambria"/>
          <w:noProof/>
        </w:rPr>
        <w:t xml:space="preserve"> 1963; </w:t>
      </w:r>
      <w:r w:rsidRPr="004B689C">
        <w:rPr>
          <w:rFonts w:ascii="Cambria" w:hAnsi="Cambria"/>
          <w:b/>
          <w:bCs/>
          <w:noProof/>
        </w:rPr>
        <w:t>25</w:t>
      </w:r>
      <w:r w:rsidRPr="004B689C">
        <w:rPr>
          <w:rFonts w:ascii="Cambria" w:hAnsi="Cambria"/>
          <w:noProof/>
        </w:rPr>
        <w:t>: 137–9.</w:t>
      </w:r>
    </w:p>
    <w:p w14:paraId="35F4104F"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24</w:t>
      </w:r>
      <w:r w:rsidRPr="004B689C">
        <w:rPr>
          <w:rFonts w:ascii="Cambria" w:hAnsi="Cambria"/>
          <w:noProof/>
        </w:rPr>
        <w:tab/>
        <w:t>UNFPA. Monthly Humanitairan Update - South Sudan Conflict. 2016 http://reliefweb.int/sites/reliefweb.int/files/resources/SSD_Monthly_Humanitarian_Update_August.pdf.</w:t>
      </w:r>
    </w:p>
    <w:p w14:paraId="6F22815C"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25</w:t>
      </w:r>
      <w:r w:rsidRPr="004B689C">
        <w:rPr>
          <w:rFonts w:ascii="Cambria" w:hAnsi="Cambria"/>
          <w:noProof/>
        </w:rPr>
        <w:tab/>
        <w:t xml:space="preserve">Azman AS, Rudolph KE, Cummings D a T, Lessler J. The incubation period of cholera: a systematic review. </w:t>
      </w:r>
      <w:r w:rsidRPr="004B689C">
        <w:rPr>
          <w:rFonts w:ascii="Cambria" w:hAnsi="Cambria"/>
          <w:i/>
          <w:iCs/>
          <w:noProof/>
        </w:rPr>
        <w:t>J Infect</w:t>
      </w:r>
      <w:r w:rsidRPr="004B689C">
        <w:rPr>
          <w:rFonts w:ascii="Cambria" w:hAnsi="Cambria"/>
          <w:noProof/>
        </w:rPr>
        <w:t xml:space="preserve"> 2013; </w:t>
      </w:r>
      <w:r w:rsidRPr="004B689C">
        <w:rPr>
          <w:rFonts w:ascii="Cambria" w:hAnsi="Cambria"/>
          <w:b/>
          <w:bCs/>
          <w:noProof/>
        </w:rPr>
        <w:t>66</w:t>
      </w:r>
      <w:r w:rsidRPr="004B689C">
        <w:rPr>
          <w:rFonts w:ascii="Cambria" w:hAnsi="Cambria"/>
          <w:noProof/>
        </w:rPr>
        <w:t>: 432–8.</w:t>
      </w:r>
    </w:p>
    <w:p w14:paraId="19C99E62"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26</w:t>
      </w:r>
      <w:r w:rsidRPr="004B689C">
        <w:rPr>
          <w:rFonts w:ascii="Cambria" w:hAnsi="Cambria"/>
          <w:noProof/>
        </w:rPr>
        <w:tab/>
        <w:t xml:space="preserve">Azman AS, Luquero FJ, Ciglenecki I, Grais RF, Sack D a., Lessler J. The Impact of a One-Dose versus Two-Dose Oral Cholera Vaccine Regimen in Outbreak Settings: A Modeling Study. </w:t>
      </w:r>
      <w:r w:rsidRPr="004B689C">
        <w:rPr>
          <w:rFonts w:ascii="Cambria" w:hAnsi="Cambria"/>
          <w:i/>
          <w:iCs/>
          <w:noProof/>
        </w:rPr>
        <w:t>PLOS Med</w:t>
      </w:r>
      <w:r w:rsidRPr="004B689C">
        <w:rPr>
          <w:rFonts w:ascii="Cambria" w:hAnsi="Cambria"/>
          <w:noProof/>
        </w:rPr>
        <w:t xml:space="preserve"> 2015; </w:t>
      </w:r>
      <w:r w:rsidRPr="004B689C">
        <w:rPr>
          <w:rFonts w:ascii="Cambria" w:hAnsi="Cambria"/>
          <w:b/>
          <w:bCs/>
          <w:noProof/>
        </w:rPr>
        <w:t>12</w:t>
      </w:r>
      <w:r w:rsidRPr="004B689C">
        <w:rPr>
          <w:rFonts w:ascii="Cambria" w:hAnsi="Cambria"/>
          <w:noProof/>
        </w:rPr>
        <w:t>: e1001867.</w:t>
      </w:r>
    </w:p>
    <w:p w14:paraId="66CDE818"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27</w:t>
      </w:r>
      <w:r w:rsidRPr="004B689C">
        <w:rPr>
          <w:rFonts w:ascii="Cambria" w:hAnsi="Cambria"/>
          <w:noProof/>
        </w:rPr>
        <w:tab/>
        <w:t xml:space="preserve">Weil A a, Khan AI, Chowdhury F, </w:t>
      </w:r>
      <w:r w:rsidRPr="004B689C">
        <w:rPr>
          <w:rFonts w:ascii="Cambria" w:hAnsi="Cambria"/>
          <w:i/>
          <w:iCs/>
          <w:noProof/>
        </w:rPr>
        <w:t>et al.</w:t>
      </w:r>
      <w:r w:rsidRPr="004B689C">
        <w:rPr>
          <w:rFonts w:ascii="Cambria" w:hAnsi="Cambria"/>
          <w:noProof/>
        </w:rPr>
        <w:t xml:space="preserve"> Clinical outcomes in household contacts of patients with cholera in Bangladesh. </w:t>
      </w:r>
      <w:r w:rsidRPr="004B689C">
        <w:rPr>
          <w:rFonts w:ascii="Cambria" w:hAnsi="Cambria"/>
          <w:i/>
          <w:iCs/>
          <w:noProof/>
        </w:rPr>
        <w:t>Clin Infect Dis</w:t>
      </w:r>
      <w:r w:rsidRPr="004B689C">
        <w:rPr>
          <w:rFonts w:ascii="Cambria" w:hAnsi="Cambria"/>
          <w:noProof/>
        </w:rPr>
        <w:t xml:space="preserve"> 2009; </w:t>
      </w:r>
      <w:r w:rsidRPr="004B689C">
        <w:rPr>
          <w:rFonts w:ascii="Cambria" w:hAnsi="Cambria"/>
          <w:b/>
          <w:bCs/>
          <w:noProof/>
        </w:rPr>
        <w:t>49</w:t>
      </w:r>
      <w:r w:rsidRPr="004B689C">
        <w:rPr>
          <w:rFonts w:ascii="Cambria" w:hAnsi="Cambria"/>
          <w:noProof/>
        </w:rPr>
        <w:t>: 1473–9.</w:t>
      </w:r>
    </w:p>
    <w:p w14:paraId="044DE067"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28</w:t>
      </w:r>
      <w:r w:rsidRPr="004B689C">
        <w:rPr>
          <w:rFonts w:ascii="Cambria" w:hAnsi="Cambria"/>
          <w:noProof/>
        </w:rPr>
        <w:tab/>
        <w:t xml:space="preserve">Moore S, Lessler J. Optimal allocation of the limited oral cholera vaccine supply between endemic and epidemic settings. </w:t>
      </w:r>
      <w:r w:rsidRPr="004B689C">
        <w:rPr>
          <w:rFonts w:ascii="Cambria" w:hAnsi="Cambria"/>
          <w:i/>
          <w:iCs/>
          <w:noProof/>
        </w:rPr>
        <w:t>J R Soc …</w:t>
      </w:r>
      <w:r w:rsidRPr="004B689C">
        <w:rPr>
          <w:rFonts w:ascii="Cambria" w:hAnsi="Cambria"/>
          <w:noProof/>
        </w:rPr>
        <w:t xml:space="preserve"> 2015. http://rsif.royalsocietypublishing.org/content/12/111/20150703 (accessed Oct 3, 2015).</w:t>
      </w:r>
    </w:p>
    <w:p w14:paraId="3AA67050"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29</w:t>
      </w:r>
      <w:r w:rsidRPr="004B689C">
        <w:rPr>
          <w:rFonts w:ascii="Cambria" w:hAnsi="Cambria"/>
          <w:noProof/>
        </w:rPr>
        <w:tab/>
        <w:t xml:space="preserve">Bhattacharya SK, Sur D, Ali M, </w:t>
      </w:r>
      <w:r w:rsidRPr="004B689C">
        <w:rPr>
          <w:rFonts w:ascii="Cambria" w:hAnsi="Cambria"/>
          <w:i/>
          <w:iCs/>
          <w:noProof/>
        </w:rPr>
        <w:t>et al.</w:t>
      </w:r>
      <w:r w:rsidRPr="004B689C">
        <w:rPr>
          <w:rFonts w:ascii="Cambria" w:hAnsi="Cambria"/>
          <w:noProof/>
        </w:rPr>
        <w:t xml:space="preserve"> 5 year efficacy of a bivalent killed whole-cell oral cholera vaccine in Kolkata, India: a cluster-randomised, double-blind, placebo-controlled trial. </w:t>
      </w:r>
      <w:r w:rsidRPr="004B689C">
        <w:rPr>
          <w:rFonts w:ascii="Cambria" w:hAnsi="Cambria"/>
          <w:i/>
          <w:iCs/>
          <w:noProof/>
        </w:rPr>
        <w:t>Lancet Infect Dis</w:t>
      </w:r>
      <w:r w:rsidRPr="004B689C">
        <w:rPr>
          <w:rFonts w:ascii="Cambria" w:hAnsi="Cambria"/>
          <w:noProof/>
        </w:rPr>
        <w:t xml:space="preserve"> 2013; </w:t>
      </w:r>
      <w:r w:rsidRPr="004B689C">
        <w:rPr>
          <w:rFonts w:ascii="Cambria" w:hAnsi="Cambria"/>
          <w:b/>
          <w:bCs/>
          <w:noProof/>
        </w:rPr>
        <w:t>13</w:t>
      </w:r>
      <w:r w:rsidRPr="004B689C">
        <w:rPr>
          <w:rFonts w:ascii="Cambria" w:hAnsi="Cambria"/>
          <w:noProof/>
        </w:rPr>
        <w:t>: 1050–6.</w:t>
      </w:r>
    </w:p>
    <w:p w14:paraId="1E2F7CF0"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30</w:t>
      </w:r>
      <w:r w:rsidRPr="004B689C">
        <w:rPr>
          <w:rFonts w:ascii="Cambria" w:hAnsi="Cambria"/>
          <w:noProof/>
        </w:rPr>
        <w:tab/>
        <w:t xml:space="preserve">Van Loon FPL, Clemens JD, Chakraborty J, </w:t>
      </w:r>
      <w:r w:rsidRPr="004B689C">
        <w:rPr>
          <w:rFonts w:ascii="Cambria" w:hAnsi="Cambria"/>
          <w:i/>
          <w:iCs/>
          <w:noProof/>
        </w:rPr>
        <w:t>et al.</w:t>
      </w:r>
      <w:r w:rsidRPr="004B689C">
        <w:rPr>
          <w:rFonts w:ascii="Cambria" w:hAnsi="Cambria"/>
          <w:noProof/>
        </w:rPr>
        <w:t xml:space="preserve"> Field trial of inactivated oral cholera vaccines in Bangladesh: Results from 5 years of follow-up. </w:t>
      </w:r>
      <w:r w:rsidRPr="004B689C">
        <w:rPr>
          <w:rFonts w:ascii="Cambria" w:hAnsi="Cambria"/>
          <w:i/>
          <w:iCs/>
          <w:noProof/>
        </w:rPr>
        <w:t>Vaccine</w:t>
      </w:r>
      <w:r w:rsidRPr="004B689C">
        <w:rPr>
          <w:rFonts w:ascii="Cambria" w:hAnsi="Cambria"/>
          <w:noProof/>
        </w:rPr>
        <w:t xml:space="preserve"> 1996; </w:t>
      </w:r>
      <w:r w:rsidRPr="004B689C">
        <w:rPr>
          <w:rFonts w:ascii="Cambria" w:hAnsi="Cambria"/>
          <w:b/>
          <w:bCs/>
          <w:noProof/>
        </w:rPr>
        <w:t>14</w:t>
      </w:r>
      <w:r w:rsidRPr="004B689C">
        <w:rPr>
          <w:rFonts w:ascii="Cambria" w:hAnsi="Cambria"/>
          <w:noProof/>
        </w:rPr>
        <w:t>: 162–6.</w:t>
      </w:r>
    </w:p>
    <w:p w14:paraId="1ED8CECB"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31</w:t>
      </w:r>
      <w:r w:rsidRPr="004B689C">
        <w:rPr>
          <w:rFonts w:ascii="Cambria" w:hAnsi="Cambria"/>
          <w:noProof/>
        </w:rPr>
        <w:tab/>
        <w:t xml:space="preserve">Fox JP, Elveback L, Scott W, Gatewood L, Ackerman E. Herd Immunity: Basic Concept and Relevance To Public Health Immunization Practices. </w:t>
      </w:r>
      <w:r w:rsidRPr="004B689C">
        <w:rPr>
          <w:rFonts w:ascii="Cambria" w:hAnsi="Cambria"/>
          <w:i/>
          <w:iCs/>
          <w:noProof/>
        </w:rPr>
        <w:t>Am J Epidemiol</w:t>
      </w:r>
      <w:r w:rsidRPr="004B689C">
        <w:rPr>
          <w:rFonts w:ascii="Cambria" w:hAnsi="Cambria"/>
          <w:noProof/>
        </w:rPr>
        <w:t xml:space="preserve"> 1971; </w:t>
      </w:r>
      <w:r w:rsidRPr="004B689C">
        <w:rPr>
          <w:rFonts w:ascii="Cambria" w:hAnsi="Cambria"/>
          <w:b/>
          <w:bCs/>
          <w:noProof/>
        </w:rPr>
        <w:t>94</w:t>
      </w:r>
      <w:r w:rsidRPr="004B689C">
        <w:rPr>
          <w:rFonts w:ascii="Cambria" w:hAnsi="Cambria"/>
          <w:noProof/>
        </w:rPr>
        <w:t>: 187–97.</w:t>
      </w:r>
    </w:p>
    <w:p w14:paraId="7E81FFC9"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32</w:t>
      </w:r>
      <w:r w:rsidRPr="004B689C">
        <w:rPr>
          <w:rFonts w:ascii="Cambria" w:hAnsi="Cambria"/>
          <w:noProof/>
        </w:rPr>
        <w:tab/>
        <w:t xml:space="preserve">Lessler J, Metcalf CJE, Cutts FT, Grenfell BT. Impact on Epidemic Measles of Vaccination Campaigns Triggered by Disease Outbreaks or Serosurveys: A Modeling Study. </w:t>
      </w:r>
      <w:r w:rsidRPr="004B689C">
        <w:rPr>
          <w:rFonts w:ascii="Cambria" w:hAnsi="Cambria"/>
          <w:i/>
          <w:iCs/>
          <w:noProof/>
        </w:rPr>
        <w:t>PLoS Med</w:t>
      </w:r>
      <w:r w:rsidRPr="004B689C">
        <w:rPr>
          <w:rFonts w:ascii="Cambria" w:hAnsi="Cambria"/>
          <w:noProof/>
        </w:rPr>
        <w:t xml:space="preserve"> 2016; </w:t>
      </w:r>
      <w:r w:rsidRPr="004B689C">
        <w:rPr>
          <w:rFonts w:ascii="Cambria" w:hAnsi="Cambria"/>
          <w:b/>
          <w:bCs/>
          <w:noProof/>
        </w:rPr>
        <w:t>13</w:t>
      </w:r>
      <w:r w:rsidRPr="004B689C">
        <w:rPr>
          <w:rFonts w:ascii="Cambria" w:hAnsi="Cambria"/>
          <w:noProof/>
        </w:rPr>
        <w:t>: e1002144.</w:t>
      </w:r>
    </w:p>
    <w:p w14:paraId="5C3EAB24"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33</w:t>
      </w:r>
      <w:r w:rsidRPr="004B689C">
        <w:rPr>
          <w:rFonts w:ascii="Cambria" w:hAnsi="Cambria"/>
          <w:noProof/>
        </w:rPr>
        <w:tab/>
        <w:t>World Health Organization. Guidance on how to access the Oral Cholera Vaccine ( OCV ) from the ICG emergency stockpile. Geneva, Switzerland, 2013 http://www.who.int/cholera/vaccines/Guidance_accessing_OCV_stockpile.pdf.</w:t>
      </w:r>
    </w:p>
    <w:p w14:paraId="6B387E49"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34</w:t>
      </w:r>
      <w:r w:rsidRPr="004B689C">
        <w:rPr>
          <w:rFonts w:ascii="Cambria" w:hAnsi="Cambria"/>
          <w:noProof/>
        </w:rPr>
        <w:tab/>
        <w:t xml:space="preserve">Azman AS, Lessler J. Reactive vaccination in the presence of disease hotspots. </w:t>
      </w:r>
      <w:r w:rsidRPr="004B689C">
        <w:rPr>
          <w:rFonts w:ascii="Cambria" w:hAnsi="Cambria"/>
          <w:i/>
          <w:iCs/>
          <w:noProof/>
        </w:rPr>
        <w:t>Proc R Soc B Biol Sci</w:t>
      </w:r>
      <w:r w:rsidRPr="004B689C">
        <w:rPr>
          <w:rFonts w:ascii="Cambria" w:hAnsi="Cambria"/>
          <w:noProof/>
        </w:rPr>
        <w:t xml:space="preserve"> 2015; </w:t>
      </w:r>
      <w:r w:rsidRPr="004B689C">
        <w:rPr>
          <w:rFonts w:ascii="Cambria" w:hAnsi="Cambria"/>
          <w:b/>
          <w:bCs/>
          <w:noProof/>
        </w:rPr>
        <w:t>282</w:t>
      </w:r>
      <w:r w:rsidRPr="004B689C">
        <w:rPr>
          <w:rFonts w:ascii="Cambria" w:hAnsi="Cambria"/>
          <w:noProof/>
        </w:rPr>
        <w:t>: 20141341–20141341.</w:t>
      </w:r>
    </w:p>
    <w:p w14:paraId="71519A2C"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35</w:t>
      </w:r>
      <w:r w:rsidRPr="004B689C">
        <w:rPr>
          <w:rFonts w:ascii="Cambria" w:hAnsi="Cambria"/>
          <w:noProof/>
        </w:rPr>
        <w:tab/>
        <w:t xml:space="preserve">Azman A, Luquero FJ, Rodrigues A, </w:t>
      </w:r>
      <w:r w:rsidRPr="004B689C">
        <w:rPr>
          <w:rFonts w:ascii="Cambria" w:hAnsi="Cambria"/>
          <w:i/>
          <w:iCs/>
          <w:noProof/>
        </w:rPr>
        <w:t>et al.</w:t>
      </w:r>
      <w:r w:rsidRPr="004B689C">
        <w:rPr>
          <w:rFonts w:ascii="Cambria" w:hAnsi="Cambria"/>
          <w:noProof/>
        </w:rPr>
        <w:t xml:space="preserve"> Urban Cholera Transmission Hotspots and their Implications for Reactive Vaccination : Evidence from Bissau City. </w:t>
      </w:r>
      <w:r w:rsidRPr="004B689C">
        <w:rPr>
          <w:rFonts w:ascii="Cambria" w:hAnsi="Cambria"/>
          <w:i/>
          <w:iCs/>
          <w:noProof/>
        </w:rPr>
        <w:t>PLoS Negl Trop Dis</w:t>
      </w:r>
      <w:r w:rsidRPr="004B689C">
        <w:rPr>
          <w:rFonts w:ascii="Cambria" w:hAnsi="Cambria"/>
          <w:noProof/>
        </w:rPr>
        <w:t xml:space="preserve"> 2012; : 1–8.</w:t>
      </w:r>
    </w:p>
    <w:p w14:paraId="62947A4D"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36</w:t>
      </w:r>
      <w:r w:rsidRPr="004B689C">
        <w:rPr>
          <w:rFonts w:ascii="Cambria" w:hAnsi="Cambria"/>
          <w:noProof/>
        </w:rPr>
        <w:tab/>
        <w:t xml:space="preserve">Recommendations of the Advisory Committee on Immunization Practices (ACIP): Typhoid Immunization. </w:t>
      </w:r>
      <w:r w:rsidRPr="004B689C">
        <w:rPr>
          <w:rFonts w:ascii="Cambria" w:hAnsi="Cambria"/>
          <w:i/>
          <w:iCs/>
          <w:noProof/>
        </w:rPr>
        <w:t>MMWR</w:t>
      </w:r>
      <w:r w:rsidRPr="004B689C">
        <w:rPr>
          <w:rFonts w:ascii="Cambria" w:hAnsi="Cambria"/>
          <w:noProof/>
        </w:rPr>
        <w:t xml:space="preserve"> 1994; </w:t>
      </w:r>
      <w:r w:rsidRPr="004B689C">
        <w:rPr>
          <w:rFonts w:ascii="Cambria" w:hAnsi="Cambria"/>
          <w:b/>
          <w:bCs/>
          <w:noProof/>
        </w:rPr>
        <w:t>RR</w:t>
      </w:r>
      <w:r w:rsidRPr="004B689C">
        <w:rPr>
          <w:rFonts w:ascii="Cambria" w:hAnsi="Cambria"/>
          <w:noProof/>
        </w:rPr>
        <w:t>-</w:t>
      </w:r>
      <w:r w:rsidRPr="004B689C">
        <w:rPr>
          <w:rFonts w:ascii="Cambria" w:hAnsi="Cambria"/>
          <w:b/>
          <w:bCs/>
          <w:noProof/>
        </w:rPr>
        <w:t>14</w:t>
      </w:r>
      <w:r w:rsidRPr="004B689C">
        <w:rPr>
          <w:rFonts w:ascii="Cambria" w:hAnsi="Cambria"/>
          <w:noProof/>
        </w:rPr>
        <w:t>. ftp://ftp.cdc.gov/pub/publications/mmwr/rr/rr4314.pdf.</w:t>
      </w:r>
    </w:p>
    <w:p w14:paraId="7524C099"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37</w:t>
      </w:r>
      <w:r w:rsidRPr="004B689C">
        <w:rPr>
          <w:rFonts w:ascii="Cambria" w:hAnsi="Cambria"/>
          <w:noProof/>
        </w:rPr>
        <w:tab/>
        <w:t xml:space="preserve">Biellik R, Madema S, Taole A, </w:t>
      </w:r>
      <w:r w:rsidRPr="004B689C">
        <w:rPr>
          <w:rFonts w:ascii="Cambria" w:hAnsi="Cambria"/>
          <w:i/>
          <w:iCs/>
          <w:noProof/>
        </w:rPr>
        <w:t>et al.</w:t>
      </w:r>
      <w:r w:rsidRPr="004B689C">
        <w:rPr>
          <w:rFonts w:ascii="Cambria" w:hAnsi="Cambria"/>
          <w:noProof/>
        </w:rPr>
        <w:t xml:space="preserve"> First 5 years of measles elimination in southern Africa: 1996-2000. </w:t>
      </w:r>
      <w:r w:rsidRPr="004B689C">
        <w:rPr>
          <w:rFonts w:ascii="Cambria" w:hAnsi="Cambria"/>
          <w:i/>
          <w:iCs/>
          <w:noProof/>
        </w:rPr>
        <w:t>Lancet</w:t>
      </w:r>
      <w:r w:rsidRPr="004B689C">
        <w:rPr>
          <w:rFonts w:ascii="Cambria" w:hAnsi="Cambria"/>
          <w:noProof/>
        </w:rPr>
        <w:t xml:space="preserve"> 2002; </w:t>
      </w:r>
      <w:r w:rsidRPr="004B689C">
        <w:rPr>
          <w:rFonts w:ascii="Cambria" w:hAnsi="Cambria"/>
          <w:b/>
          <w:bCs/>
          <w:noProof/>
        </w:rPr>
        <w:t>359</w:t>
      </w:r>
      <w:r w:rsidRPr="004B689C">
        <w:rPr>
          <w:rFonts w:ascii="Cambria" w:hAnsi="Cambria"/>
          <w:noProof/>
        </w:rPr>
        <w:t>: 1564–8.</w:t>
      </w:r>
    </w:p>
    <w:p w14:paraId="1DFDAB9D"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38</w:t>
      </w:r>
      <w:r w:rsidRPr="004B689C">
        <w:rPr>
          <w:rFonts w:ascii="Cambria" w:hAnsi="Cambria"/>
          <w:noProof/>
        </w:rPr>
        <w:tab/>
        <w:t>WHO-UNICEF. Yellow Fever Initiative: Providing an opportunity of a lifetime. 2010 http://www.who.int/csr/disease/yellowfev/YFIbrochure.pdf.</w:t>
      </w:r>
    </w:p>
    <w:p w14:paraId="27AD6D98"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t>39</w:t>
      </w:r>
      <w:r w:rsidRPr="004B689C">
        <w:rPr>
          <w:rFonts w:ascii="Cambria" w:hAnsi="Cambria"/>
          <w:noProof/>
        </w:rPr>
        <w:tab/>
        <w:t xml:space="preserve">Wu JT, Peak CM, Leung GM, Lipsitch M. Fractional dosing of yellow fever vaccine to extend supply: a modelling study. </w:t>
      </w:r>
      <w:r w:rsidRPr="004B689C">
        <w:rPr>
          <w:rFonts w:ascii="Cambria" w:hAnsi="Cambria"/>
          <w:i/>
          <w:iCs/>
          <w:noProof/>
        </w:rPr>
        <w:t>Lancet</w:t>
      </w:r>
      <w:r w:rsidRPr="004B689C">
        <w:rPr>
          <w:rFonts w:ascii="Cambria" w:hAnsi="Cambria"/>
          <w:noProof/>
        </w:rPr>
        <w:t xml:space="preserve"> 2016; </w:t>
      </w:r>
      <w:r w:rsidRPr="004B689C">
        <w:rPr>
          <w:rFonts w:ascii="Cambria" w:hAnsi="Cambria"/>
          <w:b/>
          <w:bCs/>
          <w:noProof/>
        </w:rPr>
        <w:t>6736</w:t>
      </w:r>
      <w:r w:rsidRPr="004B689C">
        <w:rPr>
          <w:rFonts w:ascii="Cambria" w:hAnsi="Cambria"/>
          <w:noProof/>
        </w:rPr>
        <w:t>: 53421.</w:t>
      </w:r>
    </w:p>
    <w:p w14:paraId="4352259A" w14:textId="77777777" w:rsidR="004B689C" w:rsidRPr="004B689C" w:rsidRDefault="004B689C" w:rsidP="004B689C">
      <w:pPr>
        <w:widowControl w:val="0"/>
        <w:autoSpaceDE w:val="0"/>
        <w:autoSpaceDN w:val="0"/>
        <w:adjustRightInd w:val="0"/>
        <w:ind w:left="640" w:hanging="640"/>
        <w:rPr>
          <w:rFonts w:ascii="Cambria" w:hAnsi="Cambria"/>
          <w:noProof/>
        </w:rPr>
      </w:pPr>
      <w:r w:rsidRPr="004B689C">
        <w:rPr>
          <w:rFonts w:ascii="Cambria" w:hAnsi="Cambria"/>
          <w:noProof/>
        </w:rPr>
        <w:lastRenderedPageBreak/>
        <w:t>40</w:t>
      </w:r>
      <w:r w:rsidRPr="004B689C">
        <w:rPr>
          <w:rFonts w:ascii="Cambria" w:hAnsi="Cambria"/>
          <w:noProof/>
        </w:rPr>
        <w:tab/>
        <w:t xml:space="preserve">Azman AS, Rumunu J, Abubakar A, </w:t>
      </w:r>
      <w:r w:rsidRPr="004B689C">
        <w:rPr>
          <w:rFonts w:ascii="Cambria" w:hAnsi="Cambria"/>
          <w:i/>
          <w:iCs/>
          <w:noProof/>
        </w:rPr>
        <w:t>et al.</w:t>
      </w:r>
      <w:r w:rsidRPr="004B689C">
        <w:rPr>
          <w:rFonts w:ascii="Cambria" w:hAnsi="Cambria"/>
          <w:noProof/>
        </w:rPr>
        <w:t xml:space="preserve"> Population-Level Effect of Cholera Vaccine on Displaced Populations, South Sudan, 2014. </w:t>
      </w:r>
      <w:r w:rsidRPr="004B689C">
        <w:rPr>
          <w:rFonts w:ascii="Cambria" w:hAnsi="Cambria"/>
          <w:i/>
          <w:iCs/>
          <w:noProof/>
        </w:rPr>
        <w:t>Emerg Infect Dis</w:t>
      </w:r>
      <w:r w:rsidRPr="004B689C">
        <w:rPr>
          <w:rFonts w:ascii="Cambria" w:hAnsi="Cambria"/>
          <w:noProof/>
        </w:rPr>
        <w:t xml:space="preserve"> 2016; </w:t>
      </w:r>
      <w:r w:rsidRPr="004B689C">
        <w:rPr>
          <w:rFonts w:ascii="Cambria" w:hAnsi="Cambria"/>
          <w:b/>
          <w:bCs/>
          <w:noProof/>
        </w:rPr>
        <w:t>22</w:t>
      </w:r>
      <w:r w:rsidRPr="004B689C">
        <w:rPr>
          <w:rFonts w:ascii="Cambria" w:hAnsi="Cambria"/>
          <w:noProof/>
        </w:rPr>
        <w:t>: 2014–7.</w:t>
      </w:r>
    </w:p>
    <w:p w14:paraId="6F3B41A3" w14:textId="3E7B2D9A" w:rsidR="00D77E67" w:rsidRDefault="000A51A6" w:rsidP="004B689C">
      <w:pPr>
        <w:widowControl w:val="0"/>
        <w:autoSpaceDE w:val="0"/>
        <w:autoSpaceDN w:val="0"/>
        <w:adjustRightInd w:val="0"/>
        <w:ind w:left="640" w:hanging="640"/>
      </w:pPr>
      <w:r>
        <w:rPr>
          <w:b/>
        </w:rPr>
        <w:fldChar w:fldCharType="end"/>
      </w:r>
      <w:r w:rsidR="00D77E67">
        <w:br w:type="page"/>
      </w:r>
    </w:p>
    <w:p w14:paraId="56BEA3D4" w14:textId="252DF5CB" w:rsidR="00D77E67" w:rsidRDefault="00D77E67" w:rsidP="00D77E67">
      <w:r>
        <w:rPr>
          <w:b/>
        </w:rPr>
        <w:lastRenderedPageBreak/>
        <w:t>SUPPLEMENTAL INFORMATION</w:t>
      </w:r>
    </w:p>
    <w:p w14:paraId="769735D7" w14:textId="77777777" w:rsidR="00D60633" w:rsidRDefault="00D60633" w:rsidP="00D60633">
      <w:pPr>
        <w:rPr>
          <w:b/>
        </w:rPr>
      </w:pPr>
    </w:p>
    <w:p w14:paraId="21F96D8C" w14:textId="1C72804C" w:rsidR="00D60633" w:rsidRDefault="00D60633" w:rsidP="00D60633">
      <w:pPr>
        <w:rPr>
          <w:b/>
        </w:rPr>
      </w:pPr>
      <w:r>
        <w:rPr>
          <w:b/>
        </w:rPr>
        <w:t xml:space="preserve">Fig S1. </w:t>
      </w:r>
      <w:proofErr w:type="spellStart"/>
      <w:r>
        <w:rPr>
          <w:b/>
        </w:rPr>
        <w:t>Bentiu</w:t>
      </w:r>
      <w:proofErr w:type="spellEnd"/>
      <w:r>
        <w:rPr>
          <w:b/>
        </w:rPr>
        <w:t xml:space="preserve"> </w:t>
      </w:r>
      <w:proofErr w:type="spellStart"/>
      <w:r>
        <w:rPr>
          <w:b/>
        </w:rPr>
        <w:t>PoC</w:t>
      </w:r>
      <w:proofErr w:type="spellEnd"/>
      <w:r>
        <w:rPr>
          <w:b/>
        </w:rPr>
        <w:t xml:space="preserve"> Camp population estimates over time. </w:t>
      </w:r>
    </w:p>
    <w:p w14:paraId="78EC51D2" w14:textId="7E815B8A" w:rsidR="00D60633" w:rsidRDefault="00D60633" w:rsidP="00D60633">
      <w:r>
        <w:t xml:space="preserve">In order to simulate the </w:t>
      </w:r>
      <w:proofErr w:type="spellStart"/>
      <w:r>
        <w:t>Bentiu</w:t>
      </w:r>
      <w:proofErr w:type="spellEnd"/>
      <w:r>
        <w:t xml:space="preserve"> </w:t>
      </w:r>
      <w:proofErr w:type="spellStart"/>
      <w:r>
        <w:t>PoC</w:t>
      </w:r>
      <w:proofErr w:type="spellEnd"/>
      <w:r>
        <w:t xml:space="preserve"> Camp, we separated the IOM population estimates (black line) into four segments (vertical dashed lines). During the first segment from February 2014 to June 2014, we assumed linear growth (blue line). During the second segment from June 2014 to December 2015, we simulated exponential growth at a rate of </w:t>
      </w:r>
      <m:oMath>
        <m:f>
          <m:fPr>
            <m:ctrlPr>
              <w:rPr>
                <w:rFonts w:ascii="Cambria Math" w:hAnsi="Cambria Math"/>
                <w:i/>
              </w:rPr>
            </m:ctrlPr>
          </m:fPr>
          <m:num>
            <m:r>
              <w:rPr>
                <w:rFonts w:ascii="Cambria Math" w:hAnsi="Cambria Math"/>
              </w:rPr>
              <m:t>1</m:t>
            </m:r>
          </m:num>
          <m:den>
            <m:r>
              <w:rPr>
                <w:rFonts w:ascii="Cambria Math" w:hAnsi="Cambria Math"/>
              </w:rPr>
              <m:t>1.21 years</m:t>
            </m:r>
          </m:den>
        </m:f>
      </m:oMath>
      <w:r>
        <w:t xml:space="preserve">. During the third segment from December 2015 to May 2015, we assumed exponential decay at a rate of </w:t>
      </w:r>
      <m:oMath>
        <m:f>
          <m:fPr>
            <m:ctrlPr>
              <w:rPr>
                <w:rFonts w:ascii="Cambria Math" w:hAnsi="Cambria Math"/>
                <w:i/>
              </w:rPr>
            </m:ctrlPr>
          </m:fPr>
          <m:num>
            <m:r>
              <w:rPr>
                <w:rFonts w:ascii="Cambria Math" w:hAnsi="Cambria Math"/>
              </w:rPr>
              <m:t>1</m:t>
            </m:r>
          </m:num>
          <m:den>
            <m:r>
              <w:rPr>
                <w:rFonts w:ascii="Cambria Math" w:hAnsi="Cambria Math"/>
              </w:rPr>
              <m:t>1.21 years</m:t>
            </m:r>
          </m:den>
        </m:f>
      </m:oMath>
      <w:r>
        <w:t xml:space="preserve">. During the fourth and final segment beginning May 2015, we assumed population size was constant. The use of exponential and constant functions allowed for population size to change dynamically within a compartmental model framework, and provided population estimates that were visually reasonable. Our deterministic simulations began on June 15, when vaccination first occurred.  </w:t>
      </w:r>
    </w:p>
    <w:p w14:paraId="2D849925" w14:textId="77777777" w:rsidR="00D60633" w:rsidRDefault="00D60633" w:rsidP="00754E2D"/>
    <w:p w14:paraId="6F2D9990" w14:textId="68805734" w:rsidR="003B6D69" w:rsidRDefault="00055B77" w:rsidP="00754E2D">
      <w:r>
        <w:rPr>
          <w:b/>
        </w:rPr>
        <w:t xml:space="preserve">Figure </w:t>
      </w:r>
      <w:r w:rsidR="00D60633">
        <w:rPr>
          <w:b/>
        </w:rPr>
        <w:t>S2</w:t>
      </w:r>
      <w:r>
        <w:rPr>
          <w:b/>
        </w:rPr>
        <w:t xml:space="preserve">. </w:t>
      </w:r>
      <w:r w:rsidRPr="00700D43">
        <w:rPr>
          <w:b/>
        </w:rPr>
        <w:t>Changes in the proportion of the population susceptible (</w:t>
      </w:r>
      <w:proofErr w:type="gramStart"/>
      <m:oMath>
        <m:r>
          <m:rPr>
            <m:sty m:val="bi"/>
          </m:rPr>
          <w:rPr>
            <w:rFonts w:ascii="Cambria Math" w:hAnsi="Cambria Math"/>
          </w:rPr>
          <m:t>X(</m:t>
        </m:r>
        <w:proofErr w:type="gramEnd"/>
        <m:r>
          <m:rPr>
            <m:sty m:val="bi"/>
          </m:rPr>
          <w:rPr>
            <w:rFonts w:ascii="Cambria Math" w:hAnsi="Cambria Math"/>
          </w:rPr>
          <m:t>t)</m:t>
        </m:r>
      </m:oMath>
      <w:r w:rsidRPr="00700D43">
        <w:rPr>
          <w:b/>
        </w:rPr>
        <w:t>) as a function of years since vaccination</w:t>
      </w:r>
      <w:r>
        <w:rPr>
          <w:b/>
        </w:rPr>
        <w:t>.</w:t>
      </w:r>
      <w:r>
        <w:t xml:space="preserve"> </w:t>
      </w:r>
    </w:p>
    <w:p w14:paraId="08FA7EE1" w14:textId="208CC458" w:rsidR="00055B77" w:rsidRDefault="00D60633" w:rsidP="00754E2D">
      <w:proofErr w:type="gramStart"/>
      <w:r>
        <w:t>As per Fig 2</w:t>
      </w:r>
      <w:r w:rsidR="00055B77">
        <w:t xml:space="preserve">, but </w:t>
      </w:r>
      <w:r w:rsidR="00FE5066">
        <w:t>with the addition of high birth/death rates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FE5066">
        <w:t>) and the BS-Whole Cell vaccine profile.</w:t>
      </w:r>
      <w:proofErr w:type="gramEnd"/>
    </w:p>
    <w:p w14:paraId="3D424263" w14:textId="77777777" w:rsidR="00002C0D" w:rsidRDefault="00002C0D" w:rsidP="00754E2D"/>
    <w:p w14:paraId="1CD7E5DC" w14:textId="147FB7F5" w:rsidR="00002C0D" w:rsidRDefault="00002C0D" w:rsidP="00002C0D">
      <w:r>
        <w:rPr>
          <w:b/>
        </w:rPr>
        <w:t>Fig S3</w:t>
      </w:r>
      <w:r>
        <w:t>.</w:t>
      </w:r>
      <w:r>
        <w:rPr>
          <w:b/>
        </w:rPr>
        <w:t xml:space="preserve"> </w:t>
      </w:r>
      <w:proofErr w:type="gramStart"/>
      <w:r>
        <w:rPr>
          <w:b/>
        </w:rPr>
        <w:t>Duration of Herd Immunity (DHI) as a function of vaccine coverage and basic reproductive number.</w:t>
      </w:r>
      <w:proofErr w:type="gramEnd"/>
      <w:r>
        <w:t xml:space="preserve"> </w:t>
      </w:r>
    </w:p>
    <w:p w14:paraId="38ACEC9E" w14:textId="60A2E13E" w:rsidR="003640B7" w:rsidRDefault="00002C0D" w:rsidP="00754E2D">
      <w:r>
        <w:t>DHI is maximized in settings with high vaccine coverage and low basic reproductive numbers. Due to a longer duration of moderate VE but shorter duration of any VE, the WC vaccine possesses a wider parameter space of long DHI (blue), but an earlier fade to low or no DHI (red or white) as compared to the BS-WC vaccine. Migration rates are set to zero. Uncolored regions never obtain herd immunity.</w:t>
      </w:r>
    </w:p>
    <w:p w14:paraId="037FC54F" w14:textId="77777777" w:rsidR="00002C0D" w:rsidRPr="00055B77" w:rsidRDefault="00002C0D" w:rsidP="00754E2D"/>
    <w:p w14:paraId="1C0E7451" w14:textId="5E3B62DD" w:rsidR="00002C0D" w:rsidRDefault="00002C0D" w:rsidP="00002C0D">
      <w:pPr>
        <w:rPr>
          <w:b/>
        </w:rPr>
      </w:pPr>
      <w:r>
        <w:rPr>
          <w:b/>
        </w:rPr>
        <w:t>Fig S4. Time-dependent effective reproductive number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oMath>
      <w:r>
        <w:rPr>
          <w:b/>
        </w:rPr>
        <w:t xml:space="preserve">) and daily cholera case counts in Bentiu PoC between October and November 2016. </w:t>
      </w:r>
    </w:p>
    <w:p w14:paraId="719104F0" w14:textId="2349D70F" w:rsidR="00002C0D" w:rsidRPr="00647EAB" w:rsidRDefault="00002C0D" w:rsidP="00002C0D">
      <w:r>
        <w:t xml:space="preserve">We assumed a generation interval with mean of 5 days and following a gamma distribution with shape=0.5 and rate=0.1 as per </w:t>
      </w:r>
      <w:r w:rsidR="00800170">
        <w:t>ref</w:t>
      </w:r>
      <w:r w:rsidR="00FC2CCF">
        <w:t xml:space="preserve"> </w:t>
      </w:r>
      <w:r>
        <w:fldChar w:fldCharType="begin" w:fldLock="1"/>
      </w:r>
      <w:r>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"&lt;sup&gt;40&lt;/sup&gt;", "plainTextFormattedCitation" : "40", "previouslyFormattedCitation" : "&lt;sup&gt;39&lt;/sup&gt;" }, "properties" : { "noteIndex" : 0 }, "schema" : "https://github.com/citation-style-language/schema/raw/master/csl-citation.json" }</w:instrText>
      </w:r>
      <w:r>
        <w:fldChar w:fldCharType="separate"/>
      </w:r>
      <w:r w:rsidRPr="004B689C">
        <w:rPr>
          <w:noProof/>
          <w:vertAlign w:val="superscript"/>
        </w:rPr>
        <w:t>40</w:t>
      </w:r>
      <w:r>
        <w:fldChar w:fldCharType="end"/>
      </w:r>
      <w:r>
        <w:t>.</w:t>
      </w:r>
    </w:p>
    <w:p w14:paraId="3929A56A" w14:textId="77777777" w:rsidR="005D6069" w:rsidRDefault="005D6069" w:rsidP="006173F9"/>
    <w:p w14:paraId="2B1D08E8" w14:textId="27719048" w:rsidR="003B6D69" w:rsidRDefault="00002C0D" w:rsidP="006173F9">
      <w:pPr>
        <w:rPr>
          <w:b/>
        </w:rPr>
      </w:pPr>
      <w:r>
        <w:rPr>
          <w:b/>
        </w:rPr>
        <w:t>Fig S5</w:t>
      </w:r>
      <w:r w:rsidR="005D6069">
        <w:t>.</w:t>
      </w:r>
      <w:r w:rsidR="00E10120">
        <w:t xml:space="preserve"> </w:t>
      </w:r>
      <w:r w:rsidR="00E10120">
        <w:rPr>
          <w:b/>
        </w:rPr>
        <w:t xml:space="preserve">Vaccine targeting optimized in settings with intermediate rates of migration. </w:t>
      </w:r>
    </w:p>
    <w:p w14:paraId="3B0FEA8A" w14:textId="0C1E8481" w:rsidR="00647EAB" w:rsidRDefault="00002C0D" w:rsidP="00F038DC">
      <w:r>
        <w:t>As per Fig 5</w:t>
      </w:r>
      <w:r w:rsidR="00E10120">
        <w:t>, except for a perf</w:t>
      </w:r>
      <w:r>
        <w:t>ect vaccine (VE=1 indefinitely).</w:t>
      </w:r>
    </w:p>
    <w:p w14:paraId="4A246F53" w14:textId="77777777" w:rsidR="00002C0D" w:rsidRDefault="00002C0D"/>
    <w:p w14:paraId="6FF34711" w14:textId="77777777" w:rsidR="00C01BE6" w:rsidRDefault="00C01BE6" w:rsidP="00C01BE6">
      <w:pPr>
        <w:ind w:left="720"/>
      </w:pPr>
    </w:p>
    <w:p w14:paraId="62FA4CBD" w14:textId="77777777" w:rsidR="00C01BE6" w:rsidRDefault="00C01BE6" w:rsidP="00C01BE6">
      <w:proofErr w:type="gramStart"/>
      <w:r>
        <w:t>{ Preliminary</w:t>
      </w:r>
      <w:proofErr w:type="gramEnd"/>
      <w:r>
        <w:t xml:space="preserve">: </w:t>
      </w:r>
    </w:p>
    <w:p w14:paraId="375EC85A" w14:textId="77777777" w:rsidR="00C01BE6" w:rsidRDefault="00C01BE6" w:rsidP="00C01BE6">
      <w:pPr>
        <w:ind w:left="720"/>
      </w:pPr>
      <w:r>
        <w:t xml:space="preserve">To account for seasonal forcing, the transmission parameter </w:t>
      </w:r>
      <m:oMath>
        <m:r>
          <w:rPr>
            <w:rFonts w:ascii="Cambria Math" w:hAnsi="Cambria Math"/>
          </w:rPr>
          <m:t>β</m:t>
        </m:r>
      </m:oMath>
      <w:r>
        <w:t xml:space="preserve"> is allowed to vary with each day (t) acc</w:t>
      </w:r>
      <w:proofErr w:type="spellStart"/>
      <w:r>
        <w:t>ording</w:t>
      </w:r>
      <w:proofErr w:type="spellEnd"/>
      <w:r>
        <w:t xml:space="preserve">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 [cite].</w:t>
      </w:r>
    </w:p>
    <w:p w14:paraId="4A38E86E" w14:textId="77777777" w:rsidR="00C01BE6" w:rsidRDefault="00C01BE6" w:rsidP="00C01BE6">
      <w:pPr>
        <w:ind w:left="720"/>
        <w:rPr>
          <w:b/>
        </w:rPr>
      </w:pPr>
    </w:p>
    <w:p w14:paraId="0439A599" w14:textId="77777777" w:rsidR="00C01BE6" w:rsidRPr="001850C4" w:rsidRDefault="00C01BE6" w:rsidP="00C01BE6">
      <w:pPr>
        <w:ind w:left="720"/>
      </w:pPr>
      <w:r>
        <w:t xml:space="preserve">Our primary results assume a “leaky” vaccine mode of action, but analysis using an “all or none” mode of action was repeated using a time-invariant VE estimate and creating paths from each vaccine compartment back to the S compartment so that the duration of time in the </w:t>
      </w:r>
      <w:proofErr w:type="spellStart"/>
      <w:r>
        <w:t>V</w:t>
      </w:r>
      <w:r>
        <w:softHyphen/>
      </w:r>
      <w:r>
        <w:rPr>
          <w:vertAlign w:val="subscript"/>
        </w:rPr>
        <w:t>n</w:t>
      </w:r>
      <w:proofErr w:type="spellEnd"/>
      <w:r>
        <w:t xml:space="preserve"> ensemble is variable (????). In summary, the results presented in the main text were robust to the assumed mode of vaccine action.</w:t>
      </w:r>
    </w:p>
    <w:p w14:paraId="329285B2" w14:textId="77777777" w:rsidR="00C01BE6" w:rsidRDefault="00C01BE6" w:rsidP="00C01BE6">
      <w:pPr>
        <w:ind w:left="720"/>
        <w:rPr>
          <w:b/>
        </w:rPr>
      </w:pPr>
    </w:p>
    <w:p w14:paraId="3A1FD076" w14:textId="77777777" w:rsidR="00C01BE6" w:rsidRDefault="00C01BE6" w:rsidP="00C01BE6">
      <w:pPr>
        <w:ind w:left="720"/>
      </w:pPr>
      <w:r>
        <w:t>Furthermore, our primary results assume a direct transmission route of cholera, while some models prefer transmission through an intermediary such as a water reservoir [cite]. Our results regarding the duration of herd protection are insensitive to assumptions regarding transmission route, as they deal with vaccine effects and changes to the population demographic via birth/death or migration.</w:t>
      </w:r>
    </w:p>
    <w:p w14:paraId="718D0DB0" w14:textId="77777777" w:rsidR="00C01BE6" w:rsidRDefault="00C01BE6" w:rsidP="00C01BE6">
      <w:pPr>
        <w:ind w:left="720"/>
      </w:pPr>
    </w:p>
    <w:p w14:paraId="4B531C70" w14:textId="77777777" w:rsidR="00C01BE6" w:rsidRPr="006B582E" w:rsidRDefault="00C01BE6" w:rsidP="00C01BE6">
      <w:pPr>
        <w:ind w:left="720"/>
      </w:pPr>
      <w:r>
        <w:rPr>
          <w:i/>
        </w:rPr>
        <w:t>Disease Model Parameterization</w:t>
      </w:r>
    </w:p>
    <w:p w14:paraId="4E76C622" w14:textId="77777777" w:rsidR="00C01BE6" w:rsidRDefault="00C01BE6" w:rsidP="00C01BE6">
      <w:pPr>
        <w:ind w:left="720"/>
      </w:pPr>
      <w:r>
        <w:t>During simulations with disease transmission, we utilize compartments for individuals who are exposed but not yet infectious (</w:t>
      </w:r>
      <m:oMath>
        <m:r>
          <w:rPr>
            <w:rFonts w:ascii="Cambria Math" w:hAnsi="Cambria Math"/>
          </w:rPr>
          <m:t>E</m:t>
        </m:r>
      </m:oMath>
      <w:r>
        <w:t>), infectious (</w:t>
      </w:r>
      <m:oMath>
        <m:r>
          <w:rPr>
            <w:rFonts w:ascii="Cambria Math" w:hAnsi="Cambria Math"/>
          </w:rPr>
          <m:t>I</m:t>
        </m:r>
      </m:oMath>
      <w:r>
        <w:t>), and recovered and immune (</w:t>
      </w:r>
      <m:oMath>
        <m:r>
          <w:rPr>
            <w:rFonts w:ascii="Cambria Math" w:hAnsi="Cambria Math"/>
          </w:rPr>
          <m:t>R</m:t>
        </m:r>
      </m:oMath>
      <w:r>
        <w:t xml:space="preserve">) (Fig 1). Mean transition rates between these compartments are defined as following: </w:t>
      </w:r>
      <m:oMath>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1.4 days</m:t>
            </m:r>
          </m:den>
        </m:f>
      </m:oMath>
      <w:r>
        <w:t xml:space="preserve"> for the incubation period (</w:t>
      </w:r>
      <m:oMath>
        <m:r>
          <w:rPr>
            <w:rFonts w:ascii="Cambria Math" w:hAnsi="Cambria Math"/>
          </w:rPr>
          <m:t>E→I</m:t>
        </m:r>
      </m:oMath>
      <w:r>
        <w:t>);</w:t>
      </w:r>
      <w:r>
        <w:fldChar w:fldCharType="begin" w:fldLock="1"/>
      </w:r>
      <w:r>
        <w:instrText>ADDIN CSL_CITATION { "citationItems" : [ { "id" : "ITEM-1", "itemData" : { "DOI" : "10.1016/j.jinf.2012.11.013", "ISSN" : "1532-2742", "PMID" : "23201968", "abstract" : "Recent large cholera outbreaks highlight the need for improved understanding of the pathogenesis and epidemiology of cholera. The incubation period of cholera has important implications for clinical and public health decision-making, yet statements of the incubation period of cholera are often imprecise. Here we characterize the distribution of cholera's incubation period.", "author" : [ { "dropping-particle" : "", "family" : "Azman", "given" : "Andrew S", "non-dropping-particle" : "", "parse-names" : false, "suffix" : "" }, { "dropping-particle" : "", "family" : "Rudolph", "given" : "Kara E", "non-dropping-particle" : "", "parse-names" : false, "suffix" : "" }, { "dropping-particle" : "", "family" : "Cummings", "given" : "Derek a T", "non-dropping-particle" : "", "parse-names" : false, "suffix" : "" }, { "dropping-particle" : "", "family" : "Lessler", "given" : "Justin", "non-dropping-particle" : "", "parse-names" : false, "suffix" : "" } ], "container-title" : "The Journal of infection", "id" : "ITEM-1", "issue" : "5", "issued" : { "date-parts" : [ [ "2013", "5" ] ] }, "page" : "432-8", "publisher" : "Elsevier Ltd", "title" : "The incubation period of cholera: a systematic review.", "type" : "article-journal", "volume" : "66" }, "uris" : [ "http://www.mendeley.com/documents/?uuid=066674ee-e23a-4040-af3a-b6307b7f31bd" ] } ], "mendeley" : { "formattedCitation" : "&lt;sup&gt;25&lt;/sup&gt;", "plainTextFormattedCitation" : "25", "previouslyFormattedCitation" : "&lt;sup&gt;25&lt;/sup&gt;" }, "properties" : { "noteIndex" : 0 }, "schema" : "https://github.com/citation-style-language/schema/raw/master/csl-citation.json" }</w:instrText>
      </w:r>
      <w:r>
        <w:fldChar w:fldCharType="separate"/>
      </w:r>
      <w:r w:rsidRPr="00380776">
        <w:rPr>
          <w:noProof/>
          <w:vertAlign w:val="superscript"/>
        </w:rPr>
        <w:t>25</w:t>
      </w:r>
      <w:r>
        <w:fldChar w:fldCharType="end"/>
      </w:r>
      <w:r>
        <w:t xml:space="preserve">  </w:t>
      </w:r>
      <m:oMath>
        <m:r>
          <w:rPr>
            <w:rFonts w:ascii="Cambria Math" w:hAnsi="Cambria Math" w:cs="Lucida Grande"/>
          </w:rPr>
          <m:t>γ</m:t>
        </m:r>
        <m:r>
          <w:rPr>
            <w:rFonts w:ascii="Lucida Grande" w:hAnsi="Lucida Grande" w:cs="Lucida Grande"/>
          </w:rPr>
          <m:t>=</m:t>
        </m:r>
        <m:f>
          <m:fPr>
            <m:ctrlPr>
              <w:rPr>
                <w:rFonts w:ascii="Cambria Math" w:hAnsi="Cambria Math"/>
                <w:i/>
              </w:rPr>
            </m:ctrlPr>
          </m:fPr>
          <m:num>
            <m:r>
              <w:rPr>
                <w:rFonts w:ascii="Cambria Math" w:hAnsi="Cambria Math"/>
              </w:rPr>
              <m:t>1</m:t>
            </m:r>
          </m:num>
          <m:den>
            <m:r>
              <w:rPr>
                <w:rFonts w:ascii="Cambria Math" w:hAnsi="Cambria Math"/>
              </w:rPr>
              <m:t>2 days</m:t>
            </m:r>
          </m:den>
        </m:f>
      </m:oMath>
      <w:r>
        <w:t xml:space="preserve"> for the duration of infectiousness (</w:t>
      </w:r>
      <m:oMath>
        <m:r>
          <w:rPr>
            <w:rFonts w:ascii="Cambria Math" w:hAnsi="Cambria Math"/>
          </w:rPr>
          <m:t>I→R</m:t>
        </m:r>
      </m:oMath>
      <w:r>
        <w:t>);</w:t>
      </w:r>
      <w:r>
        <w:fldChar w:fldCharType="begin" w:fldLock="1"/>
      </w:r>
      <w:r>
        <w:instrText>ADDIN CSL_CITATION { "citationItems" : [ { "id" : "ITEM-1", "itemData" : { "DOI" : "10.1371/journal.pmed.1001867", "ISSN" : "1549-1676", "author" : [ { "dropping-particle" : "", "family" : "Azman", "given" : "Andrew S.", "non-dropping-particle" : "", "parse-names" : false, "suffix" : "" }, { "dropping-particle" : "", "family" : "Luquero", "given" : "Francisco J.", "non-dropping-particle" : "", "parse-names" : false, "suffix" : "" }, { "dropping-particle" : "", "family" : "Ciglenecki", "given" : "Iza", "non-dropping-particle" : "", "parse-names" : false, "suffix" : "" }, { "dropping-particle" : "", "family" : "Grais", "given" : "Rebecca F.", "non-dropping-particle" : "", "parse-names" : false, "suffix" : "" }, { "dropping-particle" : "", "family" : "Sack", "given" : "David a.", "non-dropping-particle" : "", "parse-names" : false, "suffix" : "" }, { "dropping-particle" : "", "family" : "Lessler", "given" : "Justin", "non-dropping-particle" : "", "parse-names" : false, "suffix" : "" } ], "container-title" : "PLOS Medicine", "id" : "ITEM-1", "issue" : "8", "issued" : { "date-parts" : [ [ "2015" ] ] }, "page" : "e1001867", "title" : "The Impact of a One-Dose versus Two-Dose Oral Cholera Vaccine Regimen in Outbreak Settings: A Modeling Study", "type" : "article-journal", "volume" : "12" }, "uris" : [ "http://www.mendeley.com/documents/?uuid=22ef8520-64ad-44dc-8b5f-5a56a8b2ba90" ] }, { "id" : "ITEM-2",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"ITEM-2",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"&lt;sup&gt;26,27&lt;/sup&gt;", "plainTextFormattedCitation" : "26,27", "previouslyFormattedCitation" : "&lt;sup&gt;26,27&lt;/sup&gt;" }, "properties" : { "noteIndex" : 0 }, "schema" : "https://github.com/citation-style-language/schema/raw/master/csl-citation.json" }</w:instrText>
      </w:r>
      <w:r>
        <w:fldChar w:fldCharType="separate"/>
      </w:r>
      <w:r w:rsidRPr="00380776">
        <w:rPr>
          <w:noProof/>
          <w:vertAlign w:val="superscript"/>
        </w:rPr>
        <w:t>26,27</w:t>
      </w:r>
      <w:r>
        <w:fldChar w:fldCharType="end"/>
      </w:r>
      <w:r>
        <w:t xml:space="preserve"> and </w:t>
      </w:r>
      <m:oMath>
        <m:f>
          <m:fPr>
            <m:ctrlPr>
              <w:rPr>
                <w:rFonts w:ascii="Cambria Math" w:hAnsi="Cambria Math"/>
                <w:i/>
              </w:rPr>
            </m:ctrlPr>
          </m:fPr>
          <m:num>
            <m:r>
              <w:rPr>
                <w:rFonts w:ascii="Cambria Math" w:hAnsi="Cambria Math"/>
              </w:rPr>
              <m:t>1</m:t>
            </m:r>
          </m:num>
          <m:den>
            <m:r>
              <w:rPr>
                <w:rFonts w:ascii="Cambria Math" w:hAnsi="Cambria Math"/>
              </w:rPr>
              <m:t>5 years</m:t>
            </m:r>
          </m:den>
        </m:f>
      </m:oMath>
      <w:r>
        <w:t xml:space="preserve"> for the duration of natural immunity (</w:t>
      </w:r>
      <m:oMath>
        <m:r>
          <w:rPr>
            <w:rFonts w:ascii="Cambria Math" w:hAnsi="Cambria Math"/>
          </w:rPr>
          <m:t>R→S</m:t>
        </m:r>
      </m:oMath>
      <w:r>
        <w:t>).</w:t>
      </w:r>
      <w:r>
        <w:fldChar w:fldCharType="begin" w:fldLock="1"/>
      </w:r>
      <w:r>
        <w:instrText>ADDIN CSL_CITATION { "citationItems" : [ { "id" : "ITEM-1", "itemData" : { "author" : [ { "dropping-particle" : "", "family" : "Moore", "given" : "SM", "non-dropping-particle" : "", "parse-names" : false, "suffix" : "" }, { "dropping-particle" : "", "family" : "Lessler", "given" : "J", "non-dropping-particle" : "", "parse-names" : false, "suffix" : "" } ], "container-title" : "Journal of The Royal Society \u2026", "id" : "ITEM-1", "issued" : { "date-parts" : [ [ "2015" ] ] }, "note" : "Cites duration of natural and vaccine derived immunity\ncites serological data for naivitie of epidemic settings", "title" : "Optimal allocation of the limited oral cholera vaccine supply between endemic and epidemic settings", "type" : "article-journal" }, "uris" : [ "http://www.mendeley.com/documents/?uuid=38245bb6-ed13-47b5-a03f-837e5d24a746" ] }, { "id" : "ITEM-2", "itemData" : { "DOI" : "10.1016/S1473-3099(13)70273-1", "ISSN" : "1474-4457", "PMID" : "24140390", "abstract" : "BACKGROUND: Efficacy and safety of a two-dose regimen of bivalent killed whole-cell oral cholera vaccine (Shantha Biotechnics, Hyderabad, India) to 3 years is established, but long-term efficacy is not. We aimed to assess protective efficacy up to 5 years in a slum area of Kolkata, India.\n\nMETHODS: In our double-blind, cluster-randomised, placebo-controlled trial, we assessed incidence of cholera in non-pregnant individuals older than 1 year residing in 3933 dwellings (clusters) in Kolkata, India. We randomly allocated participants, by dwelling, to receive two oral doses of modified killed bivalent whole-cell cholera vaccine or heat-killed Escherichia coli K12 placebo, 14 days apart. Randomisation was done by use of a computer-generated sequence in blocks of four. The primary endpoint was prevention of episodes of culture-confirmed Vibrio cholerae O1 diarrhoea severe enough for patients to seek treatment in a health-care facility. We identified culture-confirmed cholera cases among participants seeking treatment for diarrhoea at a study clinic or government hospital between 14 days and 1825 days after receipt of the second dose. We assessed vaccine protection in a per-protocol population of participants who had completely ingested two doses of assigned study treatment.\n\nFINDINGS: 69 of 31\u2008932 recipients of vaccine and 219 of 34\u2008968 recipients of placebo developed cholera during 5 year follow-up (incidence 2\u00b72 per 1000 in the vaccine group and 6\u00b73 per 1000 in the placebo group). Cumulative protective efficacy of the vaccine at 5 years was 65% (95% CI 52-74; p&lt;0\u00b70001), and point estimates by year of follow-up suggested no evidence of decline in protective efficacy.\n\nINTERPRETATION: Sustained protection for 5 years at the level we reported has not been noted previously with other oral cholera vaccines. Established long-term efficacy of this vaccine could assist policy makers formulate rational vaccination strategies to reduce overall cholera burden in endemic settings.\n\nFUNDING: Bill &amp; Melinda Gates Foundation and the governments of South Korea and Sweden.", "author" : [ { "dropping-particle" : "", "family" : "Bhattacharya", "given" : "Sujit K", "non-dropping-particle" : "", "parse-names" : false, "suffix" : "" }, { "dropping-particle" : "", "family" : "Sur", "given" : "Dipika", "non-dropping-particle" : "", "parse-names" : false, "suffix" : "" }, { "dropping-particle" : "", "family" : "Ali", "given" : "Mohammad", "non-dropping-particle" : "", "parse-names" : false, "suffix" : "" }, { "dropping-particle" : "", "family" : "Kanungo", "given" : "Suman", "non-dropping-particle" : "", "parse-names" : false, "suffix" : "" }, { "dropping-particle" : "", "family" : "You", "given" : "Young Ae", "non-dropping-particle" : "", "parse-names" : false, "suffix" : "" }, { "dropping-particle" : "", "family" : "Manna", "given" : "Byomkesh", "non-dropping-particle" : "", "parse-names" : false, "suffix" : "" }, { "dropping-particle" : "", "family" : "Sah", "given" : "Binod",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"Dhingra", "given" : "Mandeep Singh", "non-dropping-particle" : "", "parse-names" : false, "suffix" : "" }, { "dropping-particle" : "", "family" : "Donner", "given" : "Allan", "non-dropping-particle" : "", "parse-names" : false, "suffix" : "" }, { "dropping-particle" : "", "family" : "Nair", "given" : "G Balakrish", "non-dropping-particle" : "", "parse-names" : false, "suffix" : "" }, { "dropping-particle" : "", "family" : "Lopez", "given" : "Anna Lena", "non-dropping-particle" : "", "parse-names" : false, "suffix" : "" }, { "dropping-particle" : "", "family" : "Wierzba", "given" : "Thomas F", "non-dropping-particle" : "", "parse-names" : false, "suffix" : "" }, { "dropping-particle" : "", "family" : "Clemens", "given" : "John D", "non-dropping-particle" : "", "parse-names" : false, "suffix" : "" } ], "container-title" : "Lancet Infectious Diseases", "id" : "ITEM-2", "issue" : "12", "issued" : { "date-parts" : [ [ "2013", "12" ] ] }, "note" : "Cited by Moore 2015 for a 5 year waning vaccine derived immunity\n\nThere was a large outbreak of cholera around year 3.5 which may have boosted immunity?\n\nSurprisingly low population turnover.", "page" : "1050-6", "publisher" : "Elsevier Ltd", "title" : "5 year efficacy of a bivalent killed whole-cell oral cholera vaccine in Kolkata, India: a cluster-randomised, double-blind, placebo-controlled trial.", "type" : "article-journal", "volume" : "13" }, "uris" : [ "http://www.mendeley.com/documents/?uuid=d65495b6-058e-4f5f-83b6-2cf7e09d566e" ] }, { "id" : "ITEM-3", "itemData" : { "DOI" : "10.1016/0264-410X(95)00122-H", "ISBN" : "0264-410X", "ISSN" : "0264410X", "PMID" : "8852414", "abstract" : "To determine the protective efficacy (PE) of three doses of oral B subunit-killed whole cell (BS-WC) or killed whole cell-only (WC) vaccines against cholera, a clinical trial was conducted among 62285 children over 2 years and adult women in rural Bangladesh. During 5 years of follow-up, there were 144 cases of cholera in the BS-WC group (PE = 49%; P &lt; 0.001), 150 in the WC group (PE = 47%; P &lt; 0.001), and 283 in the K12 group. Protection by each vaccine was evident only during the first three years of follow-up; long-term protection of young children was observed only against classical but not El Tor cholera; 3-year protection against both cholera biotypes occurred among older persons, but at a higher level against classical cholera.", "author" : [ { "dropping-particle" : "", "family" : "Loon", "given" : "F. P L", "non-dropping-particle" : "Van", "parse-names" : false, "suffix" : "" }, { "dropping-particle" : "", "family" : "Clemens", "given" : "J. D.", "non-dropping-particle" : "", "parse-names" : false, "suffix" : "" }, { "dropping-particle" : "", "family" : "Chakraborty", "given" : "J.", "non-dropping-particle" : "", "parse-names" : false, "suffix" : "" }, { "dropping-particle" : "", "family" : "Rao", "given" : "M. R.", "non-dropping-particle" : "", "parse-names" : false, "suffix" : "" }, { "dropping-particle" : "", "family" : "Kay", "given" : "B. a.", "non-dropping-particle" : "", "parse-names" : false, "suffix" : "" }, { "dropping-particle" : "", "family" : "Sack", "given" : "D. a.", "non-dropping-particle" : "", "parse-names" : false, "suffix" : "" }, { "dropping-particle" : "", "family" : "Yunus", "given" : "Md", "non-dropping-particle" : "", "parse-names" : false, "suffix" : "" }, { "dropping-particle" : "", "family" : "Ali", "given" : "Md", "non-dropping-particle" : "", "parse-names" : false, "suffix" : "" }, { "dropping-particle" : "", "family" : "Svennerholm", "given" : "a. M.", "non-dropping-particle" : "", "parse-names" : false, "suffix" : "" }, { "dropping-particle" : "", "family" : "Holmgren", "given" : "J.", "non-dropping-particle" : "", "parse-names" : false, "suffix" : "" } ], "container-title" : "Vaccine", "id" : "ITEM-3", "issue" : "2", "issued" : { "date-parts" : [ [ "1996" ] ] }, "page" : "162-166", "title" : "Field trial of inactivated oral cholera vaccines in Bangladesh: Results from 5 years of follow-up", "type" : "article-journal", "volume" : "14" }, "uris" : [ "http://www.mendeley.com/documents/?uuid=cc520c70-b724-4ff6-a672-74b8182d452f" ] } ], "mendeley" : { "formattedCitation" : "&lt;sup&gt;28\u201330&lt;/sup&gt;", "plainTextFormattedCitation" : "28\u201330", "previouslyFormattedCitation" : "&lt;sup&gt;28\u201330&lt;/sup&gt;" }, "properties" : { "noteIndex" : 0 }, "schema" : "https://github.com/citation-style-language/schema/raw/master/csl-citation.json" }</w:instrText>
      </w:r>
      <w:r>
        <w:fldChar w:fldCharType="separate"/>
      </w:r>
      <w:r w:rsidRPr="00380776">
        <w:rPr>
          <w:noProof/>
          <w:vertAlign w:val="superscript"/>
        </w:rPr>
        <w:t>28–30</w:t>
      </w:r>
      <w:r>
        <w:fldChar w:fldCharType="end"/>
      </w:r>
      <w:r>
        <w:t xml:space="preserve"> Infection of susceptible individuals (</w:t>
      </w:r>
      <m:oMath>
        <m:r>
          <w:rPr>
            <w:rFonts w:ascii="Cambria Math" w:hAnsi="Cambria Math"/>
          </w:rPr>
          <m:t>S→I</m:t>
        </m:r>
      </m:oMath>
      <w:r>
        <w:t xml:space="preserve">) is driven by a density-dependent force of infection </w:t>
      </w:r>
      <m:oMath>
        <m:r>
          <w:rPr>
            <w:rFonts w:ascii="Cambria Math" w:hAnsi="Cambria Math"/>
          </w:rPr>
          <m:t>λ=βSI</m:t>
        </m:r>
      </m:oMath>
      <w:r>
        <w:t xml:space="preserve"> </w:t>
      </w:r>
      <w:r>
        <w:rPr>
          <w:rFonts w:ascii="Cambria" w:hAnsi="Cambria"/>
        </w:rPr>
        <w:t>such that R</w:t>
      </w:r>
      <w:r>
        <w:rPr>
          <w:rFonts w:ascii="Cambria" w:hAnsi="Cambria"/>
          <w:vertAlign w:val="subscript"/>
        </w:rPr>
        <w:t>0</w:t>
      </w:r>
      <w:r>
        <w:rPr>
          <w:rFonts w:ascii="Cambria" w:hAnsi="Cambria"/>
        </w:rPr>
        <w:t xml:space="preserve"> = </w:t>
      </w:r>
      <m:oMath>
        <m:f>
          <m:fPr>
            <m:ctrlPr>
              <w:rPr>
                <w:rFonts w:ascii="Cambria Math" w:hAnsi="Cambria Math"/>
                <w:i/>
              </w:rPr>
            </m:ctrlPr>
          </m:fPr>
          <m:num>
            <m:r>
              <w:rPr>
                <w:rFonts w:ascii="Cambria Math" w:hAnsi="Cambria Math"/>
              </w:rPr>
              <m:t>β</m:t>
            </m:r>
          </m:num>
          <m:den>
            <m:r>
              <w:rPr>
                <w:rFonts w:ascii="Cambria Math" w:hAnsi="Cambria Math"/>
              </w:rPr>
              <m:t>γ</m:t>
            </m:r>
          </m:den>
        </m:f>
      </m:oMath>
      <w:r>
        <w:rPr>
          <w:rFonts w:ascii="Cambria" w:hAnsi="Cambria"/>
        </w:rPr>
        <w:t>. The force of infection on vaccinated individuals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→I</m:t>
        </m:r>
      </m:oMath>
      <w:r>
        <w:rPr>
          <w:rFonts w:ascii="Cambria" w:hAnsi="Cambria"/>
        </w:rPr>
        <w:t xml:space="preserve">) is scaled by </w:t>
      </w:r>
      <m:oMath>
        <m:r>
          <w:rPr>
            <w:rFonts w:ascii="Cambria Math" w:hAnsi="Cambria Math"/>
          </w:rPr>
          <m:t>(1-VE</m:t>
        </m:r>
        <m:d>
          <m:dPr>
            <m:ctrlPr>
              <w:rPr>
                <w:rFonts w:ascii="Cambria Math" w:hAnsi="Cambria Math"/>
                <w:i/>
              </w:rPr>
            </m:ctrlPr>
          </m:dPr>
          <m:e>
            <m:r>
              <w:rPr>
                <w:rFonts w:ascii="Cambria Math" w:hAnsi="Cambria Math"/>
              </w:rPr>
              <m:t>i</m:t>
            </m:r>
          </m:e>
        </m:d>
        <m:r>
          <w:rPr>
            <w:rFonts w:ascii="Cambria Math" w:hAnsi="Cambria Math"/>
          </w:rPr>
          <m:t>)</m:t>
        </m:r>
      </m:oMath>
      <w:r>
        <w:rPr>
          <w:rFonts w:ascii="Cambria" w:hAnsi="Cambria"/>
        </w:rPr>
        <w:t>.</w:t>
      </w:r>
    </w:p>
    <w:p w14:paraId="3D9BF133" w14:textId="77777777" w:rsidR="00C01BE6" w:rsidRDefault="00C01BE6" w:rsidP="00C01BE6">
      <w:pPr>
        <w:ind w:left="720"/>
      </w:pPr>
    </w:p>
    <w:p w14:paraId="22810C1E" w14:textId="77777777" w:rsidR="00C01BE6" w:rsidRDefault="00C01BE6" w:rsidP="00C01BE6">
      <w:r>
        <w:t>}</w:t>
      </w:r>
    </w:p>
    <w:p w14:paraId="6385723F" w14:textId="77777777" w:rsidR="00C01BE6" w:rsidRDefault="00C01BE6"/>
    <w:sectPr w:rsidR="00C01BE6" w:rsidSect="0033354D">
      <w:footerReference w:type="even" r:id="rId14"/>
      <w:footerReference w:type="default" r:id="rId15"/>
      <w:pgSz w:w="12240" w:h="15840"/>
      <w:pgMar w:top="1440" w:right="1440" w:bottom="1440" w:left="1440" w:header="720" w:footer="720" w:gutter="0"/>
      <w:lnNumType w:countBy="1"/>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C90C55" w15:done="0"/>
  <w15:commentEx w15:paraId="62B7D79F" w15:done="0"/>
  <w15:commentEx w15:paraId="6D6C759A" w15:done="0"/>
  <w15:commentEx w15:paraId="6E1AC469" w15:done="0"/>
  <w15:commentEx w15:paraId="5344B31F" w15:done="0"/>
  <w15:commentEx w15:paraId="555BFD24" w15:done="0"/>
  <w15:commentEx w15:paraId="39A2F5C8" w15:done="0"/>
  <w15:commentEx w15:paraId="590B7338" w15:done="0"/>
  <w15:commentEx w15:paraId="60CD9C3A" w15:done="0"/>
  <w15:commentEx w15:paraId="66469A45" w15:done="0"/>
  <w15:commentEx w15:paraId="25552CA4" w15:done="0"/>
  <w15:commentEx w15:paraId="4B324C12" w15:done="0"/>
  <w15:commentEx w15:paraId="54DFF85C" w15:done="0"/>
  <w15:commentEx w15:paraId="4BFAC228" w15:done="0"/>
  <w15:commentEx w15:paraId="48A16A73" w15:done="0"/>
  <w15:commentEx w15:paraId="12A35662" w15:done="0"/>
  <w15:commentEx w15:paraId="5C5E413B" w15:done="0"/>
  <w15:commentEx w15:paraId="30BFD9FD" w15:done="0"/>
  <w15:commentEx w15:paraId="7A7A4068" w15:done="0"/>
  <w15:commentEx w15:paraId="20ABE22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EDABA" w14:textId="77777777" w:rsidR="00002C0D" w:rsidRDefault="00002C0D" w:rsidP="001850C4">
      <w:r>
        <w:separator/>
      </w:r>
    </w:p>
  </w:endnote>
  <w:endnote w:type="continuationSeparator" w:id="0">
    <w:p w14:paraId="1E887071" w14:textId="77777777" w:rsidR="00002C0D" w:rsidRDefault="00002C0D"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002C0D" w:rsidRDefault="00002C0D"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002C0D" w:rsidRDefault="00002C0D"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349D747E" w:rsidR="00002C0D" w:rsidRDefault="00002C0D"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2CCF">
      <w:rPr>
        <w:rStyle w:val="PageNumber"/>
        <w:noProof/>
      </w:rPr>
      <w:t>1</w:t>
    </w:r>
    <w:r>
      <w:rPr>
        <w:rStyle w:val="PageNumber"/>
      </w:rPr>
      <w:fldChar w:fldCharType="end"/>
    </w:r>
  </w:p>
  <w:p w14:paraId="08A4DC5F" w14:textId="77777777" w:rsidR="00002C0D" w:rsidRDefault="00002C0D"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788BC" w14:textId="77777777" w:rsidR="00002C0D" w:rsidRDefault="00002C0D" w:rsidP="001850C4">
      <w:r>
        <w:separator/>
      </w:r>
    </w:p>
  </w:footnote>
  <w:footnote w:type="continuationSeparator" w:id="0">
    <w:p w14:paraId="58BAF1B2" w14:textId="77777777" w:rsidR="00002C0D" w:rsidRDefault="00002C0D" w:rsidP="001850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46628"/>
    <w:multiLevelType w:val="hybridMultilevel"/>
    <w:tmpl w:val="FAD428D4"/>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502B3"/>
    <w:multiLevelType w:val="hybridMultilevel"/>
    <w:tmpl w:val="8594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73090B"/>
    <w:multiLevelType w:val="hybridMultilevel"/>
    <w:tmpl w:val="16F66326"/>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anda Reilly">
    <w15:presenceInfo w15:providerId="Windows Live" w15:userId="70a7013732180c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2C0D"/>
    <w:rsid w:val="00003D44"/>
    <w:rsid w:val="00004066"/>
    <w:rsid w:val="00006508"/>
    <w:rsid w:val="00014111"/>
    <w:rsid w:val="0001538B"/>
    <w:rsid w:val="00023416"/>
    <w:rsid w:val="00023E37"/>
    <w:rsid w:val="00033542"/>
    <w:rsid w:val="0003435B"/>
    <w:rsid w:val="00044C95"/>
    <w:rsid w:val="00046565"/>
    <w:rsid w:val="00055B77"/>
    <w:rsid w:val="000626DE"/>
    <w:rsid w:val="000630EB"/>
    <w:rsid w:val="00077B6C"/>
    <w:rsid w:val="0009137F"/>
    <w:rsid w:val="00092D82"/>
    <w:rsid w:val="00097E51"/>
    <w:rsid w:val="000A06E9"/>
    <w:rsid w:val="000A51A6"/>
    <w:rsid w:val="000C7355"/>
    <w:rsid w:val="000D43E0"/>
    <w:rsid w:val="000D703C"/>
    <w:rsid w:val="000E5266"/>
    <w:rsid w:val="000E5D49"/>
    <w:rsid w:val="000E73B9"/>
    <w:rsid w:val="000E7967"/>
    <w:rsid w:val="00100825"/>
    <w:rsid w:val="00101669"/>
    <w:rsid w:val="00103784"/>
    <w:rsid w:val="00104461"/>
    <w:rsid w:val="00113161"/>
    <w:rsid w:val="00135EB3"/>
    <w:rsid w:val="00142B0A"/>
    <w:rsid w:val="00147394"/>
    <w:rsid w:val="001602F5"/>
    <w:rsid w:val="0016567C"/>
    <w:rsid w:val="00167FD3"/>
    <w:rsid w:val="00170BC3"/>
    <w:rsid w:val="0017181D"/>
    <w:rsid w:val="00173AD3"/>
    <w:rsid w:val="00176FEC"/>
    <w:rsid w:val="00183BEB"/>
    <w:rsid w:val="001850C4"/>
    <w:rsid w:val="00194DF1"/>
    <w:rsid w:val="001A3E37"/>
    <w:rsid w:val="001B4288"/>
    <w:rsid w:val="001B42D3"/>
    <w:rsid w:val="001D3B79"/>
    <w:rsid w:val="001D4990"/>
    <w:rsid w:val="001E049A"/>
    <w:rsid w:val="001E0C33"/>
    <w:rsid w:val="001E6C5D"/>
    <w:rsid w:val="001E7E1A"/>
    <w:rsid w:val="001F435D"/>
    <w:rsid w:val="00202A22"/>
    <w:rsid w:val="00204221"/>
    <w:rsid w:val="00207B44"/>
    <w:rsid w:val="00212835"/>
    <w:rsid w:val="00215957"/>
    <w:rsid w:val="002222F4"/>
    <w:rsid w:val="002256CE"/>
    <w:rsid w:val="002347AA"/>
    <w:rsid w:val="00245BED"/>
    <w:rsid w:val="00246BDD"/>
    <w:rsid w:val="0026554C"/>
    <w:rsid w:val="0028276D"/>
    <w:rsid w:val="00286A28"/>
    <w:rsid w:val="00287B54"/>
    <w:rsid w:val="00290EDB"/>
    <w:rsid w:val="002A1306"/>
    <w:rsid w:val="002B1D6D"/>
    <w:rsid w:val="002B3E01"/>
    <w:rsid w:val="002B44C8"/>
    <w:rsid w:val="002B71D7"/>
    <w:rsid w:val="002C24BA"/>
    <w:rsid w:val="002C409D"/>
    <w:rsid w:val="002E6C5E"/>
    <w:rsid w:val="002E6F64"/>
    <w:rsid w:val="002F0050"/>
    <w:rsid w:val="002F22F3"/>
    <w:rsid w:val="002F2F2F"/>
    <w:rsid w:val="00321F30"/>
    <w:rsid w:val="00324900"/>
    <w:rsid w:val="0033354D"/>
    <w:rsid w:val="00334DB8"/>
    <w:rsid w:val="00334E92"/>
    <w:rsid w:val="003355EB"/>
    <w:rsid w:val="0034238E"/>
    <w:rsid w:val="003542BB"/>
    <w:rsid w:val="0035631B"/>
    <w:rsid w:val="003640B7"/>
    <w:rsid w:val="00380271"/>
    <w:rsid w:val="00380776"/>
    <w:rsid w:val="003956CB"/>
    <w:rsid w:val="003A567D"/>
    <w:rsid w:val="003B3505"/>
    <w:rsid w:val="003B6D69"/>
    <w:rsid w:val="003D3632"/>
    <w:rsid w:val="003D39B4"/>
    <w:rsid w:val="003D3BBD"/>
    <w:rsid w:val="003E13B5"/>
    <w:rsid w:val="0040245D"/>
    <w:rsid w:val="00403CC2"/>
    <w:rsid w:val="0040551F"/>
    <w:rsid w:val="00410998"/>
    <w:rsid w:val="00410A03"/>
    <w:rsid w:val="00413510"/>
    <w:rsid w:val="00417BC4"/>
    <w:rsid w:val="004203D1"/>
    <w:rsid w:val="00423090"/>
    <w:rsid w:val="0042502C"/>
    <w:rsid w:val="00437A54"/>
    <w:rsid w:val="00441D19"/>
    <w:rsid w:val="00456D57"/>
    <w:rsid w:val="00463D05"/>
    <w:rsid w:val="004711D7"/>
    <w:rsid w:val="0047120A"/>
    <w:rsid w:val="004737E0"/>
    <w:rsid w:val="00493178"/>
    <w:rsid w:val="00497717"/>
    <w:rsid w:val="004B689C"/>
    <w:rsid w:val="004C3907"/>
    <w:rsid w:val="004E0107"/>
    <w:rsid w:val="004F4FF7"/>
    <w:rsid w:val="004F60A8"/>
    <w:rsid w:val="004F662A"/>
    <w:rsid w:val="004F7D02"/>
    <w:rsid w:val="00501B43"/>
    <w:rsid w:val="00503E17"/>
    <w:rsid w:val="00505B2E"/>
    <w:rsid w:val="00516F76"/>
    <w:rsid w:val="00517478"/>
    <w:rsid w:val="00520DD4"/>
    <w:rsid w:val="00527DCB"/>
    <w:rsid w:val="00532C52"/>
    <w:rsid w:val="005367F3"/>
    <w:rsid w:val="00537BAE"/>
    <w:rsid w:val="00541512"/>
    <w:rsid w:val="0054259D"/>
    <w:rsid w:val="00545E7A"/>
    <w:rsid w:val="00546529"/>
    <w:rsid w:val="00551453"/>
    <w:rsid w:val="00561BAD"/>
    <w:rsid w:val="00564BE0"/>
    <w:rsid w:val="00575970"/>
    <w:rsid w:val="00575CD5"/>
    <w:rsid w:val="00581C67"/>
    <w:rsid w:val="00586F75"/>
    <w:rsid w:val="00596D3C"/>
    <w:rsid w:val="005A7770"/>
    <w:rsid w:val="005B3DD3"/>
    <w:rsid w:val="005C033C"/>
    <w:rsid w:val="005C0BCB"/>
    <w:rsid w:val="005C0C25"/>
    <w:rsid w:val="005C7B32"/>
    <w:rsid w:val="005D6069"/>
    <w:rsid w:val="005E298F"/>
    <w:rsid w:val="005E48B4"/>
    <w:rsid w:val="005E6674"/>
    <w:rsid w:val="00601E61"/>
    <w:rsid w:val="00611687"/>
    <w:rsid w:val="006118CA"/>
    <w:rsid w:val="0061359D"/>
    <w:rsid w:val="00613778"/>
    <w:rsid w:val="00613B08"/>
    <w:rsid w:val="0061434F"/>
    <w:rsid w:val="006168CB"/>
    <w:rsid w:val="006173F9"/>
    <w:rsid w:val="00624556"/>
    <w:rsid w:val="00642CB4"/>
    <w:rsid w:val="00647480"/>
    <w:rsid w:val="00647EAB"/>
    <w:rsid w:val="0065101F"/>
    <w:rsid w:val="00665521"/>
    <w:rsid w:val="0069321D"/>
    <w:rsid w:val="00693926"/>
    <w:rsid w:val="006B4B6A"/>
    <w:rsid w:val="006B582E"/>
    <w:rsid w:val="006D4CD9"/>
    <w:rsid w:val="006D6B6D"/>
    <w:rsid w:val="006F2CC8"/>
    <w:rsid w:val="006F7535"/>
    <w:rsid w:val="00700D43"/>
    <w:rsid w:val="00702948"/>
    <w:rsid w:val="007059D1"/>
    <w:rsid w:val="0071157B"/>
    <w:rsid w:val="00726209"/>
    <w:rsid w:val="007353D3"/>
    <w:rsid w:val="00742212"/>
    <w:rsid w:val="007520A1"/>
    <w:rsid w:val="00754E2D"/>
    <w:rsid w:val="00755E78"/>
    <w:rsid w:val="00770127"/>
    <w:rsid w:val="0077266E"/>
    <w:rsid w:val="00773DF1"/>
    <w:rsid w:val="00786B9B"/>
    <w:rsid w:val="007914F5"/>
    <w:rsid w:val="007972B0"/>
    <w:rsid w:val="007A6AEE"/>
    <w:rsid w:val="007C15E6"/>
    <w:rsid w:val="007C5881"/>
    <w:rsid w:val="00800170"/>
    <w:rsid w:val="008218F0"/>
    <w:rsid w:val="0083178D"/>
    <w:rsid w:val="00831DED"/>
    <w:rsid w:val="00837827"/>
    <w:rsid w:val="00841525"/>
    <w:rsid w:val="00874653"/>
    <w:rsid w:val="008861F0"/>
    <w:rsid w:val="00890B56"/>
    <w:rsid w:val="008B07D1"/>
    <w:rsid w:val="008B1462"/>
    <w:rsid w:val="008B1E11"/>
    <w:rsid w:val="008C2A63"/>
    <w:rsid w:val="008C332F"/>
    <w:rsid w:val="008D533B"/>
    <w:rsid w:val="00933BF3"/>
    <w:rsid w:val="00936B69"/>
    <w:rsid w:val="0094157E"/>
    <w:rsid w:val="009549C9"/>
    <w:rsid w:val="0096229A"/>
    <w:rsid w:val="00966387"/>
    <w:rsid w:val="00982F70"/>
    <w:rsid w:val="009863E5"/>
    <w:rsid w:val="0099479A"/>
    <w:rsid w:val="009A3CE6"/>
    <w:rsid w:val="009B1E00"/>
    <w:rsid w:val="009D0774"/>
    <w:rsid w:val="009D2EF0"/>
    <w:rsid w:val="009D356C"/>
    <w:rsid w:val="009E526A"/>
    <w:rsid w:val="009F48AA"/>
    <w:rsid w:val="009F5643"/>
    <w:rsid w:val="00A065FB"/>
    <w:rsid w:val="00A11F23"/>
    <w:rsid w:val="00A12181"/>
    <w:rsid w:val="00A12927"/>
    <w:rsid w:val="00A13B26"/>
    <w:rsid w:val="00A16E22"/>
    <w:rsid w:val="00A22B93"/>
    <w:rsid w:val="00A26E68"/>
    <w:rsid w:val="00A30A5D"/>
    <w:rsid w:val="00A33106"/>
    <w:rsid w:val="00A445BB"/>
    <w:rsid w:val="00A50D8B"/>
    <w:rsid w:val="00A55E98"/>
    <w:rsid w:val="00A57411"/>
    <w:rsid w:val="00A61C71"/>
    <w:rsid w:val="00A72B69"/>
    <w:rsid w:val="00A76FDB"/>
    <w:rsid w:val="00AC44CF"/>
    <w:rsid w:val="00AD2DC7"/>
    <w:rsid w:val="00AD63AF"/>
    <w:rsid w:val="00AE249C"/>
    <w:rsid w:val="00AE6CD2"/>
    <w:rsid w:val="00AF22DD"/>
    <w:rsid w:val="00AF5A2C"/>
    <w:rsid w:val="00B160BF"/>
    <w:rsid w:val="00B23DD8"/>
    <w:rsid w:val="00B259C1"/>
    <w:rsid w:val="00B41222"/>
    <w:rsid w:val="00B611B1"/>
    <w:rsid w:val="00B61F25"/>
    <w:rsid w:val="00B62E25"/>
    <w:rsid w:val="00B862CB"/>
    <w:rsid w:val="00B92EF6"/>
    <w:rsid w:val="00B95A14"/>
    <w:rsid w:val="00BA6E7B"/>
    <w:rsid w:val="00BB6260"/>
    <w:rsid w:val="00BC1235"/>
    <w:rsid w:val="00BC2050"/>
    <w:rsid w:val="00BC7511"/>
    <w:rsid w:val="00BE11BA"/>
    <w:rsid w:val="00BE2545"/>
    <w:rsid w:val="00BE4FAD"/>
    <w:rsid w:val="00BE6A6A"/>
    <w:rsid w:val="00BF150A"/>
    <w:rsid w:val="00C01BE6"/>
    <w:rsid w:val="00C023C4"/>
    <w:rsid w:val="00C032C9"/>
    <w:rsid w:val="00C04090"/>
    <w:rsid w:val="00C041CB"/>
    <w:rsid w:val="00C07693"/>
    <w:rsid w:val="00C23884"/>
    <w:rsid w:val="00C30928"/>
    <w:rsid w:val="00C345A8"/>
    <w:rsid w:val="00C346FB"/>
    <w:rsid w:val="00C42528"/>
    <w:rsid w:val="00C45E9F"/>
    <w:rsid w:val="00C51EE8"/>
    <w:rsid w:val="00C657FD"/>
    <w:rsid w:val="00C7026D"/>
    <w:rsid w:val="00C8087F"/>
    <w:rsid w:val="00C8088D"/>
    <w:rsid w:val="00C90B55"/>
    <w:rsid w:val="00C92837"/>
    <w:rsid w:val="00C93ED8"/>
    <w:rsid w:val="00C9645E"/>
    <w:rsid w:val="00CB0E9D"/>
    <w:rsid w:val="00CE18E3"/>
    <w:rsid w:val="00CF00A4"/>
    <w:rsid w:val="00CF2EF3"/>
    <w:rsid w:val="00CF37BB"/>
    <w:rsid w:val="00CF47B8"/>
    <w:rsid w:val="00CF504E"/>
    <w:rsid w:val="00D17AC2"/>
    <w:rsid w:val="00D32E9A"/>
    <w:rsid w:val="00D33102"/>
    <w:rsid w:val="00D5161A"/>
    <w:rsid w:val="00D552A1"/>
    <w:rsid w:val="00D552F7"/>
    <w:rsid w:val="00D60633"/>
    <w:rsid w:val="00D65AB7"/>
    <w:rsid w:val="00D72DDD"/>
    <w:rsid w:val="00D74EBF"/>
    <w:rsid w:val="00D77E67"/>
    <w:rsid w:val="00D8164E"/>
    <w:rsid w:val="00D82C50"/>
    <w:rsid w:val="00D87EEC"/>
    <w:rsid w:val="00DA6BB9"/>
    <w:rsid w:val="00DB4165"/>
    <w:rsid w:val="00DB4852"/>
    <w:rsid w:val="00DB674F"/>
    <w:rsid w:val="00DC2C74"/>
    <w:rsid w:val="00DC6A61"/>
    <w:rsid w:val="00DD0BE4"/>
    <w:rsid w:val="00DD3003"/>
    <w:rsid w:val="00DE34FB"/>
    <w:rsid w:val="00DF6B9D"/>
    <w:rsid w:val="00E0256B"/>
    <w:rsid w:val="00E04403"/>
    <w:rsid w:val="00E10120"/>
    <w:rsid w:val="00E3037F"/>
    <w:rsid w:val="00E355A3"/>
    <w:rsid w:val="00E45923"/>
    <w:rsid w:val="00E45C5B"/>
    <w:rsid w:val="00E601F2"/>
    <w:rsid w:val="00E64649"/>
    <w:rsid w:val="00E701DB"/>
    <w:rsid w:val="00E86EA7"/>
    <w:rsid w:val="00E87CB3"/>
    <w:rsid w:val="00E941F3"/>
    <w:rsid w:val="00E97B5B"/>
    <w:rsid w:val="00EB221D"/>
    <w:rsid w:val="00EC6207"/>
    <w:rsid w:val="00EC7A20"/>
    <w:rsid w:val="00EE70EA"/>
    <w:rsid w:val="00EF7D04"/>
    <w:rsid w:val="00F0071E"/>
    <w:rsid w:val="00F038DC"/>
    <w:rsid w:val="00F145A7"/>
    <w:rsid w:val="00F423C7"/>
    <w:rsid w:val="00F52ED5"/>
    <w:rsid w:val="00F537E7"/>
    <w:rsid w:val="00F539C6"/>
    <w:rsid w:val="00F8110F"/>
    <w:rsid w:val="00F83CD8"/>
    <w:rsid w:val="00FA4C65"/>
    <w:rsid w:val="00FA75B1"/>
    <w:rsid w:val="00FB1466"/>
    <w:rsid w:val="00FB184A"/>
    <w:rsid w:val="00FB25E1"/>
    <w:rsid w:val="00FC2CCF"/>
    <w:rsid w:val="00FE5066"/>
    <w:rsid w:val="00FE63D9"/>
    <w:rsid w:val="00FF1173"/>
    <w:rsid w:val="00FF1E30"/>
    <w:rsid w:val="00FF3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semiHidden/>
    <w:unhideWhenUsed/>
    <w:rsid w:val="00202A22"/>
    <w:rPr>
      <w:sz w:val="20"/>
      <w:szCs w:val="20"/>
    </w:rPr>
  </w:style>
  <w:style w:type="character" w:customStyle="1" w:styleId="CommentTextChar">
    <w:name w:val="Comment Text Char"/>
    <w:basedOn w:val="DefaultParagraphFont"/>
    <w:link w:val="CommentText"/>
    <w:uiPriority w:val="99"/>
    <w:semiHidden/>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semiHidden/>
    <w:unhideWhenUsed/>
    <w:rsid w:val="00202A22"/>
    <w:rPr>
      <w:sz w:val="20"/>
      <w:szCs w:val="20"/>
    </w:rPr>
  </w:style>
  <w:style w:type="character" w:customStyle="1" w:styleId="CommentTextChar">
    <w:name w:val="Comment Text Char"/>
    <w:basedOn w:val="DefaultParagraphFont"/>
    <w:link w:val="CommentText"/>
    <w:uiPriority w:val="99"/>
    <w:semiHidden/>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peakcm/cholera" TargetMode="External"/><Relationship Id="rId12" Type="http://schemas.openxmlformats.org/officeDocument/2006/relationships/hyperlink" Target="http://www.iomsouthsudan.org/tracking/" TargetMode="External"/><Relationship Id="rId13" Type="http://schemas.openxmlformats.org/officeDocument/2006/relationships/hyperlink" Target="https://coreypeak.shinyapps.io/herd_protection_estimator/"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20" Type="http://schemas.microsoft.com/office/2011/relationships/commentsExtended" Target="commentsExtended.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reliefweb.int/sites/reliefweb.int/files/resources/UNICEF%20South%20Sudan%20Humanitarian%20SitRep%20%2399%20-%2015%20Dec%202016.pdf" TargetMode="External"/><Relationship Id="rId10" Type="http://schemas.openxmlformats.org/officeDocument/2006/relationships/hyperlink" Target="https://coreypeak.shinyapps.io/herd_protection_estim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75C5B-C102-7D4C-8344-A384D6E49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19</Pages>
  <Words>22184</Words>
  <Characters>126449</Characters>
  <Application>Microsoft Macintosh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68</cp:revision>
  <cp:lastPrinted>2016-10-19T21:00:00Z</cp:lastPrinted>
  <dcterms:created xsi:type="dcterms:W3CDTF">2016-12-03T12:56:00Z</dcterms:created>
  <dcterms:modified xsi:type="dcterms:W3CDTF">2016-12-27T16:28:00Z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58249ead-91b6-3ca5-9259-cea899f115b0</vt:lpwstr>
  </property>
  <property fmtid="{D5CDD505-2E9C-101B-9397-08002B2CF9AE}" pid="4" name="Mendeley Citation Style_1">
    <vt:lpwstr>http://www.zotero.org/styles/the-lancet-infectious-diseases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http://www.zotero.org/styles/the-lancet-infectious-diseases</vt:lpwstr>
  </property>
  <property fmtid="{D5CDD505-2E9C-101B-9397-08002B2CF9AE}" pid="24" name="Mendeley Recent Style Name 9_1">
    <vt:lpwstr>The Lancet Infectious Diseases</vt:lpwstr>
  </property>
</Properties>
</file>