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BPP前缀安全算法选择实验</w:t>
      </w:r>
    </w:p>
    <w:p>
      <w:r>
        <w:t>5000项完整执行  固定500项前缀  2026年10月6日</w:t>
      </w:r>
    </w:p>
    <w:p>
      <w:pPr>
        <w:pStyle w:val="Heading1"/>
      </w:pPr>
      <w:r>
        <w:t>核心结论</w:t>
      </w:r>
    </w:p>
    <w:p>
      <w:r>
        <w:t>可执行选择收益在本轮预冻的合成混合中成立。 确认集108条完整流上，前缀选择器相对训练SBS平均差-21.454箱；负数表示选择器节省箱数。训练SBS为BF前缀后无条件EoH。按同一多重集的三个顺序聚合并在六族内重抽样，95%百分位区间为[-23.917, -19.380]箱。该区间只描述预设合成混合的不确定性。</w:t>
      </w:r>
    </w:p>
    <w:p>
      <w:r>
        <w:t>相对由同一BF前缀后两个可执行续行分支组成的事后oracle，选择器仍有平均2.880箱后悔；SBS的相应余地为24.333箱。 本选择器收回这部分余地的88.17%。 逐流胜/平/负=49/56/3，最坏相对SBS多6箱。</w:t>
      </w:r>
    </w:p>
    <w:p>
      <w:r>
        <w:t>与从头运行的完整固定EoH相比，选择器平均差-12.241箱。主指标比较的是共享BF前缀的合法选择任务；完整EoH在前500项也运行EoH，其500项后的箱状态可能不同，仍作为必要固定基线原样列出。</w:t>
      </w:r>
    </w:p>
    <w:p>
      <w:r>
        <w:drawing>
          <wp:inline xmlns:a="http://schemas.openxmlformats.org/drawingml/2006/main" xmlns:pic="http://schemas.openxmlformats.org/drawingml/2006/picture">
            <wp:extent cx="6217920" cy="2984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tion_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均值来自108条确认流。oracle只是事后分支参照，不是额外可执行的选择器。</w:t>
      </w:r>
    </w:p>
    <w:p>
      <w:r>
        <w:br w:type="page"/>
      </w:r>
    </w:p>
    <w:p>
      <w:pPr>
        <w:pStyle w:val="Heading1"/>
      </w:pPr>
      <w:r>
        <w:t>论文机制与本轮新问题</w:t>
      </w:r>
    </w:p>
    <w:p>
      <w:r>
        <w:t>P069 AutoFolio提供固定库、训练特征预处理、kNN邻域性能选择、训练SBS和最终测试隔离等机制。这里仅落实一个简单选择原型，没有运行其SMAC外层配置，不称整篇复现。</w:t>
      </w:r>
    </w:p>
    <w:p>
      <w:r>
        <w:t>先前固定EoH压力测试揭示分布和到达顺序的互补，但完整流标签不能用于online选择。本轮只允许观察已到达的前500项及由它们形成的BF残量状态；不允许读取后缀、生成seed、真实分布标签或完整流统计。新训练与新确认种子块均在执行前冻结。</w:t>
      </w:r>
    </w:p>
    <w:p>
      <w:pPr>
        <w:pStyle w:val="Heading1"/>
      </w:pPr>
      <w:r>
        <w:t>有限冻结设计</w:t>
      </w:r>
    </w:p>
    <w:p>
      <w:r>
        <w:t>每条流容量100、5000项。算法先用BF处理500项，随后仅决定剩余4500项继续BF还是改用固定发表EoH，不回滚、不重复装箱。所有策略使用5000个初始空槽、全部可行箱、最小索引first argmax；EoH可以在还有可行已用箱时选新箱。</w:t>
      </w:r>
    </w:p>
    <w:p>
      <w:r>
        <w:t>六个尺寸族为Weibull(形状3,尺度45)、1至100均匀整数、100×Beta(2,5)、100×Beta(5,2)、Normal(50,15)、20至30与70至80的等概率整数双峰。连续值先裁剪到[1,100]再ties-to-even取整。各族训练8个、确认6个全新多重集，每个生成随机、升序、降序三种流。同多重集所有变体同组同split。</w:t>
      </w:r>
    </w:p>
    <w:p>
      <w:r>
        <w:t>训练144条流，各完整执行BF与BF→EoH，得到288个真实标签。标签必须共享完全一致的BF前缀轨迹，不能拿从头EoH的成绩替代。确认108条流，每条执行全BF、BF→EoH、全EoH和实际选择器，共432次；另有12条风险流的48次。总计768次完整5000步执行。</w:t>
      </w:r>
    </w:p>
    <w:p>
      <w:pPr>
        <w:pStyle w:val="Heading1"/>
      </w:pPr>
      <w:r>
        <w:t>选择器与可访问的信息</w:t>
      </w:r>
    </w:p>
    <w:p>
      <w:r>
        <w:t>固定31维特征：10格前缀尺寸频率；前缀均值、总体标准差和10/50/90分位；相邻严格增大与减小比例；后100项与前100项均值差；BF使用箱数/500；10格已用箱残量频率；已用残量均值与总体标准差。尺寸统计均除100，频率用合法前缀计数。</w:t>
      </w:r>
    </w:p>
    <w:p>
      <w:r>
        <w:t>只用训练集均值/总体标准差作z-score；零标准差置1。固定k=5，平方欧氏距离、等权邻居分别预测两个分支最终箱数，选择预测损失较小者。距离并列采用固定训练行顺序；预测并列退回训练SBS。没有看确认结果后搜索特征、k值或切换点。</w:t>
      </w:r>
    </w:p>
    <w:p>
      <w:r>
        <w:t>选择模块不导入文件、流对象、随机数或元数据。宿主通过一次性迭代器收取物品，在恰好消费500项、尚未请求第501项时调用选择器，只传已到达前缀、现时残量和已冻结模型。确认选择器完整轨迹还必须与实际选定分支的5000步轨迹一致。</w:t>
      </w:r>
    </w:p>
    <w:p>
      <w:r>
        <w:br w:type="page"/>
      </w:r>
    </w:p>
    <w:p>
      <w:pPr>
        <w:pStyle w:val="Heading1"/>
      </w:pPr>
      <w:r>
        <w:t>训练余地与全单元报告</w:t>
      </w:r>
    </w:p>
    <w:p>
      <w:r>
        <w:t>训练两个分支的平均箱数为2803.951与2765.535；训练分支oracle为2743.597，训练SBS的余地为21.938箱。该余地是额外标签评估后才知道的，已计入训练成本。</w:t>
      </w:r>
    </w:p>
    <w:p>
      <w:r>
        <w:t>下表完整列出六族×三顺序18个确认单元，每格6个新多重集。相同多重集的不同顺序不是独立抽样；所有18格等权进入预冻主指标。升降序是给定的结构化到达流，不是在线算法获得排序权。没有按结果过滤难例或只叙述胜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cantSplit/>
          <w:tblHeader/>
        </w:trPr>
        <w:tc>
          <w:tcPr>
            <w:tcW w:type="dxa" w:w="1224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族</w:t>
            </w:r>
          </w:p>
        </w:tc>
        <w:tc>
          <w:tcPr>
            <w:tcW w:type="dxa" w:w="648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顺序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全BF</w:t>
            </w:r>
          </w:p>
        </w:tc>
        <w:tc>
          <w:tcPr>
            <w:tcW w:type="dxa" w:w="1368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BF→EoH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全EoH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选择器</w:t>
            </w:r>
          </w:p>
        </w:tc>
        <w:tc>
          <w:tcPr>
            <w:tcW w:type="dxa" w:w="1152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差SBS</w:t>
            </w:r>
          </w:p>
        </w:tc>
        <w:tc>
          <w:tcPr>
            <w:tcW w:type="dxa" w:w="1152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后悔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2102.33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2033.33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2032.00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2033.33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2733.17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2496.00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2528.67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2496.00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2026.33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2124.50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2124.50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2026.33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-98.17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2548.50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2561.50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2562.17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2548.50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-13.00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3211.50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3040.17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3041.50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3040.17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2518.17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2554.17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2554.17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-36.00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1444.50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1435.83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1436.17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1435.83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1806.33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1840.00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1839.17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1840.00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34.00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1427.33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1524.17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1524.17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1427.33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-96.83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4460.67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4460.00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4458.33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4460.00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4697.50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4696.50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4547.17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4696.50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4455.00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4456.00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4455.00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-1.00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2565.00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2571.67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2570.67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2565.17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-6.50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1.17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3571.50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2961.33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2972.17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2961.33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2522.67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2564.17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2522.67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-41.50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2519.17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2519.17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2517.83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2519.83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2.17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3190.50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3261.83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3205.67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3205.00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-56.83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14.50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2498.17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2535.17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2535.17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-37.00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</w:tbl>
    <w:p>
      <w:r>
        <w:t>差SBS为主指标的单元贡献，负值更好；后悔均相对同BF前缀分支oracle。完整逐流结果随包保留。</w:t>
      </w:r>
    </w:p>
    <w:p>
      <w:r>
        <w:t>对应热图另见figures/family_order_deltas.png，原始18单元值见analysis/family_order_summary.csv。</w:t>
      </w:r>
    </w:p>
    <w:p>
      <w:r>
        <w:br w:type="page"/>
      </w:r>
    </w:p>
    <w:p>
      <w:pPr>
        <w:pStyle w:val="Heading1"/>
      </w:pPr>
      <w:r>
        <w:t>同前缀不同未来的风险</w:t>
      </w:r>
    </w:p>
    <w:p>
      <w:r>
        <w:t>四种随机前缀各500项固定不变，后缀均由1至100各45件组成，仅改变4500项后缀的随机、升序、降序。每组3流的前缀、BF状态、31维特征、五个邻居、预测和最终选择均完全一致，独立检查全部通过。</w:t>
      </w:r>
    </w:p>
    <w:p>
      <w:r>
        <w:t>四组中有2组在不同未来下出现严格相反的oracle最优分支。合法前缀选择器不能因尚未发生的后缀而改变决定。风险集相对训练SBS平均多25.333箱；相对事后分支oracle平均后悔26.250箱，最坏后悔152箱；这12流单列，不混入主指标，也不用于重新训练。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prefix_ri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512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前缀族</w:t>
            </w:r>
          </w:p>
        </w:tc>
        <w:tc>
          <w:tcPr>
            <w:tcW w:type="dxa" w:w="3024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固定选择</w:t>
            </w:r>
          </w:p>
        </w:tc>
        <w:tc>
          <w:tcPr>
            <w:tcW w:type="dxa" w:w="3456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三种未来的后悔</w:t>
            </w:r>
          </w:p>
        </w:tc>
        <w:tc>
          <w:tcPr>
            <w:tcW w:type="dxa" w:w="1584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oracle反转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双峰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全程BF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0/151/0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偏小Beta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BF前缀后无条件EoH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9/0/0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均匀整数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全程BF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3/152/0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Weibull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BF前缀后无条件EoH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0/0/0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否</w:t>
            </w:r>
          </w:p>
        </w:tc>
      </w:tr>
    </w:tbl>
    <w:p>
      <w:r>
        <w:t>后悔顺序依次为随机、升序、降序后缀。即使后缀多重集相同，仅顺序变化也可能改变应选分支。</w:t>
      </w:r>
    </w:p>
    <w:p>
      <w:r>
        <w:br w:type="page"/>
      </w:r>
    </w:p>
    <w:p>
      <w:pPr>
        <w:pStyle w:val="Heading1"/>
      </w:pPr>
      <w:r>
        <w:t>成本和独立整数验算</w:t>
      </w:r>
    </w:p>
    <w:p>
      <w:r>
        <w:t>768次运行全完成，主验算覆盖3,840,000次容量、体积守恒、箱数和first-argmax决策。独立checker不导入runner或selector，用math标量评分、残量桶与最小索引堆重放控制决策，另写特征与kNN预测核对；120个部署选择及4组未来不变性均通过。</w:t>
      </w:r>
    </w:p>
    <w:p>
      <w:r>
        <w:t>数值执行总CPU 162.814秒、墙钟162.852秒；独立验算CPU 10.064秒；固定分析及制图CPU 1.554秒。外层记录三个成功阶段完整进程总CPU 175.132秒，含启动和落盘；另为已停止的首次验证器计入240秒保守上界。标签、前缀、选择推断、序列化、训练和独立验算均有分项；不是将CPU隐匿到额外免费的oracle。主质量指标仍为箱数，CPU未被硬凑成箱数效用。</w:t>
      </w:r>
    </w:p>
    <w:p>
      <w:r>
        <w:t>单线程、新模型/API调用0、额外收费0。768个策略运行没有失败或重试。首次验证器因重复解压导致低效而停止26条后重启缓存版，全部原始日志保留；首次验证器CPU精确计量缺失，以其240秒硬限保守计入预算；执行前修正独立checker的浮点加法括号，并增加580秒软CPU异常保存；600秒硬限不变，v0/v1和修订证据保留，选择器和指标未变。跨平台浮点位级等价并未得到证明。</w:t>
      </w:r>
    </w:p>
    <w:p>
      <w:r>
        <w:t>历史整体900 CPU秒预算合规仍未知：首次验证器中断丢失精确计量，旧准备/静态检查也未完整计时。所留100秒只是计划预留，不能当作已证历史上界或实测成本。后续以396.212秒前瞻额度控制和计量；该会计限制与已通过的轨迹和结果正确性分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86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集合</w:t>
            </w:r>
          </w:p>
        </w:tc>
        <w:tc>
          <w:tcPr>
            <w:tcW w:type="dxa" w:w="374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方法</w:t>
            </w:r>
          </w:p>
        </w:tc>
        <w:tc>
          <w:tcPr>
            <w:tcW w:type="dxa" w:w="86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运行数</w:t>
            </w:r>
          </w:p>
        </w:tc>
        <w:tc>
          <w:tcPr>
            <w:tcW w:type="dxa" w:w="1728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循环CPU秒</w:t>
            </w:r>
          </w:p>
        </w:tc>
        <w:tc>
          <w:tcPr>
            <w:tcW w:type="dxa" w:w="2016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选择CPU秒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训练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16.770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训练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39.084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12.444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28.479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全程固定EoH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30.760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前缀选择器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20.868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0.123618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1.376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3.160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全程固定EoH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3.440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前缀选择器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2.320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0.012004</w:t>
            </w:r>
          </w:p>
        </w:tc>
      </w:tr>
    </w:tbl>
    <w:p>
      <w:r>
        <w:t>模型拟合CPU 0.004023秒。分项循环计时不含其后的压缩落盘，RUN_COMPLETE总量包含这些开销。用于审计的基线额外特征提取也单列在cpu_accounting.csv。</w:t>
      </w:r>
    </w:p>
    <w:p>
      <w:r>
        <w:br w:type="page"/>
      </w:r>
    </w:p>
    <w:p>
      <w:pPr>
        <w:pStyle w:val="Heading1"/>
      </w:pPr>
      <w:r>
        <w:t>结果应如何使用</w:t>
      </w:r>
    </w:p>
    <w:p>
      <w:r>
        <w:t>可以报告：在预冻的六尺寸族和三到达顺序的等权合成混合中，一个只见500项前缀的固定选择器取得上述可复查结果，含负例、同状态oracle后悔、已测成本及未完整计时项。</w:t>
      </w:r>
    </w:p>
    <w:p>
      <w:r>
        <w:t>不能报告：原132研究已通过新的确认；实现AutoFolio/RAISE全方法；完整流oracle可部署；任意未来、未知新分布或农业田间都享有同样收益。训练/确认同分布族、样本小且顺序结构固定，预测器可能依赖这种稳定性。只切换一次、只选两个固定控制；没有证明这是最强选择模型。</w:t>
      </w:r>
    </w:p>
    <w:p>
      <w:r>
        <w:t>本轮没有读取原132 heldout或P1结果，也没有改旧包、原提示、父代选择或原研究冻结。新数据与反馈不得接入原132第二代。</w:t>
      </w:r>
    </w:p>
    <w:p>
      <w:pPr>
        <w:pStyle w:val="Heading1"/>
      </w:pPr>
      <w:r>
        <w:t>证据和重跑入口</w:t>
      </w:r>
    </w:p>
    <w:p>
      <w:r>
        <w:t>PROTOCOL.json固定分布、特征、种子块、指标及预算；FREEZE.json固定执行前代码和输入。MODEL_FREEZE.json证明模型在确认运行前写入。inputs保存264条完整输入及谱系；raw保存768条完整分配/残量/可行数轨迹和成本；analysis保存逐流表、全部单元表、bootstrap重抽索引与分项CPU。README给出从空目录重跑的命令。COST_LEDGER.json补充完整进程、独立审阅和报告制作的实测成本；预冻结规划和少量只读命令没有完整计时，单独披露而不伪造为零。</w:t>
      </w:r>
    </w:p>
    <w:p>
      <w:r>
        <w:t>P069原文PDF与M04原件SHA256一致，关键机制参见PDF页6–7、10–14。https://ada.liacs.nl/papers/LinEtAl15.pdf</w:t>
      </w:r>
    </w:p>
    <w:p>
      <w:r>
        <w:t>固定EoH来源：Liu等，ICML 2024，Figure 6与§4.1。https://proceedings.mlr.press/v235/liu24bs.html</w:t>
      </w:r>
    </w:p>
    <w:p>
      <w:pPr>
        <w:pStyle w:val="Heading1"/>
      </w:pPr>
      <w:r>
        <w:t>关键哈希</w:t>
      </w:r>
    </w:p>
    <w:p>
      <w:r>
        <w:t>FREEZE.json</w:t>
        <w:br/>
        <w:t>883780fb58189db4159a0e2c99b4c2db43b4b98a36ade8387b795973b5dc153a</w:t>
      </w:r>
    </w:p>
    <w:p>
      <w:r>
        <w:t>MODEL.json</w:t>
        <w:br/>
        <w:t>98991f0908867ff7de995b1e252d503c0180a5e74c67ac03d9444765fdede7ab</w:t>
      </w:r>
    </w:p>
    <w:p>
      <w:r>
        <w:t>PROTOCOL.json</w:t>
        <w:br/>
        <w:t>8c715fe742013b144a19002026f04977d1bc6131c2772675c54736496d663662</w:t>
      </w:r>
    </w:p>
    <w:p>
      <w:r>
        <w:t>独立预审与结果复核文件一并归档。文档中未以oracle标签命中率代替实际箱数，也未将无差异解读为普适等效。</w:t>
      </w:r>
    </w:p>
    <w:sectPr w:rsidR="00FC693F" w:rsidRPr="0006063C" w:rsidSect="00034616"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