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URP研究与实施方案</w:t>
      </w:r>
    </w:p>
    <w:p>
      <w:pPr>
        <w:pStyle w:val="Subtitle"/>
      </w:pPr>
      <w:r>
        <w:t>农业路径规划算法库 智能推荐与自动算法设计</w:t>
      </w:r>
    </w:p>
    <w:p>
      <w:pPr>
        <w:spacing w:after="200"/>
      </w:pPr>
      <w:r>
        <w:rPr>
          <w:color w:val="444444"/>
          <w:sz w:val="18"/>
        </w:rPr>
        <w:t>面向农业机器人的路径规划算法库构建与智能推荐方法研究</w:t>
        <w:br/>
        <w:t>统一方案  2026年10月11日</w:t>
      </w:r>
    </w:p>
    <w:p>
      <w:pPr>
        <w:pStyle w:val="Heading2"/>
      </w:pPr>
      <w:r>
        <w:t>统一路线</w:t>
      </w:r>
    </w:p>
    <w:p>
      <w:r>
        <w:t>以同一套可执行农业路径规划系统承接课题与研究：建设按能力注册的算法库，让LLM理解场景、提取约束、提出候选算法或受限执行计划，真实调用求解器并独立验算；离线自动设计产生的程序经准入后进入同一算法库。老师的思想与代码双表示演化、多问题自动设计主线保留，并与在线理解和推荐分别评价。</w:t>
      </w:r>
    </w:p>
    <w:p>
      <w:r>
        <w:t>交付须覆盖图搜索、采样规划、局部避障和任务优化四类算法能力，以及果园运输、农田巡检避障、多作业点规划和不规则地块覆盖四类案例。VRP适合重点实证，点到点导航、整行服务和面积覆盖保留各自合同与入口。旧11算法名单可用现代强方法替代，替代须有能力映射和可复查证据。</w:t>
      </w:r>
    </w:p>
    <w:p>
      <w:pPr>
        <w:pStyle w:val="Heading2"/>
      </w:pPr>
      <w:r>
        <w:t>实施与研究同步推进</w:t>
      </w:r>
    </w:p>
    <w:p>
      <w:r>
        <w:t>近期先把已有CLI、checker、选择与生成资产接到现有React/HTTP面板，以OpenLayers、pyproj、Shapely和版本化任务内核实现编辑、运行、核验与回放。首个点服务或果园合同合格后即可接在线LLM；行服务、补给和覆盖能力并行补齐，不等待全部性能矩阵完成。</w:t>
      </w:r>
    </w:p>
    <w:p>
      <w:r>
        <w:t>实验先识别受约束理解和真实推荐的增量，再以强传统库与生成扩展库、固定策略与实际选择的四格比较拆开扩库收益。学习型路线改进、动态预算、代码修复、开放模型后训练、生成多样性、agent控制、世界模型及交互研究均保留最小实验。建议集中单次实验的未知量，不把投入排序写成已取消的方向。</w:t>
      </w:r>
    </w:p>
    <w:p>
      <w:pPr>
        <w:pStyle w:val="Heading2"/>
      </w:pPr>
      <w:r>
        <w:t>本方案的使用方式</w:t>
      </w:r>
    </w:p>
    <w:p>
      <w:r>
        <w:t>前半部规定需求、现状、任务与系统实现；中部给出LLM主链和探索实验；后半部统一数据、成本、阶段门与验收。已有结果按保存原件陈述，拟议实验和性能目标单独标明。本文整合三份定稿，未启动新实验、安装或额外文献调查。</w:t>
      </w:r>
    </w:p>
    <w:p>
      <w:pPr>
        <w:spacing w:before="100" w:after="0" w:line="240" w:lineRule="exact"/>
      </w:pPr>
      <w:r>
        <w:rPr>
          <w:color w:val="444444"/>
          <w:sz w:val="18"/>
        </w:rPr>
        <w:t>依据《URP研究计划》《URP技术方案》《研究路线评议》2026年10月11日定稿及已核NDS候选入口。既有冲突以最新研究计划的已审计事实为准；地图实施以技术方案为准。</w:t>
      </w:r>
    </w:p>
    <w:p>
      <w:pPr>
        <w:pStyle w:val="Heading1"/>
        <w:pageBreakBefore/>
      </w:pPr>
      <w:r>
        <w:t>阅读导航</w:t>
      </w:r>
    </w:p>
    <w:p>
      <w:r>
        <w:t>本方案按需求、证据、实现、实验和验收组织。正文采用统一标题层级，可在Word导航窗格中直接跳转。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682"/>
      </w:tblGrid>
      <w:tr>
        <w:trPr>
          <w:cantSplit/>
          <w:tblHeader/>
        </w:trPr>
        <w:tc>
          <w:tcPr>
            <w:tcW w:type="dxa" w:w="3312"/>
            <w:vAlign w:val="center"/>
            <w:tcMar>
              <w:top w:w="90" w:type="dxa"/>
              <w:left w:w="100" w:type="dxa"/>
              <w:bottom w:w="90" w:type="dxa"/>
              <w:right w:w="100" w:type="dxa"/>
            </w:tcMar>
            <w:shd w:fill="E9F0F5"/>
          </w:tcPr>
          <w:p>
            <w:pPr>
              <w:keepNext/>
              <w:spacing w:line="276" w:lineRule="exact" w:after="0"/>
            </w:pPr>
            <w:r>
              <w:rPr>
                <w:b/>
                <w:sz w:val="19"/>
              </w:rPr>
              <w:t>部分</w:t>
            </w:r>
          </w:p>
        </w:tc>
        <w:tc>
          <w:tcPr>
            <w:tcW w:type="dxa" w:w="6682"/>
            <w:vAlign w:val="center"/>
            <w:tcMar>
              <w:top w:w="90" w:type="dxa"/>
              <w:left w:w="100" w:type="dxa"/>
              <w:bottom w:w="90" w:type="dxa"/>
              <w:right w:w="100" w:type="dxa"/>
            </w:tcMar>
            <w:shd w:fill="E9F0F5"/>
          </w:tcPr>
          <w:p>
            <w:pPr>
              <w:keepNext/>
              <w:spacing w:line="276" w:lineRule="exact" w:after="0"/>
            </w:pPr>
            <w:r>
              <w:rPr>
                <w:b/>
                <w:sz w:val="19"/>
              </w:rPr>
              <w:t>主要内容</w:t>
            </w:r>
          </w:p>
        </w:tc>
      </w:tr>
      <w:tr>
        <w:trPr>
          <w:cantSplit/>
        </w:trPr>
        <w:tc>
          <w:tcPr>
            <w:tcW w:type="dxa" w:w="3312"/>
            <w:vAlign w:val="center"/>
            <w:tcMar>
              <w:top w:w="90" w:type="dxa"/>
              <w:left w:w="100" w:type="dxa"/>
              <w:bottom w:w="90" w:type="dxa"/>
              <w:right w:w="100" w:type="dxa"/>
            </w:tcMar>
          </w:tcPr>
          <w:p>
            <w:pPr>
              <w:spacing w:line="276" w:lineRule="exact" w:after="0"/>
            </w:pPr>
            <w:r>
              <w:rPr>
                <w:sz w:val="19"/>
              </w:rPr>
              <w:t>一 研究要求与现代实现</w:t>
            </w:r>
          </w:p>
        </w:tc>
        <w:tc>
          <w:tcPr>
            <w:tcW w:type="dxa" w:w="6682"/>
            <w:vAlign w:val="center"/>
            <w:tcMar>
              <w:top w:w="90" w:type="dxa"/>
              <w:left w:w="100" w:type="dxa"/>
              <w:bottom w:w="90" w:type="dxa"/>
              <w:right w:w="100" w:type="dxa"/>
            </w:tcMar>
          </w:tcPr>
          <w:p>
            <w:pPr>
              <w:spacing w:line="276" w:lineRule="exact" w:after="0"/>
            </w:pPr>
            <w:r>
              <w:rPr>
                <w:sz w:val="19"/>
              </w:rPr>
              <w:t>课题边界、能力替代、正式成果</w:t>
            </w:r>
          </w:p>
        </w:tc>
      </w:tr>
      <w:tr>
        <w:trPr>
          <w:cantSplit/>
        </w:trPr>
        <w:tc>
          <w:tcPr>
            <w:tcW w:type="dxa" w:w="3312"/>
            <w:vAlign w:val="center"/>
            <w:tcMar>
              <w:top w:w="90" w:type="dxa"/>
              <w:left w:w="100" w:type="dxa"/>
              <w:bottom w:w="90" w:type="dxa"/>
              <w:right w:w="100" w:type="dxa"/>
            </w:tcMar>
          </w:tcPr>
          <w:p>
            <w:pPr>
              <w:spacing w:line="276" w:lineRule="exact" w:after="0"/>
            </w:pPr>
            <w:r>
              <w:rPr>
                <w:sz w:val="19"/>
              </w:rPr>
              <w:t>二 已有证据与农业任务</w:t>
            </w:r>
          </w:p>
        </w:tc>
        <w:tc>
          <w:tcPr>
            <w:tcW w:type="dxa" w:w="6682"/>
            <w:vAlign w:val="center"/>
            <w:tcMar>
              <w:top w:w="90" w:type="dxa"/>
              <w:left w:w="100" w:type="dxa"/>
              <w:bottom w:w="90" w:type="dxa"/>
              <w:right w:w="100" w:type="dxa"/>
            </w:tcMar>
          </w:tcPr>
          <w:p>
            <w:pPr>
              <w:spacing w:line="276" w:lineRule="exact" w:after="0"/>
            </w:pPr>
            <w:r>
              <w:rPr>
                <w:sz w:val="19"/>
              </w:rPr>
              <w:t>保存结果、农业任务、服务与转向资格</w:t>
            </w:r>
          </w:p>
        </w:tc>
      </w:tr>
      <w:tr>
        <w:trPr>
          <w:cantSplit/>
        </w:trPr>
        <w:tc>
          <w:tcPr>
            <w:tcW w:type="dxa" w:w="3312"/>
            <w:vAlign w:val="center"/>
            <w:tcMar>
              <w:top w:w="90" w:type="dxa"/>
              <w:left w:w="100" w:type="dxa"/>
              <w:bottom w:w="90" w:type="dxa"/>
              <w:right w:w="100" w:type="dxa"/>
            </w:tcMar>
          </w:tcPr>
          <w:p>
            <w:pPr>
              <w:spacing w:line="276" w:lineRule="exact" w:after="0"/>
            </w:pPr>
            <w:r>
              <w:rPr>
                <w:sz w:val="19"/>
              </w:rPr>
              <w:t>三 地图 系统与执行实施</w:t>
            </w:r>
          </w:p>
        </w:tc>
        <w:tc>
          <w:tcPr>
            <w:tcW w:type="dxa" w:w="6682"/>
            <w:vAlign w:val="center"/>
            <w:tcMar>
              <w:top w:w="90" w:type="dxa"/>
              <w:left w:w="100" w:type="dxa"/>
              <w:bottom w:w="90" w:type="dxa"/>
              <w:right w:w="100" w:type="dxa"/>
            </w:tcMar>
          </w:tcPr>
          <w:p>
            <w:pPr>
              <w:spacing w:line="276" w:lineRule="exact" w:after="0"/>
            </w:pPr>
            <w:r>
              <w:rPr>
                <w:sz w:val="19"/>
              </w:rPr>
              <w:t>OpenLayers、坐标、输入、交互、Ubuntu与执行API</w:t>
            </w:r>
          </w:p>
        </w:tc>
      </w:tr>
      <w:tr>
        <w:trPr>
          <w:cantSplit/>
        </w:trPr>
        <w:tc>
          <w:tcPr>
            <w:tcW w:type="dxa" w:w="3312"/>
            <w:vAlign w:val="center"/>
            <w:tcMar>
              <w:top w:w="90" w:type="dxa"/>
              <w:left w:w="100" w:type="dxa"/>
              <w:bottom w:w="90" w:type="dxa"/>
              <w:right w:w="100" w:type="dxa"/>
            </w:tcMar>
          </w:tcPr>
          <w:p>
            <w:pPr>
              <w:spacing w:line="276" w:lineRule="exact" w:after="0"/>
            </w:pPr>
            <w:r>
              <w:rPr>
                <w:sz w:val="19"/>
              </w:rPr>
              <w:t>四 LLM理解 推荐与自动设计</w:t>
            </w:r>
          </w:p>
        </w:tc>
        <w:tc>
          <w:tcPr>
            <w:tcW w:type="dxa" w:w="6682"/>
            <w:vAlign w:val="center"/>
            <w:tcMar>
              <w:top w:w="90" w:type="dxa"/>
              <w:left w:w="100" w:type="dxa"/>
              <w:bottom w:w="90" w:type="dxa"/>
              <w:right w:w="100" w:type="dxa"/>
            </w:tcMar>
          </w:tcPr>
          <w:p>
            <w:pPr>
              <w:spacing w:line="276" w:lineRule="exact" w:after="0"/>
            </w:pPr>
            <w:r>
              <w:rPr>
                <w:sz w:val="19"/>
              </w:rPr>
              <w:t>在线LLM与离线生成、强基线和扩库四格</w:t>
            </w:r>
          </w:p>
        </w:tc>
      </w:tr>
      <w:tr>
        <w:trPr>
          <w:cantSplit/>
        </w:trPr>
        <w:tc>
          <w:tcPr>
            <w:tcW w:type="dxa" w:w="3312"/>
            <w:vAlign w:val="center"/>
            <w:tcMar>
              <w:top w:w="90" w:type="dxa"/>
              <w:left w:w="100" w:type="dxa"/>
              <w:bottom w:w="90" w:type="dxa"/>
              <w:right w:w="100" w:type="dxa"/>
            </w:tcMar>
          </w:tcPr>
          <w:p>
            <w:pPr>
              <w:spacing w:line="276" w:lineRule="exact" w:after="0"/>
            </w:pPr>
            <w:r>
              <w:rPr>
                <w:sz w:val="19"/>
              </w:rPr>
              <w:t>五 探索方向与最小实验</w:t>
            </w:r>
          </w:p>
        </w:tc>
        <w:tc>
          <w:tcPr>
            <w:tcW w:type="dxa" w:w="6682"/>
            <w:vAlign w:val="center"/>
            <w:tcMar>
              <w:top w:w="90" w:type="dxa"/>
              <w:left w:w="100" w:type="dxa"/>
              <w:bottom w:w="90" w:type="dxa"/>
              <w:right w:w="100" w:type="dxa"/>
            </w:tcMar>
          </w:tcPr>
          <w:p>
            <w:pPr>
              <w:spacing w:line="276" w:lineRule="exact" w:after="0"/>
            </w:pPr>
            <w:r>
              <w:rPr>
                <w:sz w:val="19"/>
              </w:rPr>
              <w:t>学习路线、动态预算、修复进化、后训练、多样性、harness、世界模型、交互</w:t>
            </w:r>
          </w:p>
        </w:tc>
      </w:tr>
      <w:tr>
        <w:trPr>
          <w:cantSplit/>
        </w:trPr>
        <w:tc>
          <w:tcPr>
            <w:tcW w:type="dxa" w:w="3312"/>
            <w:vAlign w:val="center"/>
            <w:tcMar>
              <w:top w:w="90" w:type="dxa"/>
              <w:left w:w="100" w:type="dxa"/>
              <w:bottom w:w="90" w:type="dxa"/>
              <w:right w:w="100" w:type="dxa"/>
            </w:tcMar>
          </w:tcPr>
          <w:p>
            <w:pPr>
              <w:spacing w:line="276" w:lineRule="exact" w:after="0"/>
            </w:pPr>
            <w:r>
              <w:rPr>
                <w:sz w:val="19"/>
              </w:rPr>
              <w:t>六 数据 成本与风险</w:t>
            </w:r>
          </w:p>
        </w:tc>
        <w:tc>
          <w:tcPr>
            <w:tcW w:type="dxa" w:w="6682"/>
            <w:vAlign w:val="center"/>
            <w:tcMar>
              <w:top w:w="90" w:type="dxa"/>
              <w:left w:w="100" w:type="dxa"/>
              <w:bottom w:w="90" w:type="dxa"/>
              <w:right w:w="100" w:type="dxa"/>
            </w:tcMar>
          </w:tcPr>
          <w:p>
            <w:pPr>
              <w:spacing w:line="276" w:lineRule="exact" w:after="0"/>
            </w:pPr>
            <w:r>
              <w:rPr>
                <w:sz w:val="19"/>
              </w:rPr>
              <w:t>独立母组、两层留出、全成本、失败、风险校准</w:t>
            </w:r>
          </w:p>
        </w:tc>
      </w:tr>
      <w:tr>
        <w:trPr>
          <w:cantSplit/>
        </w:trPr>
        <w:tc>
          <w:tcPr>
            <w:tcW w:type="dxa" w:w="3312"/>
            <w:vAlign w:val="center"/>
            <w:tcMar>
              <w:top w:w="90" w:type="dxa"/>
              <w:left w:w="100" w:type="dxa"/>
              <w:bottom w:w="90" w:type="dxa"/>
              <w:right w:w="100" w:type="dxa"/>
            </w:tcMar>
          </w:tcPr>
          <w:p>
            <w:pPr>
              <w:spacing w:line="276" w:lineRule="exact" w:after="0"/>
            </w:pPr>
            <w:r>
              <w:rPr>
                <w:sz w:val="19"/>
              </w:rPr>
              <w:t>七 分阶段实施与交付</w:t>
            </w:r>
          </w:p>
        </w:tc>
        <w:tc>
          <w:tcPr>
            <w:tcW w:type="dxa" w:w="6682"/>
            <w:vAlign w:val="center"/>
            <w:tcMar>
              <w:top w:w="90" w:type="dxa"/>
              <w:left w:w="100" w:type="dxa"/>
              <w:bottom w:w="90" w:type="dxa"/>
              <w:right w:w="100" w:type="dxa"/>
            </w:tcMar>
          </w:tcPr>
          <w:p>
            <w:pPr>
              <w:spacing w:line="276" w:lineRule="exact" w:after="0"/>
            </w:pPr>
            <w:r>
              <w:rPr>
                <w:sz w:val="19"/>
              </w:rPr>
              <w:t>滚动阶段门、论文主张与交付证据</w:t>
            </w:r>
          </w:p>
        </w:tc>
      </w:tr>
      <w:tr>
        <w:trPr>
          <w:cantSplit/>
        </w:trPr>
        <w:tc>
          <w:tcPr>
            <w:tcW w:type="dxa" w:w="3312"/>
            <w:vAlign w:val="center"/>
            <w:tcMar>
              <w:top w:w="90" w:type="dxa"/>
              <w:left w:w="100" w:type="dxa"/>
              <w:bottom w:w="90" w:type="dxa"/>
              <w:right w:w="100" w:type="dxa"/>
            </w:tcMar>
          </w:tcPr>
          <w:p>
            <w:pPr>
              <w:spacing w:line="276" w:lineRule="exact" w:after="0"/>
            </w:pPr>
            <w:r>
              <w:rPr>
                <w:sz w:val="19"/>
              </w:rPr>
              <w:t>附录 来源覆盖与参考依据</w:t>
            </w:r>
          </w:p>
        </w:tc>
        <w:tc>
          <w:tcPr>
            <w:tcW w:type="dxa" w:w="6682"/>
            <w:vAlign w:val="center"/>
            <w:tcMar>
              <w:top w:w="90" w:type="dxa"/>
              <w:left w:w="100" w:type="dxa"/>
              <w:bottom w:w="90" w:type="dxa"/>
              <w:right w:w="100" w:type="dxa"/>
            </w:tcMar>
          </w:tcPr>
          <w:p>
            <w:pPr>
              <w:spacing w:line="276" w:lineRule="exact" w:after="0"/>
            </w:pPr>
            <w:r>
              <w:rPr>
                <w:sz w:val="19"/>
              </w:rPr>
              <w:t>阅读覆盖、16主题索引、项目原件及参考链接</w:t>
            </w:r>
          </w:p>
        </w:tc>
      </w:tr>
    </w:tbl>
    <w:p>
      <w:pPr>
        <w:spacing w:after="0" w:before="0" w:line="240" w:lineRule="auto"/>
      </w:pPr>
      <w:r>
        <w:rPr>
          <w:sz w:val="6"/>
        </w:rPr>
      </w:r>
    </w:p>
    <w:p>
      <w:pPr>
        <w:pStyle w:val="Heading2"/>
      </w:pPr>
      <w:r>
        <w:t>术语与状态约定</w:t>
      </w:r>
    </w:p>
    <w:p>
      <w:r>
        <w:t>任务合同指输入、服务定义、目标、约束和可接受输出的明确约定。算法能力合同声明某版本支持的任务与约束组合。runner为受控执行器，checker为独立验算器，selector为实际选择器。SBS是训练侧选定的固定最佳方法，VBS是事后逐例最优的虚拟上界；后者不能部署为免费推荐。</w:t>
      </w:r>
    </w:p>
    <w:p>
      <w:r>
        <w:t>“已核”指来源、代码或保存结果已核对；“已实现”只说明相应代码存在；“当前通过”需本环境实际运行；“建议”“拟定目标”均是待实施。系统仿真、半合成作业与田间验证分开陈述。</w:t>
      </w:r>
    </w:p>
    <w:p>
      <w:r>
        <w:t>来源R编号沿用主要研究依据，T编号对应工程文档，ER编号对应探索方法，统一收录于文末；它们是检索标签，不代表研究优先级。</w:t>
      </w:r>
    </w:p>
    <w:p>
      <w:bookmarkStart w:id="2000" w:name="part_1"/>
      <w:pPr>
        <w:pStyle w:val="Heading1"/>
        <w:pageBreakBefore/>
      </w:pPr>
      <w:r>
        <w:t>一 研究要求与现代实现</w:t>
      </w:r>
      <w:bookmarkEnd w:id="2000"/>
    </w:p>
    <w:p>
      <w:pPr>
        <w:pStyle w:val="Heading2"/>
      </w:pPr>
      <w:r>
        <w:t>1  研究目标与验收范围</w:t>
      </w:r>
    </w:p>
    <w:p>
      <w:r>
        <w:t>正式课题是《面向农业机器人的路径规划算法库构建与智能推荐方法研究》。本方案按最新研究意图解释申报材料：保持研究目标、能力覆盖和交付期望，允许用更合适的算法、接口与实验组织替代旧实现。升级的判断依据是能力是否完整、证据是否更强，而不是是否复刻所有旧名字。</w:t>
      </w:r>
    </w:p>
    <w:p>
      <w:pPr>
        <w:pStyle w:val="Heading3"/>
      </w:pPr>
      <w:r>
        <w:t>三个来源具有不同约束力</w:t>
      </w:r>
    </w:p>
    <w:p>
      <w:r>
        <w:t>立项申报书明确算法库、场景理解与约束提取、候选推荐、对接具体算法得到规划结果，以及五项成果。四类算法与四类农业案例描述了预期能力。文中列名的11算法、Python和API工作流是当时的实现路径，后续可以改进，但需解释替代覆盖了哪些要求。[R1]</w:t>
      </w:r>
    </w:p>
    <w:p>
      <w:r>
        <w:t>老师《LLM自动算法设计入门指南》第六章名为“实践项目建议”。其中P3强调思想与代码双表示演化，P5强调LLM、进化算法和评估模块的多问题集成，P6期待原创方法与可投稿论文。这些支持保留真实自动设计研究，但不能将全部学习建议改写为学校逐项硬验收。[R2]</w:t>
      </w:r>
    </w:p>
    <w:p>
      <w:r>
        <w:t>后续实施方案将固定车队CVRP、VRPTW、IL与PPO等作为实施取舍。未找到老师逐项批准其替代全部农业能力的原始记录。因此它可帮助接续已有成果，不能用来取消导航、避障或覆盖任务。[R3]</w:t>
      </w:r>
    </w:p>
    <w:p>
      <w:pPr>
        <w:pStyle w:val="Heading3"/>
      </w:pPr>
      <w:r>
        <w:t>能力替代与交付追踪</w:t>
      </w:r>
    </w:p>
    <w:p>
      <w:pPr>
        <w:spacing w:after="100"/>
        <w:ind w:left="144" w:hanging="144"/>
      </w:pPr>
      <w:r>
        <w:t>• 记录原研究需求、拟采用的新实现、替代理由、能力边界和可复查验收证据。</w:t>
      </w:r>
    </w:p>
    <w:p>
      <w:pPr>
        <w:spacing w:after="100"/>
        <w:ind w:left="144" w:hanging="144"/>
      </w:pPr>
      <w:r>
        <w:t>• 传统方法与学习方法共用任务定义和独立验算；算法名称相同不代表合同相同。</w:t>
      </w:r>
    </w:p>
    <w:p>
      <w:pPr>
        <w:spacing w:after="100"/>
        <w:ind w:left="144" w:hanging="144"/>
      </w:pPr>
      <w:r>
        <w:t>• 把“已实现”“历史结果已核对”“当前环境已重跑”和“拟研究”分开登记。</w:t>
      </w:r>
    </w:p>
    <w:p>
      <w:pPr>
        <w:spacing w:after="100"/>
        <w:ind w:left="144" w:hanging="144"/>
      </w:pPr>
      <w:r>
        <w:t>• 最终提交前与导师核对实质性范围变化及学校材料要求；不将没有找到的验收通知补成事实。</w:t>
      </w:r>
    </w:p>
    <w:p>
      <w:r>
        <w:t>申报执行期为一年，研究安排写为2026年3月至2027年2月；尚未找到精确到日的学校截止通知。本方案据依赖和证据安排阶段，不为尚未估算的实验承诺固定周数。[R1]</w:t>
      </w:r>
    </w:p>
    <w:p>
      <w:pPr>
        <w:pStyle w:val="Heading2"/>
      </w:pPr>
      <w:r>
        <w:t>2  能力覆盖与现代实现</w:t>
      </w:r>
    </w:p>
    <w:p>
      <w:r>
        <w:t>算法库采用按任务能力注册的方式。优先保留已验证的强方法与简明参照，每个成员标明支持的任务、约束、预算与许可证；不同参数配置可以是不同候选，但不包装成新的算法家族。下表是建议实现，不是声称这些能力已经完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4176"/>
        <w:gridCol w:w="4262"/>
      </w:tblGrid>
      <w:tr>
        <w:trPr>
          <w:cantSplit/>
          <w:tblHeader/>
        </w:trPr>
        <w:tc>
          <w:tcPr>
            <w:tcW w:type="dxa" w:w="1555"/>
            <w:vAlign w:val="center"/>
            <w:tcMar>
              <w:top w:w="90" w:type="dxa"/>
              <w:left w:w="100" w:type="dxa"/>
              <w:bottom w:w="90" w:type="dxa"/>
              <w:right w:w="100" w:type="dxa"/>
            </w:tcMar>
            <w:shd w:fill="E9F0F5"/>
          </w:tcPr>
          <w:p>
            <w:pPr>
              <w:keepNext/>
              <w:spacing w:line="276" w:lineRule="exact" w:after="0"/>
            </w:pPr>
            <w:r>
              <w:rPr>
                <w:b/>
                <w:sz w:val="19"/>
              </w:rPr>
              <w:t>研究要求</w:t>
            </w:r>
          </w:p>
        </w:tc>
        <w:tc>
          <w:tcPr>
            <w:tcW w:type="dxa" w:w="4176"/>
            <w:vAlign w:val="center"/>
            <w:tcMar>
              <w:top w:w="90" w:type="dxa"/>
              <w:left w:w="100" w:type="dxa"/>
              <w:bottom w:w="90" w:type="dxa"/>
              <w:right w:w="100" w:type="dxa"/>
            </w:tcMar>
            <w:shd w:fill="E9F0F5"/>
          </w:tcPr>
          <w:p>
            <w:pPr>
              <w:keepNext/>
              <w:spacing w:line="276" w:lineRule="exact" w:after="0"/>
            </w:pPr>
            <w:r>
              <w:rPr>
                <w:b/>
                <w:sz w:val="19"/>
              </w:rPr>
              <w:t>建议现代实现</w:t>
            </w:r>
          </w:p>
        </w:tc>
        <w:tc>
          <w:tcPr>
            <w:tcW w:type="dxa" w:w="4262"/>
            <w:vAlign w:val="center"/>
            <w:tcMar>
              <w:top w:w="90" w:type="dxa"/>
              <w:left w:w="100" w:type="dxa"/>
              <w:bottom w:w="90" w:type="dxa"/>
              <w:right w:w="100" w:type="dxa"/>
            </w:tcMar>
            <w:shd w:fill="E9F0F5"/>
          </w:tcPr>
          <w:p>
            <w:pPr>
              <w:keepNext/>
              <w:spacing w:line="276" w:lineRule="exact" w:after="0"/>
            </w:pPr>
            <w:r>
              <w:rPr>
                <w:b/>
                <w:sz w:val="19"/>
              </w:rPr>
              <w:t>验收证据</w:t>
            </w:r>
          </w:p>
        </w:tc>
      </w:tr>
      <w:tr>
        <w:trPr>
          <w:cantSplit/>
        </w:trPr>
        <w:tc>
          <w:tcPr>
            <w:tcW w:type="dxa" w:w="1555"/>
            <w:vAlign w:val="center"/>
            <w:tcMar>
              <w:top w:w="90" w:type="dxa"/>
              <w:left w:w="100" w:type="dxa"/>
              <w:bottom w:w="90" w:type="dxa"/>
              <w:right w:w="100" w:type="dxa"/>
            </w:tcMar>
          </w:tcPr>
          <w:p>
            <w:pPr>
              <w:spacing w:line="276" w:lineRule="exact" w:after="0"/>
            </w:pPr>
            <w:r>
              <w:rPr>
                <w:sz w:val="19"/>
              </w:rPr>
              <w:t>图搜索与几何可达</w:t>
            </w:r>
          </w:p>
        </w:tc>
        <w:tc>
          <w:tcPr>
            <w:tcW w:type="dxa" w:w="4176"/>
            <w:vAlign w:val="center"/>
            <w:tcMar>
              <w:top w:w="90" w:type="dxa"/>
              <w:left w:w="100" w:type="dxa"/>
              <w:bottom w:w="90" w:type="dxa"/>
              <w:right w:w="100" w:type="dxa"/>
            </w:tcMar>
          </w:tcPr>
          <w:p>
            <w:pPr>
              <w:spacing w:line="276" w:lineRule="exact" w:after="0"/>
            </w:pPr>
            <w:r>
              <w:rPr>
                <w:sz w:val="19"/>
              </w:rPr>
              <w:t>保留A*/Dijkstra精确参照，按车辆状态扩展搜索；不为凑数重复所有旧变体。</w:t>
            </w:r>
          </w:p>
        </w:tc>
        <w:tc>
          <w:tcPr>
            <w:tcW w:type="dxa" w:w="4262"/>
            <w:vAlign w:val="center"/>
            <w:tcMar>
              <w:top w:w="90" w:type="dxa"/>
              <w:left w:w="100" w:type="dxa"/>
              <w:bottom w:w="90" w:type="dxa"/>
              <w:right w:w="100" w:type="dxa"/>
            </w:tcMar>
          </w:tcPr>
          <w:p>
            <w:pPr>
              <w:spacing w:line="276" w:lineRule="exact" w:after="0"/>
            </w:pPr>
            <w:r>
              <w:rPr>
                <w:sz w:val="19"/>
              </w:rPr>
              <w:t>同图合同、小例参照、可达与不可达、足迹/目标核对。</w:t>
            </w:r>
          </w:p>
        </w:tc>
      </w:tr>
      <w:tr>
        <w:trPr>
          <w:cantSplit/>
        </w:trPr>
        <w:tc>
          <w:tcPr>
            <w:tcW w:type="dxa" w:w="1555"/>
            <w:vAlign w:val="center"/>
            <w:tcMar>
              <w:top w:w="90" w:type="dxa"/>
              <w:left w:w="100" w:type="dxa"/>
              <w:bottom w:w="90" w:type="dxa"/>
              <w:right w:w="100" w:type="dxa"/>
            </w:tcMar>
          </w:tcPr>
          <w:p>
            <w:pPr>
              <w:spacing w:line="276" w:lineRule="exact" w:after="0"/>
            </w:pPr>
            <w:r>
              <w:rPr>
                <w:sz w:val="19"/>
              </w:rPr>
              <w:t>采样与连续运动</w:t>
            </w:r>
          </w:p>
        </w:tc>
        <w:tc>
          <w:tcPr>
            <w:tcW w:type="dxa" w:w="4176"/>
            <w:vAlign w:val="center"/>
            <w:tcMar>
              <w:top w:w="90" w:type="dxa"/>
              <w:left w:w="100" w:type="dxa"/>
              <w:bottom w:w="90" w:type="dxa"/>
              <w:right w:w="100" w:type="dxa"/>
            </w:tcMar>
          </w:tcPr>
          <w:p>
            <w:pPr>
              <w:spacing w:line="276" w:lineRule="exact" w:after="0"/>
            </w:pPr>
            <w:r>
              <w:rPr>
                <w:sz w:val="19"/>
              </w:rPr>
              <w:t>选定一个匹配运动约束的强采样规划器或组合，保留其支持域。</w:t>
            </w:r>
          </w:p>
        </w:tc>
        <w:tc>
          <w:tcPr>
            <w:tcW w:type="dxa" w:w="4262"/>
            <w:vAlign w:val="center"/>
            <w:tcMar>
              <w:top w:w="90" w:type="dxa"/>
              <w:left w:w="100" w:type="dxa"/>
              <w:bottom w:w="90" w:type="dxa"/>
              <w:right w:w="100" w:type="dxa"/>
            </w:tcMar>
          </w:tcPr>
          <w:p>
            <w:pPr>
              <w:spacing w:line="276" w:lineRule="exact" w:after="0"/>
            </w:pPr>
            <w:r>
              <w:rPr>
                <w:sz w:val="19"/>
              </w:rPr>
              <w:t>同连续空间与预算，碰撞/运动检查、成功率和质量；声明离散精度。</w:t>
            </w:r>
          </w:p>
        </w:tc>
      </w:tr>
      <w:tr>
        <w:trPr>
          <w:cantSplit/>
        </w:trPr>
        <w:tc>
          <w:tcPr>
            <w:tcW w:type="dxa" w:w="1555"/>
            <w:vAlign w:val="center"/>
            <w:tcMar>
              <w:top w:w="90" w:type="dxa"/>
              <w:left w:w="100" w:type="dxa"/>
              <w:bottom w:w="90" w:type="dxa"/>
              <w:right w:w="100" w:type="dxa"/>
            </w:tcMar>
          </w:tcPr>
          <w:p>
            <w:pPr>
              <w:spacing w:line="276" w:lineRule="exact" w:after="0"/>
            </w:pPr>
            <w:r>
              <w:rPr>
                <w:sz w:val="19"/>
              </w:rPr>
              <w:t>局部避障</w:t>
            </w:r>
          </w:p>
        </w:tc>
        <w:tc>
          <w:tcPr>
            <w:tcW w:type="dxa" w:w="4176"/>
            <w:vAlign w:val="center"/>
            <w:tcMar>
              <w:top w:w="90" w:type="dxa"/>
              <w:left w:w="100" w:type="dxa"/>
              <w:bottom w:w="90" w:type="dxa"/>
              <w:right w:w="100" w:type="dxa"/>
            </w:tcMar>
          </w:tcPr>
          <w:p>
            <w:pPr>
              <w:spacing w:line="276" w:lineRule="exact" w:after="0"/>
            </w:pPr>
            <w:r>
              <w:rPr>
                <w:sz w:val="19"/>
              </w:rPr>
              <w:t>采用匹配车辆模型的局部规划或控制器；明确动态障碍与全局引导。</w:t>
            </w:r>
          </w:p>
        </w:tc>
        <w:tc>
          <w:tcPr>
            <w:tcW w:type="dxa" w:w="4262"/>
            <w:vAlign w:val="center"/>
            <w:tcMar>
              <w:top w:w="90" w:type="dxa"/>
              <w:left w:w="100" w:type="dxa"/>
              <w:bottom w:w="90" w:type="dxa"/>
              <w:right w:w="100" w:type="dxa"/>
            </w:tcMar>
          </w:tcPr>
          <w:p>
            <w:pPr>
              <w:spacing w:line="276" w:lineRule="exact" w:after="0"/>
            </w:pPr>
            <w:r>
              <w:rPr>
                <w:sz w:val="19"/>
              </w:rPr>
              <w:t>固定仿真步长和信息权限；到达、碰撞、卡住、控制时延及重放。</w:t>
            </w:r>
          </w:p>
        </w:tc>
      </w:tr>
      <w:tr>
        <w:trPr>
          <w:cantSplit/>
        </w:trPr>
        <w:tc>
          <w:tcPr>
            <w:tcW w:type="dxa" w:w="1555"/>
            <w:vAlign w:val="center"/>
            <w:tcMar>
              <w:top w:w="90" w:type="dxa"/>
              <w:left w:w="100" w:type="dxa"/>
              <w:bottom w:w="90" w:type="dxa"/>
              <w:right w:w="100" w:type="dxa"/>
            </w:tcMar>
          </w:tcPr>
          <w:p>
            <w:pPr>
              <w:spacing w:line="276" w:lineRule="exact" w:after="0"/>
            </w:pPr>
            <w:r>
              <w:rPr>
                <w:sz w:val="19"/>
              </w:rPr>
              <w:t>任务优化</w:t>
            </w:r>
          </w:p>
        </w:tc>
        <w:tc>
          <w:tcPr>
            <w:tcW w:type="dxa" w:w="4176"/>
            <w:vAlign w:val="center"/>
            <w:tcMar>
              <w:top w:w="90" w:type="dxa"/>
              <w:left w:w="100" w:type="dxa"/>
              <w:bottom w:w="90" w:type="dxa"/>
              <w:right w:w="100" w:type="dxa"/>
            </w:tcMar>
          </w:tcPr>
          <w:p>
            <w:pPr>
              <w:spacing w:line="276" w:lineRule="exact" w:after="0"/>
            </w:pPr>
            <w:r>
              <w:rPr>
                <w:sz w:val="19"/>
              </w:rPr>
              <w:t>PyVRP/HGS类强方法、精确小例与合格生成程序；不受GA/PSO/ACO旧名单限制。</w:t>
            </w:r>
          </w:p>
        </w:tc>
        <w:tc>
          <w:tcPr>
            <w:tcW w:type="dxa" w:w="4262"/>
            <w:vAlign w:val="center"/>
            <w:tcMar>
              <w:top w:w="90" w:type="dxa"/>
              <w:left w:w="100" w:type="dxa"/>
              <w:bottom w:w="90" w:type="dxa"/>
              <w:right w:w="100" w:type="dxa"/>
            </w:tcMar>
          </w:tcPr>
          <w:p>
            <w:pPr>
              <w:spacing w:line="276" w:lineRule="exact" w:after="0"/>
            </w:pPr>
            <w:r>
              <w:rPr>
                <w:sz w:val="19"/>
              </w:rPr>
              <w:t>任务服务、容量/车队/时间规则正确；强基线与全分母失败。</w:t>
            </w:r>
          </w:p>
        </w:tc>
      </w:tr>
      <w:tr>
        <w:trPr>
          <w:cantSplit/>
        </w:trPr>
        <w:tc>
          <w:tcPr>
            <w:tcW w:type="dxa" w:w="1555"/>
            <w:vAlign w:val="center"/>
            <w:tcMar>
              <w:top w:w="90" w:type="dxa"/>
              <w:left w:w="100" w:type="dxa"/>
              <w:bottom w:w="90" w:type="dxa"/>
              <w:right w:w="100" w:type="dxa"/>
            </w:tcMar>
          </w:tcPr>
          <w:p>
            <w:pPr>
              <w:spacing w:line="276" w:lineRule="exact" w:after="0"/>
            </w:pPr>
            <w:r>
              <w:rPr>
                <w:sz w:val="19"/>
              </w:rPr>
              <w:t>行与面积作业</w:t>
            </w:r>
          </w:p>
        </w:tc>
        <w:tc>
          <w:tcPr>
            <w:tcW w:type="dxa" w:w="4176"/>
            <w:vAlign w:val="center"/>
            <w:tcMar>
              <w:top w:w="90" w:type="dxa"/>
              <w:left w:w="100" w:type="dxa"/>
              <w:bottom w:w="90" w:type="dxa"/>
              <w:right w:w="100" w:type="dxa"/>
            </w:tcMar>
          </w:tcPr>
          <w:p>
            <w:pPr>
              <w:spacing w:line="276" w:lineRule="exact" w:after="0"/>
            </w:pPr>
            <w:r>
              <w:rPr>
                <w:sz w:val="19"/>
              </w:rPr>
              <w:t>保留方向、入出状态与资源；以Fields2Cover等适配不规则覆盖。</w:t>
            </w:r>
          </w:p>
        </w:tc>
        <w:tc>
          <w:tcPr>
            <w:tcW w:type="dxa" w:w="4262"/>
            <w:vAlign w:val="center"/>
            <w:tcMar>
              <w:top w:w="90" w:type="dxa"/>
              <w:left w:w="100" w:type="dxa"/>
              <w:bottom w:w="90" w:type="dxa"/>
              <w:right w:w="100" w:type="dxa"/>
            </w:tcMar>
          </w:tcPr>
          <w:p>
            <w:pPr>
              <w:spacing w:line="276" w:lineRule="exact" w:after="0"/>
            </w:pPr>
            <w:r>
              <w:rPr>
                <w:sz w:val="19"/>
              </w:rPr>
              <w:t>整行及工具扫掠验算；漏作、重叠、转弯、补给和完整成本。</w:t>
            </w:r>
          </w:p>
        </w:tc>
      </w:tr>
      <w:tr>
        <w:trPr>
          <w:cantSplit/>
        </w:trPr>
        <w:tc>
          <w:tcPr>
            <w:tcW w:type="dxa" w:w="1555"/>
            <w:vAlign w:val="center"/>
            <w:tcMar>
              <w:top w:w="90" w:type="dxa"/>
              <w:left w:w="100" w:type="dxa"/>
              <w:bottom w:w="90" w:type="dxa"/>
              <w:right w:w="100" w:type="dxa"/>
            </w:tcMar>
          </w:tcPr>
          <w:p>
            <w:pPr>
              <w:spacing w:line="276" w:lineRule="exact" w:after="0"/>
            </w:pPr>
            <w:r>
              <w:rPr>
                <w:sz w:val="19"/>
              </w:rPr>
              <w:t>LLM推荐及调用</w:t>
            </w:r>
          </w:p>
        </w:tc>
        <w:tc>
          <w:tcPr>
            <w:tcW w:type="dxa" w:w="4176"/>
            <w:vAlign w:val="center"/>
            <w:tcMar>
              <w:top w:w="90" w:type="dxa"/>
              <w:left w:w="100" w:type="dxa"/>
              <w:bottom w:w="90" w:type="dxa"/>
              <w:right w:w="100" w:type="dxa"/>
            </w:tcMar>
          </w:tcPr>
          <w:p>
            <w:pPr>
              <w:spacing w:line="276" w:lineRule="exact" w:after="0"/>
            </w:pPr>
            <w:r>
              <w:rPr>
                <w:sz w:val="19"/>
              </w:rPr>
              <w:t>受约束理解与计划、能力门控、真实性能辅助、注册ID实际求解。</w:t>
            </w:r>
          </w:p>
        </w:tc>
        <w:tc>
          <w:tcPr>
            <w:tcW w:type="dxa" w:w="4262"/>
            <w:vAlign w:val="center"/>
            <w:tcMar>
              <w:top w:w="90" w:type="dxa"/>
              <w:left w:w="100" w:type="dxa"/>
              <w:bottom w:w="90" w:type="dxa"/>
              <w:right w:w="100" w:type="dxa"/>
            </w:tcMar>
          </w:tcPr>
          <w:p>
            <w:pPr>
              <w:spacing w:line="276" w:lineRule="exact" w:after="0"/>
            </w:pPr>
            <w:r>
              <w:rPr>
                <w:sz w:val="19"/>
              </w:rPr>
              <w:t>原意对齐、LLM提议与执行ID、工具回执、独立验算及实测对照。</w:t>
            </w:r>
          </w:p>
        </w:tc>
      </w:tr>
    </w:tbl>
    <w:p>
      <w:pPr>
        <w:spacing w:after="0" w:before="0" w:line="240" w:lineRule="auto"/>
      </w:pPr>
      <w:r>
        <w:rPr>
          <w:sz w:val="6"/>
        </w:rPr>
      </w:r>
    </w:p>
    <w:p>
      <w:r>
        <w:t>现代替代必须保持四类算法能力及四案例的真实覆盖。旧11算法不逐项锁死；每个替代记录输入、输出、支持域、失败和真实调用。能力门控不应成为回避尚缺类别的理由，也不要求不同职责算法进入同一排行榜。</w:t>
      </w:r>
    </w:p>
    <w:p>
      <w:pPr>
        <w:spacing w:before="100" w:after="0" w:line="240" w:lineRule="exact"/>
      </w:pPr>
      <w:r>
        <w:rPr>
          <w:color w:val="444444"/>
          <w:sz w:val="18"/>
        </w:rPr>
        <w:t>需求依据 R1；方法参考 R8、R12、R13。地图、接口及工程验收在本方案技术部分统一展开。</w:t>
      </w:r>
    </w:p>
    <w:p>
      <w:bookmarkStart w:id="3000" w:name="part_2"/>
      <w:pPr>
        <w:pStyle w:val="Heading1"/>
      </w:pPr>
      <w:r>
        <w:t>二 已有证据与农业任务</w:t>
      </w:r>
      <w:bookmarkEnd w:id="3000"/>
    </w:p>
    <w:p>
      <w:pPr>
        <w:pStyle w:val="Heading2"/>
      </w:pPr>
      <w:r>
        <w:t>1  已有资产与可复用结论</w:t>
      </w:r>
    </w:p>
    <w:p>
      <w:r>
        <w:t>以下承接2026年10月11日原件核对的保存结果；本次整合未重新求解。已有真实生成、选择和农业组件实验，应复用其代码、协议与失败记录，再补当前环境的运行资格。[R4]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41"/>
        <w:gridCol w:w="4205"/>
        <w:gridCol w:w="4248"/>
      </w:tblGrid>
      <w:tr>
        <w:trPr>
          <w:cantSplit/>
          <w:tblHeader/>
        </w:trPr>
        <w:tc>
          <w:tcPr>
            <w:tcW w:type="dxa" w:w="1541"/>
            <w:vAlign w:val="center"/>
            <w:tcMar>
              <w:top w:w="90" w:type="dxa"/>
              <w:left w:w="100" w:type="dxa"/>
              <w:bottom w:w="90" w:type="dxa"/>
              <w:right w:w="100" w:type="dxa"/>
            </w:tcMar>
            <w:shd w:fill="E9F0F5"/>
          </w:tcPr>
          <w:p>
            <w:pPr>
              <w:keepNext/>
              <w:spacing w:line="276" w:lineRule="exact" w:after="0"/>
            </w:pPr>
            <w:r>
              <w:rPr>
                <w:b/>
                <w:sz w:val="19"/>
              </w:rPr>
              <w:t>资产</w:t>
            </w:r>
          </w:p>
        </w:tc>
        <w:tc>
          <w:tcPr>
            <w:tcW w:type="dxa" w:w="4205"/>
            <w:vAlign w:val="center"/>
            <w:tcMar>
              <w:top w:w="90" w:type="dxa"/>
              <w:left w:w="100" w:type="dxa"/>
              <w:bottom w:w="90" w:type="dxa"/>
              <w:right w:w="100" w:type="dxa"/>
            </w:tcMar>
            <w:shd w:fill="E9F0F5"/>
          </w:tcPr>
          <w:p>
            <w:pPr>
              <w:keepNext/>
              <w:spacing w:line="276" w:lineRule="exact" w:after="0"/>
            </w:pPr>
            <w:r>
              <w:rPr>
                <w:b/>
                <w:sz w:val="19"/>
              </w:rPr>
              <w:t>已核实的结果</w:t>
            </w:r>
          </w:p>
        </w:tc>
        <w:tc>
          <w:tcPr>
            <w:tcW w:type="dxa" w:w="4248"/>
            <w:vAlign w:val="center"/>
            <w:tcMar>
              <w:top w:w="90" w:type="dxa"/>
              <w:left w:w="100" w:type="dxa"/>
              <w:bottom w:w="90" w:type="dxa"/>
              <w:right w:w="100" w:type="dxa"/>
            </w:tcMar>
            <w:shd w:fill="E9F0F5"/>
          </w:tcPr>
          <w:p>
            <w:pPr>
              <w:keepNext/>
              <w:spacing w:line="276" w:lineRule="exact" w:after="0"/>
            </w:pPr>
            <w:r>
              <w:rPr>
                <w:b/>
                <w:sz w:val="19"/>
              </w:rPr>
              <w:t>下一阶段用途与边界</w:t>
            </w:r>
          </w:p>
        </w:tc>
      </w:tr>
      <w:tr>
        <w:trPr>
          <w:cantSplit/>
        </w:trPr>
        <w:tc>
          <w:tcPr>
            <w:tcW w:type="dxa" w:w="1541"/>
            <w:vAlign w:val="center"/>
            <w:tcMar>
              <w:top w:w="90" w:type="dxa"/>
              <w:left w:w="100" w:type="dxa"/>
              <w:bottom w:w="90" w:type="dxa"/>
              <w:right w:w="100" w:type="dxa"/>
            </w:tcMar>
          </w:tcPr>
          <w:p>
            <w:pPr>
              <w:spacing w:line="276" w:lineRule="exact" w:after="0"/>
            </w:pPr>
            <w:r>
              <w:rPr>
                <w:sz w:val="19"/>
              </w:rPr>
              <w:t>BPP选择</w:t>
            </w:r>
          </w:p>
        </w:tc>
        <w:tc>
          <w:tcPr>
            <w:tcW w:type="dxa" w:w="4205"/>
            <w:vAlign w:val="center"/>
            <w:tcMar>
              <w:top w:w="90" w:type="dxa"/>
              <w:left w:w="100" w:type="dxa"/>
              <w:bottom w:w="90" w:type="dxa"/>
              <w:right w:w="100" w:type="dxa"/>
            </w:tcMar>
          </w:tcPr>
          <w:p>
            <w:pPr>
              <w:spacing w:line="276" w:lineRule="exact" w:after="0"/>
            </w:pPr>
            <w:r>
              <w:rPr>
                <w:sz w:val="19"/>
              </w:rPr>
              <w:t>768次完整执行；训练48母多重集、确认36母多重集，哈希无交集。确认相对训练SBS平均少21.454箱。</w:t>
            </w:r>
          </w:p>
        </w:tc>
        <w:tc>
          <w:tcPr>
            <w:tcW w:type="dxa" w:w="4248"/>
            <w:vAlign w:val="center"/>
            <w:tcMar>
              <w:top w:w="90" w:type="dxa"/>
              <w:left w:w="100" w:type="dxa"/>
              <w:bottom w:w="90" w:type="dxa"/>
              <w:right w:w="100" w:type="dxa"/>
            </w:tcMar>
          </w:tcPr>
          <w:p>
            <w:pPr>
              <w:spacing w:line="276" w:lineRule="exact" w:after="0"/>
            </w:pPr>
            <w:r>
              <w:rPr>
                <w:sz w:val="19"/>
              </w:rPr>
              <w:t>复用冻结模型、特征、全分母与反例；三种顺序相关，不能当独立母实例。</w:t>
            </w:r>
          </w:p>
        </w:tc>
      </w:tr>
      <w:tr>
        <w:trPr>
          <w:cantSplit/>
        </w:trPr>
        <w:tc>
          <w:tcPr>
            <w:tcW w:type="dxa" w:w="1541"/>
            <w:vAlign w:val="center"/>
            <w:tcMar>
              <w:top w:w="90" w:type="dxa"/>
              <w:left w:w="100" w:type="dxa"/>
              <w:bottom w:w="90" w:type="dxa"/>
              <w:right w:w="100" w:type="dxa"/>
            </w:tcMar>
          </w:tcPr>
          <w:p>
            <w:pPr>
              <w:spacing w:line="276" w:lineRule="exact" w:after="0"/>
            </w:pPr>
            <w:r>
              <w:rPr>
                <w:sz w:val="19"/>
              </w:rPr>
              <w:t>VRPTW选择</w:t>
            </w:r>
          </w:p>
        </w:tc>
        <w:tc>
          <w:tcPr>
            <w:tcW w:type="dxa" w:w="4205"/>
            <w:vAlign w:val="center"/>
            <w:tcMar>
              <w:top w:w="90" w:type="dxa"/>
              <w:left w:w="100" w:type="dxa"/>
              <w:bottom w:w="90" w:type="dxa"/>
              <w:right w:w="100" w:type="dxa"/>
            </w:tcMar>
          </w:tcPr>
          <w:p>
            <w:pPr>
              <w:spacing w:line="276" w:lineRule="exact" w:after="0"/>
            </w:pPr>
            <w:r>
              <w:rPr>
                <w:sz w:val="19"/>
              </w:rPr>
              <w:t>40训练母几何、24测试母几何；240训练＋144测试求解记录。8特征48/48成功，距离改善1.444%。</w:t>
            </w:r>
          </w:p>
        </w:tc>
        <w:tc>
          <w:tcPr>
            <w:tcW w:type="dxa" w:w="4248"/>
            <w:vAlign w:val="center"/>
            <w:tcMar>
              <w:top w:w="90" w:type="dxa"/>
              <w:left w:w="100" w:type="dxa"/>
              <w:bottom w:w="90" w:type="dxa"/>
              <w:right w:w="100" w:type="dxa"/>
            </w:tcMar>
          </w:tcPr>
          <w:p>
            <w:pPr>
              <w:spacing w:line="276" w:lineRule="exact" w:after="0"/>
            </w:pPr>
            <w:r>
              <w:rPr>
                <w:sz w:val="19"/>
              </w:rPr>
              <w:t>复用性能矩阵与部署账；4特征45/48成功。只是固定三配置选择，尚非生成新算法闭环。</w:t>
            </w:r>
          </w:p>
        </w:tc>
      </w:tr>
      <w:tr>
        <w:trPr>
          <w:cantSplit/>
        </w:trPr>
        <w:tc>
          <w:tcPr>
            <w:tcW w:type="dxa" w:w="1541"/>
            <w:vAlign w:val="center"/>
            <w:tcMar>
              <w:top w:w="90" w:type="dxa"/>
              <w:left w:w="100" w:type="dxa"/>
              <w:bottom w:w="90" w:type="dxa"/>
              <w:right w:w="100" w:type="dxa"/>
            </w:tcMar>
          </w:tcPr>
          <w:p>
            <w:pPr>
              <w:spacing w:line="276" w:lineRule="exact" w:after="0"/>
            </w:pPr>
            <w:r>
              <w:rPr>
                <w:sz w:val="19"/>
              </w:rPr>
              <w:t>P2批次LLM生成</w:t>
            </w:r>
          </w:p>
        </w:tc>
        <w:tc>
          <w:tcPr>
            <w:tcW w:type="dxa" w:w="4205"/>
            <w:vAlign w:val="center"/>
            <w:tcMar>
              <w:top w:w="90" w:type="dxa"/>
              <w:left w:w="100" w:type="dxa"/>
              <w:bottom w:w="90" w:type="dxa"/>
              <w:right w:w="100" w:type="dxa"/>
            </w:tcMar>
          </w:tcPr>
          <w:p>
            <w:pPr>
              <w:spacing w:line="276" w:lineRule="exact" w:after="0"/>
            </w:pPr>
            <w:r>
              <w:rPr>
                <w:sz w:val="19"/>
              </w:rPr>
              <w:t>60槽，43完整评分、7静态拒绝、10生成失败；有提示、父代、回答和真实CLI回执。</w:t>
            </w:r>
          </w:p>
        </w:tc>
        <w:tc>
          <w:tcPr>
            <w:tcW w:type="dxa" w:w="4248"/>
            <w:vAlign w:val="center"/>
            <w:tcMar>
              <w:top w:w="90" w:type="dxa"/>
              <w:left w:w="100" w:type="dxa"/>
              <w:bottom w:w="90" w:type="dxa"/>
              <w:right w:w="100" w:type="dxa"/>
            </w:tcMar>
          </w:tcPr>
          <w:p>
            <w:pPr>
              <w:spacing w:line="276" w:lineRule="exact" w:after="0"/>
            </w:pPr>
            <w:r>
              <w:rPr>
                <w:sz w:val="19"/>
              </w:rPr>
              <w:t>复用谱系、准入、评分与失败账。EOH臂共享父代快照，不能当独立发现重启。</w:t>
            </w:r>
          </w:p>
        </w:tc>
      </w:tr>
      <w:tr>
        <w:trPr>
          <w:cantSplit/>
        </w:trPr>
        <w:tc>
          <w:tcPr>
            <w:tcW w:type="dxa" w:w="1541"/>
            <w:vAlign w:val="center"/>
            <w:tcMar>
              <w:top w:w="90" w:type="dxa"/>
              <w:left w:w="100" w:type="dxa"/>
              <w:bottom w:w="90" w:type="dxa"/>
              <w:right w:w="100" w:type="dxa"/>
            </w:tcMar>
          </w:tcPr>
          <w:p>
            <w:pPr>
              <w:spacing w:line="276" w:lineRule="exact" w:after="0"/>
            </w:pPr>
            <w:r>
              <w:rPr>
                <w:sz w:val="19"/>
              </w:rPr>
              <w:t>NL124</w:t>
            </w:r>
          </w:p>
        </w:tc>
        <w:tc>
          <w:tcPr>
            <w:tcW w:type="dxa" w:w="4205"/>
            <w:vAlign w:val="center"/>
            <w:tcMar>
              <w:top w:w="90" w:type="dxa"/>
              <w:left w:w="100" w:type="dxa"/>
              <w:bottom w:w="90" w:type="dxa"/>
              <w:right w:w="100" w:type="dxa"/>
            </w:tcMar>
          </w:tcPr>
          <w:p>
            <w:pPr>
              <w:spacing w:line="276" w:lineRule="exact" w:after="0"/>
            </w:pPr>
            <w:r>
              <w:rPr>
                <w:sz w:val="19"/>
              </w:rPr>
              <w:t>124母田块、1488槽；固定P为744/744可行并达自身矩阵精确参照，默认A为625/744。</w:t>
            </w:r>
          </w:p>
        </w:tc>
        <w:tc>
          <w:tcPr>
            <w:tcW w:type="dxa" w:w="4248"/>
            <w:vAlign w:val="center"/>
            <w:tcMar>
              <w:top w:w="90" w:type="dxa"/>
              <w:left w:w="100" w:type="dxa"/>
              <w:bottom w:w="90" w:type="dxa"/>
              <w:right w:w="100" w:type="dxa"/>
            </w:tcMar>
          </w:tcPr>
          <w:p>
            <w:pPr>
              <w:spacing w:line="276" w:lineRule="exact" w:after="0"/>
            </w:pPr>
            <w:r>
              <w:rPr>
                <w:sz w:val="19"/>
              </w:rPr>
              <w:t>复用精确回归与目标错配诊断。每田12个合成点，不是面积覆盖。</w:t>
            </w:r>
          </w:p>
        </w:tc>
      </w:tr>
      <w:tr>
        <w:trPr>
          <w:cantSplit/>
        </w:trPr>
        <w:tc>
          <w:tcPr>
            <w:tcW w:type="dxa" w:w="1541"/>
            <w:vAlign w:val="center"/>
            <w:tcMar>
              <w:top w:w="90" w:type="dxa"/>
              <w:left w:w="100" w:type="dxa"/>
              <w:bottom w:w="90" w:type="dxa"/>
              <w:right w:w="100" w:type="dxa"/>
            </w:tcMar>
          </w:tcPr>
          <w:p>
            <w:pPr>
              <w:spacing w:line="276" w:lineRule="exact" w:after="0"/>
            </w:pPr>
            <w:r>
              <w:rPr>
                <w:sz w:val="19"/>
              </w:rPr>
              <w:t>运动与导航</w:t>
            </w:r>
          </w:p>
        </w:tc>
        <w:tc>
          <w:tcPr>
            <w:tcW w:type="dxa" w:w="4205"/>
            <w:vAlign w:val="center"/>
            <w:tcMar>
              <w:top w:w="90" w:type="dxa"/>
              <w:left w:w="100" w:type="dxa"/>
              <w:bottom w:w="90" w:type="dxa"/>
              <w:right w:w="100" w:type="dxa"/>
            </w:tcMar>
          </w:tcPr>
          <w:p>
            <w:pPr>
              <w:spacing w:line="276" w:lineRule="exact" w:after="0"/>
            </w:pPr>
            <w:r>
              <w:rPr>
                <w:sz w:val="19"/>
              </w:rPr>
              <w:t>turn为12根图×3规则；Dubins为24几何×3半径；果园12合成图、96查询。</w:t>
            </w:r>
          </w:p>
        </w:tc>
        <w:tc>
          <w:tcPr>
            <w:tcW w:type="dxa" w:w="4248"/>
            <w:vAlign w:val="center"/>
            <w:tcMar>
              <w:top w:w="90" w:type="dxa"/>
              <w:left w:w="100" w:type="dxa"/>
              <w:bottom w:w="90" w:type="dxa"/>
              <w:right w:w="100" w:type="dxa"/>
            </w:tcMar>
          </w:tcPr>
          <w:p>
            <w:pPr>
              <w:spacing w:line="276" w:lineRule="exact" w:after="0"/>
            </w:pPr>
            <w:r>
              <w:rPr>
                <w:sz w:val="19"/>
              </w:rPr>
              <w:t>复用模式、姿态、碰撞与连接验算。重复计时不能增加独立地图数。</w:t>
            </w:r>
          </w:p>
        </w:tc>
      </w:tr>
    </w:tbl>
    <w:p>
      <w:pPr>
        <w:spacing w:after="0" w:before="0" w:line="240" w:lineRule="auto"/>
      </w:pPr>
      <w:r>
        <w:rPr>
          <w:sz w:val="6"/>
        </w:rPr>
      </w:r>
    </w:p>
    <w:p>
      <w:r>
        <w:t>P102还有24个基础实例在3容量、2空间条件下的144条结果；Fields2Cover源码与350份WKT存在，当前PyVRP适配器max_reloads=0。未找到URP完整行服务、回补、覆盖与运动联合闭环的原始结果。不要把上游仓库能力算作本项目已完成。[R4]</w:t>
      </w:r>
    </w:p>
    <w:p>
      <w:pPr>
        <w:pStyle w:val="Heading3"/>
      </w:pPr>
      <w:r>
        <w:t>结果级资产的边界</w:t>
      </w:r>
    </w:p>
    <w:p>
      <w:r>
        <w:t>NL124为124田块，每块一组仓库与12个单位需求客户，容量5、固定3条非空路线。1488槽是E/G两目标、A/P两配置与3个seed的组合；A与P均为PyVRP 0.14.0的ILS，主要差异在罚项。G为带1.1米圆盘中心安全间距的有限合法图距离，取整到毫米，不是连续空间全局最短路，也不含航向、最小转弯半径或多车时空冲突。</w:t>
      </w:r>
    </w:p>
    <w:p>
      <w:r>
        <w:t>E/G矩阵在82/124田块相同；固定seed0的P_E代表解在G上有正后悔13/124，42块矩阵不同者中29块仍无后悔。该诊断只针对固定点位与代表解，不能直接推断田块固有易错性；未来应将点位采样与并列解效应分开。</w:t>
      </w:r>
    </w:p>
    <w:p>
      <w:pPr>
        <w:pStyle w:val="Heading2"/>
      </w:pPr>
      <w:r>
        <w:t>2  已知失效与尚缺证据</w:t>
      </w:r>
    </w:p>
    <w:p>
      <w:pPr>
        <w:pStyle w:val="Heading3"/>
      </w:pPr>
      <w:r>
        <w:t>生成没有稳定胜出</w:t>
      </w:r>
    </w:p>
    <w:p>
      <w:r>
        <w:t>新20条装箱序列上，演化候选相对公开EoH为4胜、4平、12负，总计多用30箱。IID严格原始结果18/20，技术补齐后19/20；完整20例主比较仍为空。两种口径并列保留，不覆盖严格结果，不因缺失就宣布演化优于IID。[R4]</w:t>
      </w:r>
    </w:p>
    <w:p>
      <w:pPr>
        <w:pStyle w:val="Heading3"/>
      </w:pPr>
      <w:r>
        <w:t>选择收益存在明确边界</w:t>
      </w:r>
    </w:p>
    <w:p>
      <w:r>
        <w:t>BPP风险集是4组同前缀、不同后缀顺序的12条相关流，相对同一训练SBS平均多25.333箱。它给出部署前信息不足的明确反例。CVRP的24实例、432条历史记录中，0.25秒kNN改善约0.01441%，仅由1例改选贡献；主CRC在小校准样本设置下结构性全回退。不能通过事后换风险阈值制造正结果。[R4]</w:t>
      </w:r>
    </w:p>
    <w:p>
      <w:r>
        <w:t>VRPTW 8特征选择器的描述性收益值得继续检查，但其选择时点尚未完全核明。如果8特征版本是在看到终测后才选定，它只能作为开发结果，必须用新冻结终测确认。没有母组差异和预定分析，不能直接说其显著或不显著。</w:t>
      </w:r>
    </w:p>
    <w:p>
      <w:pPr>
        <w:pStyle w:val="Heading3"/>
      </w:pPr>
      <w:r>
        <w:t>当前缺口对应的工作</w:t>
      </w:r>
    </w:p>
    <w:p>
      <w:r>
        <w:t>已有独立执行、恢复与重放入口，当前产品还需接线。后续技术部分统一规定应用、任务队列、地图与执行的接口；不以静态前端替代实时求解，也不重写可复用实验。</w:t>
      </w:r>
    </w:p>
    <w:p>
      <w:pPr>
        <w:pStyle w:val="Heading3"/>
      </w:pPr>
      <w:r>
        <w:t>待补的有限证据</w:t>
      </w:r>
    </w:p>
    <w:p>
      <w:pPr>
        <w:spacing w:after="100"/>
        <w:ind w:left="144" w:hanging="144"/>
      </w:pPr>
      <w:r>
        <w:t>• 核对今天重跑的兼容性，补当前执行验收；历史PASS继续标为历史。</w:t>
      </w:r>
    </w:p>
    <w:p>
      <w:pPr>
        <w:spacing w:after="100"/>
        <w:ind w:left="144" w:hanging="144"/>
      </w:pPr>
      <w:r>
        <w:t>• 建立跨包的母组、程序谱系和重复使用登记，避免重复计数。</w:t>
      </w:r>
    </w:p>
    <w:p>
      <w:pPr>
        <w:spacing w:after="100"/>
        <w:ind w:left="144" w:hanging="144"/>
      </w:pPr>
      <w:r>
        <w:t>• 对缺失费用保留unknown；生成token、物理请求和全局成本不能凭汇总补齐。</w:t>
      </w:r>
    </w:p>
    <w:p>
      <w:pPr>
        <w:spacing w:after="100"/>
        <w:ind w:left="144" w:hanging="144"/>
      </w:pPr>
      <w:r>
        <w:t>• 完整农业作业的联合验算、真实LLM在线编排与实际调用仍需贯通。</w:t>
      </w:r>
    </w:p>
    <w:p>
      <w:r>
        <w:t>下一步围绕这些边界设计新的冻结确认；不重复把已有实验当作从零起步，也不将单批阴性外推到全部学习或生成方向。</w:t>
      </w:r>
    </w:p>
    <w:p>
      <w:r>
        <w:t>老师指南中的其他实践项目另行保留，与装箱生成的P1/P2批次编号不同：指南P1有120次汇总；指南P2合法排序360/360之外另有24次异常合同失败，不能写所有输入均正确；指南P4已有NAS与重训。它们不自动提供农业监督，也无需同时扩展成三条论文路线。[R2、R4]</w:t>
      </w:r>
    </w:p>
    <w:p>
      <w:pPr>
        <w:pStyle w:val="Heading2"/>
      </w:pPr>
      <w:r>
        <w:t>3  任务语义与算法能力合同</w:t>
      </w:r>
    </w:p>
    <w:p>
      <w:r>
        <w:t>统一输入、目标、能力声明和证据格式，不要求所有任务由一个求解器承担。未建模的关键约束必须拒绝；独立校验能发现错误，却不能补回编译时删去的可行域，也不能证明错误目标下的最优性。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248"/>
        <w:gridCol w:w="4306"/>
      </w:tblGrid>
      <w:tr>
        <w:trPr>
          <w:cantSplit/>
          <w:tblHeader/>
        </w:trPr>
        <w:tc>
          <w:tcPr>
            <w:tcW w:type="dxa" w:w="1440"/>
            <w:vAlign w:val="center"/>
            <w:tcMar>
              <w:top w:w="90" w:type="dxa"/>
              <w:left w:w="100" w:type="dxa"/>
              <w:bottom w:w="90" w:type="dxa"/>
              <w:right w:w="100" w:type="dxa"/>
            </w:tcMar>
            <w:shd w:fill="E9F0F5"/>
          </w:tcPr>
          <w:p>
            <w:pPr>
              <w:keepNext/>
              <w:spacing w:line="276" w:lineRule="exact" w:after="0"/>
            </w:pPr>
            <w:r>
              <w:rPr>
                <w:b/>
                <w:sz w:val="19"/>
              </w:rPr>
              <w:t>任务</w:t>
            </w:r>
          </w:p>
        </w:tc>
        <w:tc>
          <w:tcPr>
            <w:tcW w:type="dxa" w:w="4248"/>
            <w:vAlign w:val="center"/>
            <w:tcMar>
              <w:top w:w="90" w:type="dxa"/>
              <w:left w:w="100" w:type="dxa"/>
              <w:bottom w:w="90" w:type="dxa"/>
              <w:right w:w="100" w:type="dxa"/>
            </w:tcMar>
            <w:shd w:fill="E9F0F5"/>
          </w:tcPr>
          <w:p>
            <w:pPr>
              <w:keepNext/>
              <w:spacing w:line="276" w:lineRule="exact" w:after="0"/>
            </w:pPr>
            <w:r>
              <w:rPr>
                <w:b/>
                <w:sz w:val="19"/>
              </w:rPr>
              <w:t>服务完成的判据</w:t>
            </w:r>
          </w:p>
        </w:tc>
        <w:tc>
          <w:tcPr>
            <w:tcW w:type="dxa" w:w="4306"/>
            <w:vAlign w:val="center"/>
            <w:tcMar>
              <w:top w:w="90" w:type="dxa"/>
              <w:left w:w="100" w:type="dxa"/>
              <w:bottom w:w="90" w:type="dxa"/>
              <w:right w:w="100" w:type="dxa"/>
            </w:tcMar>
            <w:shd w:fill="E9F0F5"/>
          </w:tcPr>
          <w:p>
            <w:pPr>
              <w:keepNext/>
              <w:spacing w:line="276" w:lineRule="exact" w:after="0"/>
            </w:pPr>
            <w:r>
              <w:rPr>
                <w:b/>
                <w:sz w:val="19"/>
              </w:rPr>
              <w:t>适配与证据</w:t>
            </w:r>
          </w:p>
        </w:tc>
      </w:tr>
      <w:tr>
        <w:trPr>
          <w:cantSplit/>
        </w:trPr>
        <w:tc>
          <w:tcPr>
            <w:tcW w:type="dxa" w:w="1440"/>
            <w:vAlign w:val="center"/>
            <w:tcMar>
              <w:top w:w="90" w:type="dxa"/>
              <w:left w:w="100" w:type="dxa"/>
              <w:bottom w:w="90" w:type="dxa"/>
              <w:right w:w="100" w:type="dxa"/>
            </w:tcMar>
          </w:tcPr>
          <w:p>
            <w:pPr>
              <w:spacing w:line="276" w:lineRule="exact" w:after="0"/>
            </w:pPr>
            <w:r>
              <w:rPr>
                <w:sz w:val="19"/>
              </w:rPr>
              <w:t>点服务</w:t>
            </w:r>
          </w:p>
        </w:tc>
        <w:tc>
          <w:tcPr>
            <w:tcW w:type="dxa" w:w="4248"/>
            <w:vAlign w:val="center"/>
            <w:tcMar>
              <w:top w:w="90" w:type="dxa"/>
              <w:left w:w="100" w:type="dxa"/>
              <w:bottom w:w="90" w:type="dxa"/>
              <w:right w:w="100" w:type="dxa"/>
            </w:tcMar>
          </w:tcPr>
          <w:p>
            <w:pPr>
              <w:spacing w:line="276" w:lineRule="exact" w:after="0"/>
            </w:pPr>
            <w:r>
              <w:rPr>
                <w:sz w:val="19"/>
              </w:rPr>
              <w:t>在指定客户发生一次显式服务事件；经过其坐标不自动完成。</w:t>
            </w:r>
          </w:p>
        </w:tc>
        <w:tc>
          <w:tcPr>
            <w:tcW w:type="dxa" w:w="4306"/>
            <w:vAlign w:val="center"/>
            <w:tcMar>
              <w:top w:w="90" w:type="dxa"/>
              <w:left w:w="100" w:type="dxa"/>
              <w:bottom w:w="90" w:type="dxa"/>
              <w:right w:w="100" w:type="dxa"/>
            </w:tcMar>
          </w:tcPr>
          <w:p>
            <w:pPr>
              <w:spacing w:line="276" w:lineRule="exact" w:after="0"/>
            </w:pPr>
            <w:r>
              <w:rPr>
                <w:sz w:val="19"/>
              </w:rPr>
              <w:t>复用现有 E/G 流程及点服务 checker。</w:t>
            </w:r>
          </w:p>
        </w:tc>
      </w:tr>
      <w:tr>
        <w:trPr>
          <w:cantSplit/>
        </w:trPr>
        <w:tc>
          <w:tcPr>
            <w:tcW w:type="dxa" w:w="1440"/>
            <w:vAlign w:val="center"/>
            <w:tcMar>
              <w:top w:w="90" w:type="dxa"/>
              <w:left w:w="100" w:type="dxa"/>
              <w:bottom w:w="90" w:type="dxa"/>
              <w:right w:w="100" w:type="dxa"/>
            </w:tcMar>
          </w:tcPr>
          <w:p>
            <w:pPr>
              <w:spacing w:line="276" w:lineRule="exact" w:after="0"/>
            </w:pPr>
            <w:r>
              <w:rPr>
                <w:sz w:val="19"/>
              </w:rPr>
              <w:t>整行作业</w:t>
            </w:r>
          </w:p>
        </w:tc>
        <w:tc>
          <w:tcPr>
            <w:tcW w:type="dxa" w:w="4248"/>
            <w:vAlign w:val="center"/>
            <w:tcMar>
              <w:top w:w="90" w:type="dxa"/>
              <w:left w:w="100" w:type="dxa"/>
              <w:bottom w:w="90" w:type="dxa"/>
              <w:right w:w="100" w:type="dxa"/>
            </w:tcMar>
          </w:tcPr>
          <w:p>
            <w:pPr>
              <w:spacing w:line="276" w:lineRule="exact" w:after="0"/>
            </w:pPr>
            <w:r>
              <w:rPr>
                <w:sz w:val="19"/>
              </w:rPr>
              <w:t>沿允许方向连续完成整条任务线，满足作业状态、通行与端点条件。</w:t>
            </w:r>
          </w:p>
        </w:tc>
        <w:tc>
          <w:tcPr>
            <w:tcW w:type="dxa" w:w="4306"/>
            <w:vAlign w:val="center"/>
            <w:tcMar>
              <w:top w:w="90" w:type="dxa"/>
              <w:left w:w="100" w:type="dxa"/>
              <w:bottom w:w="90" w:type="dxa"/>
              <w:right w:w="100" w:type="dxa"/>
            </w:tcMar>
          </w:tcPr>
          <w:p>
            <w:pPr>
              <w:spacing w:line="276" w:lineRule="exact" w:after="0"/>
            </w:pPr>
            <w:r>
              <w:rPr>
                <w:sz w:val="19"/>
              </w:rPr>
              <w:t>保存完整行服务路径，不用中点代替整行。</w:t>
            </w:r>
          </w:p>
        </w:tc>
      </w:tr>
      <w:tr>
        <w:trPr>
          <w:cantSplit/>
        </w:trPr>
        <w:tc>
          <w:tcPr>
            <w:tcW w:type="dxa" w:w="1440"/>
            <w:vAlign w:val="center"/>
            <w:tcMar>
              <w:top w:w="90" w:type="dxa"/>
              <w:left w:w="100" w:type="dxa"/>
              <w:bottom w:w="90" w:type="dxa"/>
              <w:right w:w="100" w:type="dxa"/>
            </w:tcMar>
          </w:tcPr>
          <w:p>
            <w:pPr>
              <w:spacing w:line="276" w:lineRule="exact" w:after="0"/>
            </w:pPr>
            <w:r>
              <w:rPr>
                <w:sz w:val="19"/>
              </w:rPr>
              <w:t>面积覆盖</w:t>
            </w:r>
          </w:p>
        </w:tc>
        <w:tc>
          <w:tcPr>
            <w:tcW w:type="dxa" w:w="4248"/>
            <w:vAlign w:val="center"/>
            <w:tcMar>
              <w:top w:w="90" w:type="dxa"/>
              <w:left w:w="100" w:type="dxa"/>
              <w:bottom w:w="90" w:type="dxa"/>
              <w:right w:w="100" w:type="dxa"/>
            </w:tcMar>
          </w:tcPr>
          <w:p>
            <w:pPr>
              <w:spacing w:line="276" w:lineRule="exact" w:after="0"/>
            </w:pPr>
            <w:r>
              <w:rPr>
                <w:sz w:val="19"/>
              </w:rPr>
              <w:t>作业开启时，农具扫掠并集覆盖目标区域。</w:t>
            </w:r>
          </w:p>
        </w:tc>
        <w:tc>
          <w:tcPr>
            <w:tcW w:type="dxa" w:w="4306"/>
            <w:vAlign w:val="center"/>
            <w:tcMar>
              <w:top w:w="90" w:type="dxa"/>
              <w:left w:w="100" w:type="dxa"/>
              <w:bottom w:w="90" w:type="dxa"/>
              <w:right w:w="100" w:type="dxa"/>
            </w:tcMar>
          </w:tcPr>
          <w:p>
            <w:pPr>
              <w:spacing w:line="276" w:lineRule="exact" w:after="0"/>
            </w:pPr>
            <w:r>
              <w:rPr>
                <w:sz w:val="19"/>
              </w:rPr>
              <w:t>分别计算遗漏、重复和禁入侵入；Fields2Cover 可作为候选。</w:t>
            </w:r>
          </w:p>
        </w:tc>
      </w:tr>
      <w:tr>
        <w:trPr>
          <w:cantSplit/>
        </w:trPr>
        <w:tc>
          <w:tcPr>
            <w:tcW w:type="dxa" w:w="1440"/>
            <w:vAlign w:val="center"/>
            <w:tcMar>
              <w:top w:w="90" w:type="dxa"/>
              <w:left w:w="100" w:type="dxa"/>
              <w:bottom w:w="90" w:type="dxa"/>
              <w:right w:w="100" w:type="dxa"/>
            </w:tcMar>
          </w:tcPr>
          <w:p>
            <w:pPr>
              <w:spacing w:line="276" w:lineRule="exact" w:after="0"/>
            </w:pPr>
            <w:r>
              <w:rPr>
                <w:sz w:val="19"/>
              </w:rPr>
              <w:t>连接与导航</w:t>
            </w:r>
          </w:p>
        </w:tc>
        <w:tc>
          <w:tcPr>
            <w:tcW w:type="dxa" w:w="4248"/>
            <w:vAlign w:val="center"/>
            <w:tcMar>
              <w:top w:w="90" w:type="dxa"/>
              <w:left w:w="100" w:type="dxa"/>
              <w:bottom w:w="90" w:type="dxa"/>
              <w:right w:w="100" w:type="dxa"/>
            </w:tcMar>
          </w:tcPr>
          <w:p>
            <w:pPr>
              <w:spacing w:line="276" w:lineRule="exact" w:after="0"/>
            </w:pPr>
            <w:r>
              <w:rPr>
                <w:sz w:val="19"/>
              </w:rPr>
              <w:t>任务间连接可通行，并满足声明的姿态、转弯、倒车或执行约束。</w:t>
            </w:r>
          </w:p>
        </w:tc>
        <w:tc>
          <w:tcPr>
            <w:tcW w:type="dxa" w:w="4306"/>
            <w:vAlign w:val="center"/>
            <w:tcMar>
              <w:top w:w="90" w:type="dxa"/>
              <w:left w:w="100" w:type="dxa"/>
              <w:bottom w:w="90" w:type="dxa"/>
              <w:right w:w="100" w:type="dxa"/>
            </w:tcMar>
          </w:tcPr>
          <w:p>
            <w:pPr>
              <w:spacing w:line="276" w:lineRule="exact" w:after="0"/>
            </w:pPr>
            <w:r>
              <w:rPr>
                <w:sz w:val="19"/>
              </w:rPr>
              <w:t>使用合法线段图、转弯连接或 OMPL；实机接口另设。</w:t>
            </w:r>
          </w:p>
        </w:tc>
      </w:tr>
    </w:tbl>
    <w:p>
      <w:pPr>
        <w:spacing w:after="0" w:before="0" w:line="240" w:lineRule="auto"/>
      </w:pPr>
      <w:r>
        <w:rPr>
          <w:sz w:val="6"/>
        </w:rPr>
      </w:r>
    </w:p>
    <w:p>
      <w:r>
        <w:t>每个行或区域服务模式绑定入口姿态、出口姿态、内部完整路径、成本和资源需求，不能分别挑最便宜的入口与出口后拼成不存在的服务。排序后须展开完整见证。转移若依赖进入弧、航向、时间、载荷、共享农具或历史碾压，标量 c(i,j) 可能不足，应扩展模式状态或使用整条路线评估器；静态容量和时间窗仍可与静态矩阵共存，只需正确累计资源和时间。</w:t>
      </w:r>
    </w:p>
    <w:p>
      <w:r>
        <w:t>算法登记表绑定版本、适配器、已测约束组合、车队语义、目标、精确性范围、输入输出与预算。未知能力按不支持处理。先筛能力，再在合格池中固定选择或学习推荐；无合格算法时明确缺口。车队上限不等于恰好 K 条非空路线，词典序目标不等于加权和。NL124 因 12 个单位需求、容量 5 和至多 3 车恰好迫使使用 3 车，不能据此宣称任意低负载场景已支持 exact-K。</w:t>
      </w:r>
    </w:p>
    <w:p>
      <w:pPr>
        <w:pStyle w:val="Heading3"/>
      </w:pPr>
      <w:r>
        <w:t>首个适配器的边界</w:t>
      </w:r>
    </w:p>
    <w:p>
      <w:r>
        <w:t>点服务 E 使用直线距离，G 使用有限合法线段图上的路径长度。已有 1.1 米圆盘中心安全间距检查不代表航向、转弯半径或多车时空避碰已实现。编辑几何后必须重建受影响的合法图与距离矩阵。随后分别接整行、区域覆盖和导航；Fields2Cover 的条带、地头与转弯流程不等于多车调度已解决，turn_modes 的入弧语义也须先统一 depot、车数和服务定义。</w:t>
      </w:r>
    </w:p>
    <w:p>
      <w:pPr>
        <w:spacing w:before="100" w:after="0" w:line="240" w:lineRule="exact"/>
      </w:pPr>
      <w:r>
        <w:rPr>
          <w:color w:val="444444"/>
          <w:sz w:val="18"/>
        </w:rPr>
        <w:t>工程来源 T13、T17、T18、T28，见技术来源附录。</w:t>
      </w:r>
    </w:p>
    <w:p>
      <w:pPr>
        <w:pStyle w:val="Heading2"/>
      </w:pPr>
      <w:r>
        <w:t>4  农业主合同与四类案例</w:t>
      </w:r>
    </w:p>
    <w:p>
      <w:r>
        <w:t>建议以现有点服务或果园任务贯通真实执行，将首个深入农业实验限定为既定作业行、明确连接模式、单车和固定站补给。它可与学习型路线改进、自动设计或预算决策结合；一次实验只改变一个核心机制。四类案例分别验收，不要求全部进入同一篇论文。</w:t>
      </w:r>
    </w:p>
    <w:p>
      <w:pPr>
        <w:pStyle w:val="Heading3"/>
      </w:pPr>
      <w:r>
        <w:t>深入合同的最小边界</w:t>
      </w:r>
    </w:p>
    <w:p>
      <w:pPr>
        <w:spacing w:after="100"/>
        <w:ind w:left="144" w:hanging="144"/>
      </w:pPr>
      <w:r>
        <w:t>• 输入为有来源的米制田块、既定作业行、车辆足迹与转弯参数、每行耗料和固定站。</w:t>
      </w:r>
    </w:p>
    <w:p>
      <w:pPr>
        <w:spacing w:after="100"/>
        <w:ind w:left="144" w:hanging="144"/>
      </w:pPr>
      <w:r>
        <w:t>• 每行不可拆，必须完整服务；允许方向由任务定义，服务与非作业移动明确区分。</w:t>
      </w:r>
    </w:p>
    <w:p>
      <w:pPr>
        <w:spacing w:after="100"/>
        <w:ind w:left="144" w:hanging="144"/>
      </w:pPr>
      <w:r>
        <w:t>• 只研究一种资源，回站补满，补给时间与行驶时间同时累计；超容量行显式判不支持或不可行。</w:t>
      </w:r>
    </w:p>
    <w:p>
      <w:pPr>
        <w:spacing w:after="100"/>
        <w:ind w:left="144" w:hanging="144"/>
      </w:pPr>
      <w:r>
        <w:t>• 目标至少分解为作业、空驶、转弯、回仓和补给成本；优化主指标预先冻结。</w:t>
      </w:r>
    </w:p>
    <w:p>
      <w:pPr>
        <w:pStyle w:val="Heading3"/>
      </w:pPr>
      <w:r>
        <w:t>课题案例各自验证什么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435"/>
        <w:gridCol w:w="3902"/>
      </w:tblGrid>
      <w:tr>
        <w:trPr>
          <w:cantSplit/>
          <w:tblHeader/>
        </w:trPr>
        <w:tc>
          <w:tcPr>
            <w:tcW w:type="dxa" w:w="1656"/>
            <w:vAlign w:val="center"/>
            <w:tcMar>
              <w:top w:w="90" w:type="dxa"/>
              <w:left w:w="100" w:type="dxa"/>
              <w:bottom w:w="90" w:type="dxa"/>
              <w:right w:w="100" w:type="dxa"/>
            </w:tcMar>
            <w:shd w:fill="E9F0F5"/>
          </w:tcPr>
          <w:p>
            <w:pPr>
              <w:keepNext/>
              <w:spacing w:line="276" w:lineRule="exact" w:after="0"/>
            </w:pPr>
            <w:r>
              <w:rPr>
                <w:b/>
                <w:sz w:val="19"/>
              </w:rPr>
              <w:t>农业案例</w:t>
            </w:r>
          </w:p>
        </w:tc>
        <w:tc>
          <w:tcPr>
            <w:tcW w:type="dxa" w:w="4435"/>
            <w:vAlign w:val="center"/>
            <w:tcMar>
              <w:top w:w="90" w:type="dxa"/>
              <w:left w:w="100" w:type="dxa"/>
              <w:bottom w:w="90" w:type="dxa"/>
              <w:right w:w="100" w:type="dxa"/>
            </w:tcMar>
            <w:shd w:fill="E9F0F5"/>
          </w:tcPr>
          <w:p>
            <w:pPr>
              <w:keepNext/>
              <w:spacing w:line="276" w:lineRule="exact" w:after="0"/>
            </w:pPr>
            <w:r>
              <w:rPr>
                <w:b/>
                <w:sz w:val="19"/>
              </w:rPr>
              <w:t>功能验收重点</w:t>
            </w:r>
          </w:p>
        </w:tc>
        <w:tc>
          <w:tcPr>
            <w:tcW w:type="dxa" w:w="3902"/>
            <w:vAlign w:val="center"/>
            <w:tcMar>
              <w:top w:w="90" w:type="dxa"/>
              <w:left w:w="100" w:type="dxa"/>
              <w:bottom w:w="90" w:type="dxa"/>
              <w:right w:w="100" w:type="dxa"/>
            </w:tcMar>
            <w:shd w:fill="E9F0F5"/>
          </w:tcPr>
          <w:p>
            <w:pPr>
              <w:keepNext/>
              <w:spacing w:line="276" w:lineRule="exact" w:after="0"/>
            </w:pPr>
            <w:r>
              <w:rPr>
                <w:b/>
                <w:sz w:val="19"/>
              </w:rPr>
              <w:t>论文角色</w:t>
            </w:r>
          </w:p>
        </w:tc>
      </w:tr>
      <w:tr>
        <w:trPr>
          <w:cantSplit/>
        </w:trPr>
        <w:tc>
          <w:tcPr>
            <w:tcW w:type="dxa" w:w="1656"/>
            <w:vAlign w:val="center"/>
            <w:tcMar>
              <w:top w:w="90" w:type="dxa"/>
              <w:left w:w="100" w:type="dxa"/>
              <w:bottom w:w="90" w:type="dxa"/>
              <w:right w:w="100" w:type="dxa"/>
            </w:tcMar>
          </w:tcPr>
          <w:p>
            <w:pPr>
              <w:spacing w:line="276" w:lineRule="exact" w:after="0"/>
            </w:pPr>
            <w:r>
              <w:rPr>
                <w:sz w:val="19"/>
              </w:rPr>
              <w:t>果园运输</w:t>
            </w:r>
          </w:p>
        </w:tc>
        <w:tc>
          <w:tcPr>
            <w:tcW w:type="dxa" w:w="4435"/>
            <w:vAlign w:val="center"/>
            <w:tcMar>
              <w:top w:w="90" w:type="dxa"/>
              <w:left w:w="100" w:type="dxa"/>
              <w:bottom w:w="90" w:type="dxa"/>
              <w:right w:w="100" w:type="dxa"/>
            </w:tcMar>
          </w:tcPr>
          <w:p>
            <w:pPr>
              <w:spacing w:line="276" w:lineRule="exact" w:after="0"/>
            </w:pPr>
            <w:r>
              <w:rPr>
                <w:sz w:val="19"/>
              </w:rPr>
              <w:t>合法导航、载荷任务与路径回放，推荐到真实运行贯通。</w:t>
            </w:r>
          </w:p>
        </w:tc>
        <w:tc>
          <w:tcPr>
            <w:tcW w:type="dxa" w:w="3902"/>
            <w:vAlign w:val="center"/>
            <w:tcMar>
              <w:top w:w="90" w:type="dxa"/>
              <w:left w:w="100" w:type="dxa"/>
              <w:bottom w:w="90" w:type="dxa"/>
              <w:right w:w="100" w:type="dxa"/>
            </w:tcMar>
          </w:tcPr>
          <w:p>
            <w:pPr>
              <w:spacing w:line="276" w:lineRule="exact" w:after="0"/>
            </w:pPr>
            <w:r>
              <w:rPr>
                <w:sz w:val="19"/>
              </w:rPr>
              <w:t>现有组件复用与入口回归。</w:t>
            </w:r>
          </w:p>
        </w:tc>
      </w:tr>
      <w:tr>
        <w:trPr>
          <w:cantSplit/>
        </w:trPr>
        <w:tc>
          <w:tcPr>
            <w:tcW w:type="dxa" w:w="1656"/>
            <w:vAlign w:val="center"/>
            <w:tcMar>
              <w:top w:w="90" w:type="dxa"/>
              <w:left w:w="100" w:type="dxa"/>
              <w:bottom w:w="90" w:type="dxa"/>
              <w:right w:w="100" w:type="dxa"/>
            </w:tcMar>
          </w:tcPr>
          <w:p>
            <w:pPr>
              <w:spacing w:line="276" w:lineRule="exact" w:after="0"/>
            </w:pPr>
            <w:r>
              <w:rPr>
                <w:sz w:val="19"/>
              </w:rPr>
              <w:t>农田巡检避障</w:t>
            </w:r>
          </w:p>
        </w:tc>
        <w:tc>
          <w:tcPr>
            <w:tcW w:type="dxa" w:w="4435"/>
            <w:vAlign w:val="center"/>
            <w:tcMar>
              <w:top w:w="90" w:type="dxa"/>
              <w:left w:w="100" w:type="dxa"/>
              <w:bottom w:w="90" w:type="dxa"/>
              <w:right w:w="100" w:type="dxa"/>
            </w:tcMar>
          </w:tcPr>
          <w:p>
            <w:pPr>
              <w:spacing w:line="276" w:lineRule="exact" w:after="0"/>
            </w:pPr>
            <w:r>
              <w:rPr>
                <w:sz w:val="19"/>
              </w:rPr>
              <w:t>足迹、障碍与局部决策合法；动态场景采用固定可复现时序。</w:t>
            </w:r>
          </w:p>
        </w:tc>
        <w:tc>
          <w:tcPr>
            <w:tcW w:type="dxa" w:w="3902"/>
            <w:vAlign w:val="center"/>
            <w:tcMar>
              <w:top w:w="90" w:type="dxa"/>
              <w:left w:w="100" w:type="dxa"/>
              <w:bottom w:w="90" w:type="dxa"/>
              <w:right w:w="100" w:type="dxa"/>
            </w:tcMar>
          </w:tcPr>
          <w:p>
            <w:pPr>
              <w:spacing w:line="276" w:lineRule="exact" w:after="0"/>
            </w:pPr>
            <w:r>
              <w:rPr>
                <w:sz w:val="19"/>
              </w:rPr>
              <w:t>课题能力；是否进入主文取决于机制关联。</w:t>
            </w:r>
          </w:p>
        </w:tc>
      </w:tr>
      <w:tr>
        <w:trPr>
          <w:cantSplit/>
        </w:trPr>
        <w:tc>
          <w:tcPr>
            <w:tcW w:type="dxa" w:w="1656"/>
            <w:vAlign w:val="center"/>
            <w:tcMar>
              <w:top w:w="90" w:type="dxa"/>
              <w:left w:w="100" w:type="dxa"/>
              <w:bottom w:w="90" w:type="dxa"/>
              <w:right w:w="100" w:type="dxa"/>
            </w:tcMar>
          </w:tcPr>
          <w:p>
            <w:pPr>
              <w:spacing w:line="276" w:lineRule="exact" w:after="0"/>
            </w:pPr>
            <w:r>
              <w:rPr>
                <w:sz w:val="19"/>
              </w:rPr>
              <w:t>多作业点规划</w:t>
            </w:r>
          </w:p>
        </w:tc>
        <w:tc>
          <w:tcPr>
            <w:tcW w:type="dxa" w:w="4435"/>
            <w:vAlign w:val="center"/>
            <w:tcMar>
              <w:top w:w="90" w:type="dxa"/>
              <w:left w:w="100" w:type="dxa"/>
              <w:bottom w:w="90" w:type="dxa"/>
              <w:right w:w="100" w:type="dxa"/>
            </w:tcMar>
          </w:tcPr>
          <w:p>
            <w:pPr>
              <w:spacing w:line="276" w:lineRule="exact" w:after="0"/>
            </w:pPr>
            <w:r>
              <w:rPr>
                <w:sz w:val="19"/>
              </w:rPr>
              <w:t>容量/车队/时间规则和强基线；点任务完整服务。</w:t>
            </w:r>
          </w:p>
        </w:tc>
        <w:tc>
          <w:tcPr>
            <w:tcW w:type="dxa" w:w="3902"/>
            <w:vAlign w:val="center"/>
            <w:tcMar>
              <w:top w:w="90" w:type="dxa"/>
              <w:left w:w="100" w:type="dxa"/>
              <w:bottom w:w="90" w:type="dxa"/>
              <w:right w:w="100" w:type="dxa"/>
            </w:tcMar>
          </w:tcPr>
          <w:p>
            <w:pPr>
              <w:spacing w:line="276" w:lineRule="exact" w:after="0"/>
            </w:pPr>
            <w:r>
              <w:rPr>
                <w:sz w:val="19"/>
              </w:rPr>
              <w:t>已有资产接续及合同外检查。</w:t>
            </w:r>
          </w:p>
        </w:tc>
      </w:tr>
      <w:tr>
        <w:trPr>
          <w:cantSplit/>
        </w:trPr>
        <w:tc>
          <w:tcPr>
            <w:tcW w:type="dxa" w:w="1656"/>
            <w:vAlign w:val="center"/>
            <w:tcMar>
              <w:top w:w="90" w:type="dxa"/>
              <w:left w:w="100" w:type="dxa"/>
              <w:bottom w:w="90" w:type="dxa"/>
              <w:right w:w="100" w:type="dxa"/>
            </w:tcMar>
          </w:tcPr>
          <w:p>
            <w:pPr>
              <w:spacing w:line="276" w:lineRule="exact" w:after="0"/>
            </w:pPr>
            <w:r>
              <w:rPr>
                <w:sz w:val="19"/>
              </w:rPr>
              <w:t>不规则地块覆盖</w:t>
            </w:r>
          </w:p>
        </w:tc>
        <w:tc>
          <w:tcPr>
            <w:tcW w:type="dxa" w:w="4435"/>
            <w:vAlign w:val="center"/>
            <w:tcMar>
              <w:top w:w="90" w:type="dxa"/>
              <w:left w:w="100" w:type="dxa"/>
              <w:bottom w:w="90" w:type="dxa"/>
              <w:right w:w="100" w:type="dxa"/>
            </w:tcMar>
          </w:tcPr>
          <w:p>
            <w:pPr>
              <w:spacing w:line="276" w:lineRule="exact" w:after="0"/>
            </w:pPr>
            <w:r>
              <w:rPr>
                <w:sz w:val="19"/>
              </w:rPr>
              <w:t>工具扫掠、漏作、重叠、转弯与完整工作量。</w:t>
            </w:r>
          </w:p>
        </w:tc>
        <w:tc>
          <w:tcPr>
            <w:tcW w:type="dxa" w:w="3902"/>
            <w:vAlign w:val="center"/>
            <w:tcMar>
              <w:top w:w="90" w:type="dxa"/>
              <w:left w:w="100" w:type="dxa"/>
              <w:bottom w:w="90" w:type="dxa"/>
              <w:right w:w="100" w:type="dxa"/>
            </w:tcMar>
          </w:tcPr>
          <w:p>
            <w:pPr>
              <w:spacing w:line="276" w:lineRule="exact" w:after="0"/>
            </w:pPr>
            <w:r>
              <w:rPr>
                <w:sz w:val="19"/>
              </w:rPr>
              <w:t>课题能力；提供实质新机制时再纳入论文主实验。</w:t>
            </w:r>
          </w:p>
        </w:tc>
      </w:tr>
    </w:tbl>
    <w:p>
      <w:pPr>
        <w:spacing w:after="0" w:before="0" w:line="240" w:lineRule="auto"/>
      </w:pPr>
      <w:r>
        <w:rPr>
          <w:sz w:val="6"/>
        </w:rPr>
      </w:r>
    </w:p>
    <w:p>
      <w:r>
        <w:t>真实田块边界不自动带来真实行宽、需求、载荷、地头或障碍。逐字段标为实测、原件重建、文献设定、合成或未知。真实来源几何上的合成作业应称半合成，不借其他论文的田间验证为本项目背书。</w:t>
      </w:r>
    </w:p>
    <w:p>
      <w:r>
        <w:t>点服务、行服务与面积覆盖可以共享任务身份、注册、运行和证据格式，但不能无损压成同一个标量距离矩阵。转弯模式、入出姿态、时间或资源可能改变后续可行性，必须由模式状态或整条路线评估器保留。</w:t>
      </w:r>
    </w:p>
    <w:p>
      <w:pPr>
        <w:spacing w:before="100" w:after="0" w:line="240" w:lineRule="exact"/>
      </w:pPr>
      <w:r>
        <w:rPr>
          <w:color w:val="444444"/>
          <w:sz w:val="18"/>
        </w:rPr>
        <w:t>不强制四类案例共用无损距离矩阵，也不把四类分数直接平均成“农业能力总分”。</w:t>
      </w:r>
    </w:p>
    <w:p>
      <w:pPr>
        <w:pStyle w:val="Heading2"/>
      </w:pPr>
      <w:r>
        <w:t>5  服务与运动语义的资格实验</w:t>
      </w:r>
    </w:p>
    <w:p>
      <w:r>
        <w:t>农业增量首先来自正确的作业语义。已有Fields2Cover、HGS-CARP/NEARP、PyVRP reload与turn_modes提供可用底座，尚缺本项目完整行作业、补给和扫掠联合验收。下列反例先用小规模精确或穷举参照通过，再生成训练标签与论文结果。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032"/>
        <w:gridCol w:w="4090"/>
      </w:tblGrid>
      <w:tr>
        <w:trPr>
          <w:cantSplit/>
          <w:tblHeader/>
        </w:trPr>
        <w:tc>
          <w:tcPr>
            <w:tcW w:type="dxa" w:w="1872"/>
            <w:vAlign w:val="center"/>
            <w:tcMar>
              <w:top w:w="90" w:type="dxa"/>
              <w:left w:w="100" w:type="dxa"/>
              <w:bottom w:w="90" w:type="dxa"/>
              <w:right w:w="100" w:type="dxa"/>
            </w:tcMar>
            <w:shd w:fill="E9F0F5"/>
          </w:tcPr>
          <w:p>
            <w:pPr>
              <w:keepNext/>
              <w:spacing w:line="276" w:lineRule="exact" w:after="0"/>
            </w:pPr>
            <w:r>
              <w:rPr>
                <w:b/>
                <w:sz w:val="19"/>
              </w:rPr>
              <w:t>语义区别</w:t>
            </w:r>
          </w:p>
        </w:tc>
        <w:tc>
          <w:tcPr>
            <w:tcW w:type="dxa" w:w="4032"/>
            <w:vAlign w:val="center"/>
            <w:tcMar>
              <w:top w:w="90" w:type="dxa"/>
              <w:left w:w="100" w:type="dxa"/>
              <w:bottom w:w="90" w:type="dxa"/>
              <w:right w:w="100" w:type="dxa"/>
            </w:tcMar>
            <w:shd w:fill="E9F0F5"/>
          </w:tcPr>
          <w:p>
            <w:pPr>
              <w:keepNext/>
              <w:spacing w:line="276" w:lineRule="exact" w:after="0"/>
            </w:pPr>
            <w:r>
              <w:rPr>
                <w:b/>
                <w:sz w:val="19"/>
              </w:rPr>
              <w:t>最小资格例</w:t>
            </w:r>
          </w:p>
        </w:tc>
        <w:tc>
          <w:tcPr>
            <w:tcW w:type="dxa" w:w="4090"/>
            <w:vAlign w:val="center"/>
            <w:tcMar>
              <w:top w:w="90" w:type="dxa"/>
              <w:left w:w="100" w:type="dxa"/>
              <w:bottom w:w="90" w:type="dxa"/>
              <w:right w:w="100" w:type="dxa"/>
            </w:tcMar>
            <w:shd w:fill="E9F0F5"/>
          </w:tcPr>
          <w:p>
            <w:pPr>
              <w:keepNext/>
              <w:spacing w:line="276" w:lineRule="exact" w:after="0"/>
            </w:pPr>
            <w:r>
              <w:rPr>
                <w:b/>
                <w:sz w:val="19"/>
              </w:rPr>
              <w:t>保存证据</w:t>
            </w:r>
          </w:p>
        </w:tc>
      </w:tr>
      <w:tr>
        <w:trPr>
          <w:cantSplit/>
        </w:trPr>
        <w:tc>
          <w:tcPr>
            <w:tcW w:type="dxa" w:w="1872"/>
            <w:vAlign w:val="center"/>
            <w:tcMar>
              <w:top w:w="90" w:type="dxa"/>
              <w:left w:w="100" w:type="dxa"/>
              <w:bottom w:w="90" w:type="dxa"/>
              <w:right w:w="100" w:type="dxa"/>
            </w:tcMar>
          </w:tcPr>
          <w:p>
            <w:pPr>
              <w:spacing w:line="276" w:lineRule="exact" w:after="0"/>
            </w:pPr>
            <w:r>
              <w:rPr>
                <w:sz w:val="19"/>
              </w:rPr>
              <w:t>至多K与恰K</w:t>
            </w:r>
          </w:p>
        </w:tc>
        <w:tc>
          <w:tcPr>
            <w:tcW w:type="dxa" w:w="4032"/>
            <w:vAlign w:val="center"/>
            <w:tcMar>
              <w:top w:w="90" w:type="dxa"/>
              <w:left w:w="100" w:type="dxa"/>
              <w:bottom w:w="90" w:type="dxa"/>
              <w:right w:w="100" w:type="dxa"/>
            </w:tcMar>
          </w:tcPr>
          <w:p>
            <w:pPr>
              <w:spacing w:line="276" w:lineRule="exact" w:after="0"/>
            </w:pPr>
            <w:r>
              <w:rPr>
                <w:sz w:val="19"/>
              </w:rPr>
              <w:t>2个单位需求、Q=2、K=2；一条路线仅满足至多K，两条单服务路线满足恰K。</w:t>
            </w:r>
          </w:p>
        </w:tc>
        <w:tc>
          <w:tcPr>
            <w:tcW w:type="dxa" w:w="4090"/>
            <w:vAlign w:val="center"/>
            <w:tcMar>
              <w:top w:w="90" w:type="dxa"/>
              <w:left w:w="100" w:type="dxa"/>
              <w:bottom w:w="90" w:type="dxa"/>
              <w:right w:w="100" w:type="dxa"/>
            </w:tcMar>
          </w:tcPr>
          <w:p>
            <w:pPr>
              <w:spacing w:line="276" w:lineRule="exact" w:after="0"/>
            </w:pPr>
            <w:r>
              <w:rPr>
                <w:sz w:val="19"/>
              </w:rPr>
              <w:t>可行域见证与独立车数检查；NL124不能识别此差异。</w:t>
            </w:r>
          </w:p>
        </w:tc>
      </w:tr>
      <w:tr>
        <w:trPr>
          <w:cantSplit/>
        </w:trPr>
        <w:tc>
          <w:tcPr>
            <w:tcW w:type="dxa" w:w="1872"/>
            <w:vAlign w:val="center"/>
            <w:tcMar>
              <w:top w:w="90" w:type="dxa"/>
              <w:left w:w="100" w:type="dxa"/>
              <w:bottom w:w="90" w:type="dxa"/>
              <w:right w:w="100" w:type="dxa"/>
            </w:tcMar>
          </w:tcPr>
          <w:p>
            <w:pPr>
              <w:spacing w:line="276" w:lineRule="exact" w:after="0"/>
            </w:pPr>
            <w:r>
              <w:rPr>
                <w:sz w:val="19"/>
              </w:rPr>
              <w:t>经过与服务</w:t>
            </w:r>
          </w:p>
        </w:tc>
        <w:tc>
          <w:tcPr>
            <w:tcW w:type="dxa" w:w="4032"/>
            <w:vAlign w:val="center"/>
            <w:tcMar>
              <w:top w:w="90" w:type="dxa"/>
              <w:left w:w="100" w:type="dxa"/>
              <w:bottom w:w="90" w:type="dxa"/>
              <w:right w:w="100" w:type="dxa"/>
            </w:tcMar>
          </w:tcPr>
          <w:p>
            <w:pPr>
              <w:spacing w:line="276" w:lineRule="exact" w:after="0"/>
            </w:pPr>
            <w:r>
              <w:rPr>
                <w:sz w:val="19"/>
              </w:rPr>
              <w:t>路径经过客户但无服务动作。</w:t>
            </w:r>
          </w:p>
        </w:tc>
        <w:tc>
          <w:tcPr>
            <w:tcW w:type="dxa" w:w="4090"/>
            <w:vAlign w:val="center"/>
            <w:tcMar>
              <w:top w:w="90" w:type="dxa"/>
              <w:left w:w="100" w:type="dxa"/>
              <w:bottom w:w="90" w:type="dxa"/>
              <w:right w:w="100" w:type="dxa"/>
            </w:tcMar>
          </w:tcPr>
          <w:p>
            <w:pPr>
              <w:spacing w:line="276" w:lineRule="exact" w:after="0"/>
            </w:pPr>
            <w:r>
              <w:rPr>
                <w:sz w:val="19"/>
              </w:rPr>
              <w:t>显式服务账本、每任务一次服务及合法替代。</w:t>
            </w:r>
          </w:p>
        </w:tc>
      </w:tr>
      <w:tr>
        <w:trPr>
          <w:cantSplit/>
        </w:trPr>
        <w:tc>
          <w:tcPr>
            <w:tcW w:type="dxa" w:w="1872"/>
            <w:vAlign w:val="center"/>
            <w:tcMar>
              <w:top w:w="90" w:type="dxa"/>
              <w:left w:w="100" w:type="dxa"/>
              <w:bottom w:w="90" w:type="dxa"/>
              <w:right w:w="100" w:type="dxa"/>
            </w:tcMar>
          </w:tcPr>
          <w:p>
            <w:pPr>
              <w:spacing w:line="276" w:lineRule="exact" w:after="0"/>
            </w:pPr>
            <w:r>
              <w:rPr>
                <w:sz w:val="19"/>
              </w:rPr>
              <w:t>行端与整行</w:t>
            </w:r>
          </w:p>
        </w:tc>
        <w:tc>
          <w:tcPr>
            <w:tcW w:type="dxa" w:w="4032"/>
            <w:vAlign w:val="center"/>
            <w:tcMar>
              <w:top w:w="90" w:type="dxa"/>
              <w:left w:w="100" w:type="dxa"/>
              <w:bottom w:w="90" w:type="dxa"/>
              <w:right w:w="100" w:type="dxa"/>
            </w:tcMar>
          </w:tcPr>
          <w:p>
            <w:pPr>
              <w:spacing w:line="276" w:lineRule="exact" w:after="0"/>
            </w:pPr>
            <w:r>
              <w:rPr>
                <w:sz w:val="19"/>
              </w:rPr>
              <w:t>两端可达，但中段未开机服务。</w:t>
            </w:r>
          </w:p>
        </w:tc>
        <w:tc>
          <w:tcPr>
            <w:tcW w:type="dxa" w:w="4090"/>
            <w:vAlign w:val="center"/>
            <w:tcMar>
              <w:top w:w="90" w:type="dxa"/>
              <w:left w:w="100" w:type="dxa"/>
              <w:bottom w:w="90" w:type="dxa"/>
              <w:right w:w="100" w:type="dxa"/>
            </w:tcMar>
          </w:tcPr>
          <w:p>
            <w:pPr>
              <w:spacing w:line="276" w:lineRule="exact" w:after="0"/>
            </w:pPr>
            <w:r>
              <w:rPr>
                <w:sz w:val="19"/>
              </w:rPr>
              <w:t>行区间、方向、作业开关和整行见证。</w:t>
            </w:r>
          </w:p>
        </w:tc>
      </w:tr>
      <w:tr>
        <w:trPr>
          <w:cantSplit/>
        </w:trPr>
        <w:tc>
          <w:tcPr>
            <w:tcW w:type="dxa" w:w="1872"/>
            <w:vAlign w:val="center"/>
            <w:tcMar>
              <w:top w:w="90" w:type="dxa"/>
              <w:left w:w="100" w:type="dxa"/>
              <w:bottom w:w="90" w:type="dxa"/>
              <w:right w:w="100" w:type="dxa"/>
            </w:tcMar>
          </w:tcPr>
          <w:p>
            <w:pPr>
              <w:spacing w:line="276" w:lineRule="exact" w:after="0"/>
            </w:pPr>
            <w:r>
              <w:rPr>
                <w:sz w:val="19"/>
              </w:rPr>
              <w:t>中心线与整机</w:t>
            </w:r>
          </w:p>
        </w:tc>
        <w:tc>
          <w:tcPr>
            <w:tcW w:type="dxa" w:w="4032"/>
            <w:vAlign w:val="center"/>
            <w:tcMar>
              <w:top w:w="90" w:type="dxa"/>
              <w:left w:w="100" w:type="dxa"/>
              <w:bottom w:w="90" w:type="dxa"/>
              <w:right w:w="100" w:type="dxa"/>
            </w:tcMar>
          </w:tcPr>
          <w:p>
            <w:pPr>
              <w:spacing w:line="276" w:lineRule="exact" w:after="0"/>
            </w:pPr>
            <w:r>
              <w:rPr>
                <w:sz w:val="19"/>
              </w:rPr>
              <w:t>中心线合法，但车体或偏置农具越界。</w:t>
            </w:r>
          </w:p>
        </w:tc>
        <w:tc>
          <w:tcPr>
            <w:tcW w:type="dxa" w:w="4090"/>
            <w:vAlign w:val="center"/>
            <w:tcMar>
              <w:top w:w="90" w:type="dxa"/>
              <w:left w:w="100" w:type="dxa"/>
              <w:bottom w:w="90" w:type="dxa"/>
              <w:right w:w="100" w:type="dxa"/>
            </w:tcMar>
          </w:tcPr>
          <w:p>
            <w:pPr>
              <w:spacing w:line="276" w:lineRule="exact" w:after="0"/>
            </w:pPr>
            <w:r>
              <w:rPr>
                <w:sz w:val="19"/>
              </w:rPr>
              <w:t>车体占用、农具包络和作业扫掠分别检查。</w:t>
            </w:r>
          </w:p>
        </w:tc>
      </w:tr>
      <w:tr>
        <w:trPr>
          <w:cantSplit/>
        </w:trPr>
        <w:tc>
          <w:tcPr>
            <w:tcW w:type="dxa" w:w="1872"/>
            <w:vAlign w:val="center"/>
            <w:tcMar>
              <w:top w:w="90" w:type="dxa"/>
              <w:left w:w="100" w:type="dxa"/>
              <w:bottom w:w="90" w:type="dxa"/>
              <w:right w:w="100" w:type="dxa"/>
            </w:tcMar>
          </w:tcPr>
          <w:p>
            <w:pPr>
              <w:spacing w:line="276" w:lineRule="exact" w:after="0"/>
            </w:pPr>
            <w:r>
              <w:rPr>
                <w:sz w:val="19"/>
              </w:rPr>
              <w:t>补给与时间</w:t>
            </w:r>
          </w:p>
        </w:tc>
        <w:tc>
          <w:tcPr>
            <w:tcW w:type="dxa" w:w="4032"/>
            <w:vAlign w:val="center"/>
            <w:tcMar>
              <w:top w:w="90" w:type="dxa"/>
              <w:left w:w="100" w:type="dxa"/>
              <w:bottom w:w="90" w:type="dxa"/>
              <w:right w:w="100" w:type="dxa"/>
            </w:tcMar>
          </w:tcPr>
          <w:p>
            <w:pPr>
              <w:spacing w:line="276" w:lineRule="exact" w:after="0"/>
            </w:pPr>
            <w:r>
              <w:rPr>
                <w:sz w:val="19"/>
              </w:rPr>
              <w:t>回站补满，但总时间不得清零；单行耗料超过容量。</w:t>
            </w:r>
          </w:p>
        </w:tc>
        <w:tc>
          <w:tcPr>
            <w:tcW w:type="dxa" w:w="4090"/>
            <w:vAlign w:val="center"/>
            <w:tcMar>
              <w:top w:w="90" w:type="dxa"/>
              <w:left w:w="100" w:type="dxa"/>
              <w:bottom w:w="90" w:type="dxa"/>
              <w:right w:w="100" w:type="dxa"/>
            </w:tcMar>
          </w:tcPr>
          <w:p>
            <w:pPr>
              <w:spacing w:line="276" w:lineRule="exact" w:after="0"/>
            </w:pPr>
            <w:r>
              <w:rPr>
                <w:sz w:val="19"/>
              </w:rPr>
              <w:t>资源和事件时间账，超容量明确拒绝或判不可行。</w:t>
            </w:r>
          </w:p>
        </w:tc>
      </w:tr>
      <w:tr>
        <w:trPr>
          <w:cantSplit/>
        </w:trPr>
        <w:tc>
          <w:tcPr>
            <w:tcW w:type="dxa" w:w="1872"/>
            <w:vAlign w:val="center"/>
            <w:tcMar>
              <w:top w:w="90" w:type="dxa"/>
              <w:left w:w="100" w:type="dxa"/>
              <w:bottom w:w="90" w:type="dxa"/>
              <w:right w:w="100" w:type="dxa"/>
            </w:tcMar>
          </w:tcPr>
          <w:p>
            <w:pPr>
              <w:spacing w:line="276" w:lineRule="exact" w:after="0"/>
            </w:pPr>
            <w:r>
              <w:rPr>
                <w:sz w:val="19"/>
              </w:rPr>
              <w:t>单位与任务变化</w:t>
            </w:r>
          </w:p>
        </w:tc>
        <w:tc>
          <w:tcPr>
            <w:tcW w:type="dxa" w:w="4032"/>
            <w:vAlign w:val="center"/>
            <w:tcMar>
              <w:top w:w="90" w:type="dxa"/>
              <w:left w:w="100" w:type="dxa"/>
              <w:bottom w:w="90" w:type="dxa"/>
              <w:right w:w="100" w:type="dxa"/>
            </w:tcMar>
          </w:tcPr>
          <w:p>
            <w:pPr>
              <w:spacing w:line="276" w:lineRule="exact" w:after="0"/>
            </w:pPr>
            <w:r>
              <w:rPr>
                <w:sz w:val="19"/>
              </w:rPr>
              <w:t>ft转m保持物理任务；改变幅宽可改变可行域。</w:t>
            </w:r>
          </w:p>
        </w:tc>
        <w:tc>
          <w:tcPr>
            <w:tcW w:type="dxa" w:w="4090"/>
            <w:vAlign w:val="center"/>
            <w:tcMar>
              <w:top w:w="90" w:type="dxa"/>
              <w:left w:w="100" w:type="dxa"/>
              <w:bottom w:w="90" w:type="dxa"/>
              <w:right w:w="100" w:type="dxa"/>
            </w:tcMar>
          </w:tcPr>
          <w:p>
            <w:pPr>
              <w:spacing w:line="276" w:lineRule="exact" w:after="0"/>
            </w:pPr>
            <w:r>
              <w:rPr>
                <w:sz w:val="19"/>
              </w:rPr>
              <w:t>原单位、换算来源与用户确认，不混作同一种迁移。</w:t>
            </w:r>
          </w:p>
        </w:tc>
      </w:tr>
    </w:tbl>
    <w:p>
      <w:pPr>
        <w:spacing w:after="0" w:before="0" w:line="240" w:lineRule="auto"/>
      </w:pPr>
      <w:r>
        <w:rPr>
          <w:sz w:val="6"/>
        </w:rPr>
      </w:r>
    </w:p>
    <w:p>
      <w:pPr>
        <w:pStyle w:val="Heading3"/>
      </w:pPr>
      <w:r>
        <w:t>固定行的首个最小实验</w:t>
      </w:r>
    </w:p>
    <w:p>
      <w:r>
        <w:t>先固定一车一趟、刚性机具、给定作业行和已验连接目录；地头只供关闭机具后的连接。候选仅提议翻向、搬移、交换或有界重排，底层连接与checker固定。对照Fields2Cover端到端方案、共用真实连接成本的强传统序列搜索、自动配置与多启动；分别报空驶/转弯和包含固定行作业的总成本。</w:t>
      </w:r>
    </w:p>
    <w:p>
      <w:r>
        <w:t>已有JPDS-NN研究作业行与入口联合学习，连续曲率地头研究也已处理整机与机具几何。行序学习与转弯连接均有直接近邻；本项目应比较真实连接和资源合同下的增量，而不把这些模块本身视为空白。</w:t>
      </w:r>
      <w:hyperlink r:id="rId9">
        <w:r>
          <w:rPr>
            <w:color w:val="204B70"/>
            <w:sz w:val="18"/>
          </w:rPr>
          <w:t>JPDS-NN</w:t>
        </w:r>
      </w:hyperlink>
      <w:r>
        <w:t>；</w:t>
      </w:r>
      <w:hyperlink r:id="rId10">
        <w:r>
          <w:rPr>
            <w:color w:val="204B70"/>
            <w:sz w:val="18"/>
          </w:rPr>
          <w:t>连续曲率地头覆盖</w:t>
        </w:r>
      </w:hyperlink>
      <w:r>
        <w:t>。</w:t>
      </w:r>
    </w:p>
    <w:p>
      <w:r>
        <w:t>模型逐步增加单站补给后，保存服务、行驶、转弯、回仓、补给的事件级账。PyVRP源码已有reload_depots和max_reloads，现URP适配器设置为0，需显式启用与适配；P102历史工具单次使用、回仓换具不等于补货重用或含服务时间的补给闭环。</w:t>
      </w:r>
    </w:p>
    <w:p>
      <w:pPr>
        <w:spacing w:before="100" w:after="0" w:line="240" w:lineRule="exact"/>
      </w:pPr>
      <w:r>
        <w:rPr>
          <w:color w:val="444444"/>
          <w:sz w:val="18"/>
        </w:rPr>
        <w:t>农业合同与覆盖来源：依据：</w:t>
      </w:r>
      <w:hyperlink r:id="rId11">
        <w:r>
          <w:rPr>
            <w:color w:val="204B70"/>
            <w:sz w:val="18"/>
          </w:rPr>
          <w:t>Fields2Cover路线入口</w:t>
        </w:r>
      </w:hyperlink>
      <w:r>
        <w:rPr>
          <w:color w:val="444444"/>
          <w:sz w:val="18"/>
        </w:rPr>
        <w:t>；</w:t>
      </w:r>
      <w:hyperlink r:id="rId12">
        <w:r>
          <w:rPr>
            <w:color w:val="204B70"/>
            <w:sz w:val="18"/>
          </w:rPr>
          <w:t>v3机具</w:t>
        </w:r>
      </w:hyperlink>
      <w:r>
        <w:rPr>
          <w:color w:val="444444"/>
          <w:sz w:val="18"/>
        </w:rPr>
        <w:t>；</w:t>
      </w:r>
      <w:hyperlink r:id="rId13">
        <w:r>
          <w:rPr>
            <w:color w:val="204B70"/>
            <w:sz w:val="18"/>
          </w:rPr>
          <w:t>Python检查</w:t>
        </w:r>
      </w:hyperlink>
      <w:r>
        <w:rPr>
          <w:color w:val="444444"/>
          <w:sz w:val="18"/>
        </w:rPr>
        <w:t>与</w:t>
      </w:r>
      <w:hyperlink r:id="rId14">
        <w:r>
          <w:rPr>
            <w:color w:val="204B70"/>
            <w:sz w:val="18"/>
          </w:rPr>
          <w:t>C++检查</w:t>
        </w:r>
      </w:hyperlink>
      <w:r>
        <w:rPr>
          <w:color w:val="444444"/>
          <w:sz w:val="18"/>
        </w:rPr>
        <w:t>；</w:t>
      </w:r>
      <w:hyperlink r:id="rId15">
        <w:r>
          <w:rPr>
            <w:color w:val="204B70"/>
            <w:sz w:val="18"/>
          </w:rPr>
          <w:t>田界数据</w:t>
        </w:r>
      </w:hyperlink>
      <w:r>
        <w:rPr>
          <w:color w:val="444444"/>
          <w:sz w:val="18"/>
        </w:rPr>
        <w:t>。小例为本项目合同推导，未运行实验。</w:t>
      </w:r>
    </w:p>
    <w:p>
      <w:pPr>
        <w:pStyle w:val="Heading2"/>
      </w:pPr>
      <w:r>
        <w:t>6  转向与跨合同适应的可执行入口</w:t>
      </w:r>
    </w:p>
    <w:p>
      <w:r>
        <w:t>turn_modes已有入弧状态最短路、start/end/conn预处理、fixed_sequence模式优化和evaluate(instance,candidate)入口。36例来自12根图×3规则，与精确oracle一致；丢方向对照32例错误。它精确求解的是给定服务顺序的模式与路径，不是整体任务分配和顺序最优；已有services事件仍是节点服务。</w:t>
      </w:r>
    </w:p>
    <w:p>
      <w:r>
        <w:t>现入口每条路线出发无前序入弧，回仓后结束，不计末入弧与下一次出发的闭合转向；depot_reset未成为可切换且强制校验的通用合同。subset_dp没有车辆数维度，exact-K、行服务与覆盖不能由NL124或字段名称自动继承。HGS-CARP已有首末服务模式的子序列成本结构，复用它是经典建模，不当作新方法。</w:t>
      </w:r>
    </w:p>
    <w:p>
      <w:pPr>
        <w:pStyle w:val="Heading3"/>
      </w:pPr>
      <w:r>
        <w:t>最小实验与强对照</w:t>
      </w:r>
    </w:p>
    <w:p>
      <w:r>
        <w:t>合同适配实验固定正确模式解释器，仅开放一个车数、depot语义或成本接口，比较手写适配、冻结检索、标量反馈与结构化反例。目标是合同通过、旧能力回归与修复总成本。</w:t>
      </w:r>
    </w:p>
    <w:p>
      <w:r>
        <w:t>启发式迁移实验保持任务服务与车队/depot语义，改变有作业依据的转弯成本或禁转；固定DP和邻域，仅开放优先级时属于搜索控制。强对照是完全不改代码、直接调用新evaluate的通用mode-aware搜索，另比目标从零、冻结检索、一次手工适配与同空间自动配置。</w:t>
      </w:r>
    </w:p>
    <w:p>
      <w:pPr>
        <w:pStyle w:val="Heading3"/>
      </w:pPr>
      <w:r>
        <w:t>数据条件和去留</w:t>
      </w:r>
    </w:p>
    <w:p>
      <w:r>
        <w:t>同根图换规则用于隔离受控变化，未见根图与机具参数组合用于外推；12个现有根图仅作开发和资格。半径、地头宽度与工具参数应来自真实作业设定。若只换正确cost就完成适配，或强通用搜索已等效，保留工程收益并收缩知识迁移主张；总成本改善且未见任务合法质量维持时，再扩大合同与规模。</w:t>
      </w:r>
    </w:p>
    <w:p>
      <w:pPr>
        <w:spacing w:before="100" w:after="0" w:line="240" w:lineRule="exact"/>
      </w:pPr>
      <w:r>
        <w:rPr>
          <w:color w:val="444444"/>
          <w:sz w:val="18"/>
        </w:rPr>
        <w:t>转向实现依据：本地：urp_research/turn_modes/solver.py:13、evaluate_candidate.py:10；HGS-CARP/Program/SeqData.h:58、Individu.cpp:320。公开对照：</w:t>
      </w:r>
      <w:hyperlink r:id="rId16">
        <w:r>
          <w:rPr>
            <w:color w:val="204B70"/>
            <w:sz w:val="18"/>
          </w:rPr>
          <w:t>HGS成本与turn</w:t>
        </w:r>
      </w:hyperlink>
      <w:r>
        <w:rPr>
          <w:color w:val="444444"/>
          <w:sz w:val="18"/>
        </w:rPr>
        <w:t>；</w:t>
      </w:r>
      <w:hyperlink r:id="rId17">
        <w:r>
          <w:rPr>
            <w:color w:val="204B70"/>
            <w:sz w:val="18"/>
          </w:rPr>
          <w:t>子序列mode表</w:t>
        </w:r>
      </w:hyperlink>
      <w:r>
        <w:rPr>
          <w:color w:val="444444"/>
          <w:sz w:val="18"/>
        </w:rPr>
        <w:t>。</w:t>
      </w:r>
    </w:p>
    <w:p>
      <w:bookmarkStart w:id="4000" w:name="part_3"/>
      <w:pPr>
        <w:pStyle w:val="Heading1"/>
      </w:pPr>
      <w:r>
        <w:t>三 地图 系统与执行实施</w:t>
      </w:r>
      <w:bookmarkEnd w:id="4000"/>
    </w:p>
    <w:p>
      <w:pPr>
        <w:pStyle w:val="Heading2"/>
      </w:pPr>
      <w:r>
        <w:t>1  技术路线与现有工程接入</w:t>
      </w:r>
    </w:p>
    <w:p>
      <w:r>
        <w:t>实施路线采用 OpenLayers 的稳定二维地图编辑、pyproj 与 Shapely 的后端坐标和几何层，保留 React/Vite 与 SQLite。地图、研究 CLI、算法适配器和独立校验器共享任务合同与版本身份；先接通可编辑输入、真实执行、独立重算和证据回放，再按实测需求扩展覆盖、影像和三维。以下接口与验收均为拟定实施要求。</w:t>
      </w:r>
    </w:p>
    <w:p>
      <w:pPr>
        <w:pStyle w:val="Heading3"/>
      </w:pPr>
      <w:r>
        <w:t>先复用已有资产</w:t>
      </w:r>
    </w:p>
    <w:p>
      <w:r>
        <w:t>截至技术方案所载的 2026年10月11日只读核查，当前 React 仍读取静态 JSON，HTTP 后端声明 executes_experiments=false；数据库有 5 个实验 ID、28 个 artifact，接口以导入、查询和回放为主。CVRP 核心与独立 checker 已迁入，但尚未接入当前界面；未找到统一派发、取消与恢复接口。此状态不否定独立研究实验已经执行，也不代表保存结果已在本轮重跑。</w:t>
      </w:r>
    </w:p>
    <w:p>
      <w:r>
        <w:t>存档 planner.html 和 planner.js 已有点地图编辑、坐标与需求增删、浏览器基线计算、导入导出和文件桥接。迁移应保留可用操作、样例与回归测试，再接入当前 React 状态管理。独立 CLI、持久槽位和个别实验恢复驱动一并复用；存档原型、当前应用、可运行环境和保存证据分别验收。</w:t>
      </w:r>
    </w:p>
    <w:p>
      <w:pPr>
        <w:pStyle w:val="Heading3"/>
      </w:pPr>
      <w:r>
        <w:t>模块责任</w:t>
      </w:r>
    </w:p>
    <w:p>
      <w:pPr>
        <w:spacing w:after="100"/>
        <w:ind w:left="144" w:hanging="144"/>
      </w:pPr>
      <w:r>
        <w:t>• React 管理表单、面板和应用状态；OpenLayers 实例由独立适配层管理。临时编辑对象与已提交 SceneSpec 分离，使用稳定对象 ID 和明确提交事务，避免渲染重建地图或可变几何改写冻结输入。</w:t>
      </w:r>
    </w:p>
    <w:p>
      <w:pPr>
        <w:spacing w:after="100"/>
        <w:ind w:left="144" w:hanging="144"/>
      </w:pPr>
      <w:r>
        <w:t>• 后端完成坐标、拓扑、业务校验及场景编译；编译输出图、矩阵、服务模式或覆盖实例，并声明精确等价、限制或近似。规划器负责寻找方案，独立 checker 重算约束与成本。</w:t>
      </w:r>
    </w:p>
    <w:p>
      <w:pPr>
        <w:spacing w:after="100"/>
        <w:ind w:left="144" w:hanging="144"/>
      </w:pPr>
      <w:r>
        <w:t>• runner 使用受监管子进程调用已有 CLI 或适配器，控制预算、取消和输出。首版单机单 worker，保留现有导入、查询和回放接口；不能只把 executes_experiments 改为 true。</w:t>
      </w:r>
    </w:p>
    <w:p>
      <w:r>
        <w:t>实施前先恢复一个可重复运行的 CLI 最小案例，核对解释器、Python 和原生 GIS/规划依赖、数据路径、SQLite 实际链接版本及发行版安全补丁。历史结果可读取与今天的运行链可用，是两项验收。</w:t>
      </w:r>
    </w:p>
    <w:p>
      <w:pPr>
        <w:spacing w:before="100" w:after="0" w:line="240" w:lineRule="exact"/>
      </w:pPr>
      <w:r>
        <w:rPr>
          <w:color w:val="444444"/>
          <w:sz w:val="18"/>
        </w:rPr>
        <w:t>工程来源 T14、T16、T19、T21、T28，见技术来源附录。</w:t>
      </w:r>
    </w:p>
    <w:p>
      <w:pPr>
        <w:pStyle w:val="Heading2"/>
      </w:pPr>
      <w:r>
        <w:t>2  地图引擎选型与替代条件</w:t>
      </w:r>
    </w:p>
    <w:p>
      <w:r>
        <w:t>主工作台选用 OpenLayers：现成 Draw、Modify、Snap 适合真实地理底图、米制局部平面和几何编辑。工具栏、撤销和业务校验仍由应用实现；首版核心编辑避开实验性 WebGL API。地图引擎只负责显示与交互，不自动提供容量、禁转、作业宽度或碰撞约束。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234"/>
      </w:tblGrid>
      <w:tr>
        <w:trPr>
          <w:cantSplit/>
          <w:tblHeader/>
        </w:trPr>
        <w:tc>
          <w:tcPr>
            <w:tcW w:type="dxa" w:w="1872"/>
            <w:vAlign w:val="center"/>
            <w:tcMar>
              <w:top w:w="90" w:type="dxa"/>
              <w:left w:w="100" w:type="dxa"/>
              <w:bottom w:w="90" w:type="dxa"/>
              <w:right w:w="100" w:type="dxa"/>
            </w:tcMar>
            <w:shd w:fill="E9F0F5"/>
          </w:tcPr>
          <w:p>
            <w:pPr>
              <w:keepNext/>
              <w:spacing w:line="276" w:lineRule="exact" w:after="0"/>
            </w:pPr>
            <w:r>
              <w:rPr>
                <w:b/>
                <w:sz w:val="19"/>
              </w:rPr>
              <w:t>方案</w:t>
            </w:r>
          </w:p>
        </w:tc>
        <w:tc>
          <w:tcPr>
            <w:tcW w:type="dxa" w:w="3888"/>
            <w:vAlign w:val="center"/>
            <w:tcMar>
              <w:top w:w="90" w:type="dxa"/>
              <w:left w:w="100" w:type="dxa"/>
              <w:bottom w:w="90" w:type="dxa"/>
              <w:right w:w="100" w:type="dxa"/>
            </w:tcMar>
            <w:shd w:fill="E9F0F5"/>
          </w:tcPr>
          <w:p>
            <w:pPr>
              <w:keepNext/>
              <w:spacing w:line="276" w:lineRule="exact" w:after="0"/>
            </w:pPr>
            <w:r>
              <w:rPr>
                <w:b/>
                <w:sz w:val="19"/>
              </w:rPr>
              <w:t>适用条件</w:t>
            </w:r>
          </w:p>
        </w:tc>
        <w:tc>
          <w:tcPr>
            <w:tcW w:type="dxa" w:w="4234"/>
            <w:vAlign w:val="center"/>
            <w:tcMar>
              <w:top w:w="90" w:type="dxa"/>
              <w:left w:w="100" w:type="dxa"/>
              <w:bottom w:w="90" w:type="dxa"/>
              <w:right w:w="100" w:type="dxa"/>
            </w:tcMar>
            <w:shd w:fill="E9F0F5"/>
          </w:tcPr>
          <w:p>
            <w:pPr>
              <w:keepNext/>
              <w:spacing w:line="276" w:lineRule="exact" w:after="0"/>
            </w:pPr>
            <w:r>
              <w:rPr>
                <w:b/>
                <w:sz w:val="19"/>
              </w:rPr>
              <w:t>本项目取舍</w:t>
            </w:r>
          </w:p>
        </w:tc>
      </w:tr>
      <w:tr>
        <w:trPr>
          <w:cantSplit/>
        </w:trPr>
        <w:tc>
          <w:tcPr>
            <w:tcW w:type="dxa" w:w="1872"/>
            <w:vAlign w:val="center"/>
            <w:tcMar>
              <w:top w:w="90" w:type="dxa"/>
              <w:left w:w="100" w:type="dxa"/>
              <w:bottom w:w="90" w:type="dxa"/>
              <w:right w:w="100" w:type="dxa"/>
            </w:tcMar>
          </w:tcPr>
          <w:p>
            <w:pPr>
              <w:spacing w:line="276" w:lineRule="exact" w:after="0"/>
            </w:pPr>
            <w:r>
              <w:rPr>
                <w:sz w:val="19"/>
              </w:rPr>
              <w:t>OpenLayers</w:t>
            </w:r>
          </w:p>
        </w:tc>
        <w:tc>
          <w:tcPr>
            <w:tcW w:type="dxa" w:w="3888"/>
            <w:vAlign w:val="center"/>
            <w:tcMar>
              <w:top w:w="90" w:type="dxa"/>
              <w:left w:w="100" w:type="dxa"/>
              <w:bottom w:w="90" w:type="dxa"/>
              <w:right w:w="100" w:type="dxa"/>
            </w:tcMar>
          </w:tcPr>
          <w:p>
            <w:pPr>
              <w:spacing w:line="276" w:lineRule="exact" w:after="0"/>
            </w:pPr>
            <w:r>
              <w:rPr>
                <w:sz w:val="19"/>
              </w:rPr>
              <w:t>真实底图、专业投影、局部 XY 和栅格需要统一。</w:t>
            </w:r>
          </w:p>
        </w:tc>
        <w:tc>
          <w:tcPr>
            <w:tcW w:type="dxa" w:w="4234"/>
            <w:vAlign w:val="center"/>
            <w:tcMar>
              <w:top w:w="90" w:type="dxa"/>
              <w:left w:w="100" w:type="dxa"/>
              <w:bottom w:w="90" w:type="dxa"/>
              <w:right w:w="100" w:type="dxa"/>
            </w:tcMar>
          </w:tcPr>
          <w:p>
            <w:pPr>
              <w:spacing w:line="276" w:lineRule="exact" w:after="0"/>
            </w:pPr>
            <w:r>
              <w:rPr>
                <w:sz w:val="19"/>
              </w:rPr>
              <w:t>首选稳定二维编辑；锁版本后做触控、撤销和实例销毁重建测试。</w:t>
            </w:r>
          </w:p>
        </w:tc>
      </w:tr>
      <w:tr>
        <w:trPr>
          <w:cantSplit/>
        </w:trPr>
        <w:tc>
          <w:tcPr>
            <w:tcW w:type="dxa" w:w="1872"/>
            <w:vAlign w:val="center"/>
            <w:tcMar>
              <w:top w:w="90" w:type="dxa"/>
              <w:left w:w="100" w:type="dxa"/>
              <w:bottom w:w="90" w:type="dxa"/>
              <w:right w:w="100" w:type="dxa"/>
            </w:tcMar>
          </w:tcPr>
          <w:p>
            <w:pPr>
              <w:spacing w:line="276" w:lineRule="exact" w:after="0"/>
            </w:pPr>
            <w:r>
              <w:rPr>
                <w:sz w:val="19"/>
              </w:rPr>
              <w:t>MapLibre 加 Terra Draw</w:t>
            </w:r>
          </w:p>
        </w:tc>
        <w:tc>
          <w:tcPr>
            <w:tcW w:type="dxa" w:w="3888"/>
            <w:vAlign w:val="center"/>
            <w:tcMar>
              <w:top w:w="90" w:type="dxa"/>
              <w:left w:w="100" w:type="dxa"/>
              <w:bottom w:w="90" w:type="dxa"/>
              <w:right w:w="100" w:type="dxa"/>
            </w:tcMar>
          </w:tcPr>
          <w:p>
            <w:pPr>
              <w:spacing w:line="276" w:lineRule="exact" w:after="0"/>
            </w:pPr>
            <w:r>
              <w:rPr>
                <w:sz w:val="19"/>
              </w:rPr>
              <w:t>界面主要面向经纬度展示与 WebGL 矢量底图。</w:t>
            </w:r>
          </w:p>
        </w:tc>
        <w:tc>
          <w:tcPr>
            <w:tcW w:type="dxa" w:w="4234"/>
            <w:vAlign w:val="center"/>
            <w:tcMar>
              <w:top w:w="90" w:type="dxa"/>
              <w:left w:w="100" w:type="dxa"/>
              <w:bottom w:w="90" w:type="dxa"/>
              <w:right w:w="100" w:type="dxa"/>
            </w:tcMar>
          </w:tcPr>
          <w:p>
            <w:pPr>
              <w:spacing w:line="276" w:lineRule="exact" w:after="0"/>
            </w:pPr>
            <w:r>
              <w:rPr>
                <w:sz w:val="19"/>
              </w:rPr>
              <w:t>窄原型备选；先验证投影、编辑、触控与资源成本。常用 COG 插件仅支持 EPSG:3857。</w:t>
            </w:r>
          </w:p>
        </w:tc>
      </w:tr>
      <w:tr>
        <w:trPr>
          <w:cantSplit/>
        </w:trPr>
        <w:tc>
          <w:tcPr>
            <w:tcW w:type="dxa" w:w="1872"/>
            <w:vAlign w:val="center"/>
            <w:tcMar>
              <w:top w:w="90" w:type="dxa"/>
              <w:left w:w="100" w:type="dxa"/>
              <w:bottom w:w="90" w:type="dxa"/>
              <w:right w:w="100" w:type="dxa"/>
            </w:tcMar>
          </w:tcPr>
          <w:p>
            <w:pPr>
              <w:spacing w:line="276" w:lineRule="exact" w:after="0"/>
            </w:pPr>
            <w:r>
              <w:rPr>
                <w:sz w:val="19"/>
              </w:rPr>
              <w:t>Geoman 或 Leaflet</w:t>
            </w:r>
          </w:p>
        </w:tc>
        <w:tc>
          <w:tcPr>
            <w:tcW w:type="dxa" w:w="3888"/>
            <w:vAlign w:val="center"/>
            <w:tcMar>
              <w:top w:w="90" w:type="dxa"/>
              <w:left w:w="100" w:type="dxa"/>
              <w:bottom w:w="90" w:type="dxa"/>
              <w:right w:w="100" w:type="dxa"/>
            </w:tcMar>
          </w:tcPr>
          <w:p>
            <w:pPr>
              <w:spacing w:line="276" w:lineRule="exact" w:after="0"/>
            </w:pPr>
            <w:r>
              <w:rPr>
                <w:sz w:val="19"/>
              </w:rPr>
              <w:t>简单采集页，或所需编辑操作能由现成插件覆盖。</w:t>
            </w:r>
          </w:p>
        </w:tc>
        <w:tc>
          <w:tcPr>
            <w:tcW w:type="dxa" w:w="4234"/>
            <w:vAlign w:val="center"/>
            <w:tcMar>
              <w:top w:w="90" w:type="dxa"/>
              <w:left w:w="100" w:type="dxa"/>
              <w:bottom w:w="90" w:type="dxa"/>
              <w:right w:w="100" w:type="dxa"/>
            </w:tcMar>
          </w:tcPr>
          <w:p>
            <w:pPr>
              <w:spacing w:line="276" w:lineRule="exact" w:after="0"/>
            </w:pPr>
            <w:r>
              <w:rPr>
                <w:sz w:val="19"/>
              </w:rPr>
              <w:t>Geoman 按选定引擎核对 Free/Pro 功能及许可；Leaflet 不作为复杂主工作台首选。</w:t>
            </w:r>
          </w:p>
        </w:tc>
      </w:tr>
      <w:tr>
        <w:trPr>
          <w:cantSplit/>
        </w:trPr>
        <w:tc>
          <w:tcPr>
            <w:tcW w:type="dxa" w:w="1872"/>
            <w:vAlign w:val="center"/>
            <w:tcMar>
              <w:top w:w="90" w:type="dxa"/>
              <w:left w:w="100" w:type="dxa"/>
              <w:bottom w:w="90" w:type="dxa"/>
              <w:right w:w="100" w:type="dxa"/>
            </w:tcMar>
          </w:tcPr>
          <w:p>
            <w:pPr>
              <w:spacing w:line="276" w:lineRule="exact" w:after="0"/>
            </w:pPr>
            <w:r>
              <w:rPr>
                <w:sz w:val="19"/>
              </w:rPr>
              <w:t>deck.gl</w:t>
            </w:r>
          </w:p>
        </w:tc>
        <w:tc>
          <w:tcPr>
            <w:tcW w:type="dxa" w:w="3888"/>
            <w:vAlign w:val="center"/>
            <w:tcMar>
              <w:top w:w="90" w:type="dxa"/>
              <w:left w:w="100" w:type="dxa"/>
              <w:bottom w:w="90" w:type="dxa"/>
              <w:right w:w="100" w:type="dxa"/>
            </w:tcMar>
          </w:tcPr>
          <w:p>
            <w:pPr>
              <w:spacing w:line="276" w:lineRule="exact" w:after="0"/>
            </w:pPr>
            <w:r>
              <w:rPr>
                <w:sz w:val="19"/>
              </w:rPr>
              <w:t>稳定分层、按需加载和工作集限制后，大数据渲染仍不达标。</w:t>
            </w:r>
          </w:p>
        </w:tc>
        <w:tc>
          <w:tcPr>
            <w:tcW w:type="dxa" w:w="4234"/>
            <w:vAlign w:val="center"/>
            <w:tcMar>
              <w:top w:w="90" w:type="dxa"/>
              <w:left w:w="100" w:type="dxa"/>
              <w:bottom w:w="90" w:type="dxa"/>
              <w:right w:w="100" w:type="dxa"/>
            </w:tcMar>
          </w:tcPr>
          <w:p>
            <w:pPr>
              <w:spacing w:line="276" w:lineRule="exact" w:after="0"/>
            </w:pPr>
            <w:r>
              <w:rPr>
                <w:sz w:val="19"/>
              </w:rPr>
              <w:t>增加只读高密度图层；不把社区 editable-layers 当核心编辑依赖。</w:t>
            </w:r>
          </w:p>
        </w:tc>
      </w:tr>
      <w:tr>
        <w:trPr>
          <w:cantSplit/>
        </w:trPr>
        <w:tc>
          <w:tcPr>
            <w:tcW w:type="dxa" w:w="1872"/>
            <w:vAlign w:val="center"/>
            <w:tcMar>
              <w:top w:w="90" w:type="dxa"/>
              <w:left w:w="100" w:type="dxa"/>
              <w:bottom w:w="90" w:type="dxa"/>
              <w:right w:w="100" w:type="dxa"/>
            </w:tcMar>
          </w:tcPr>
          <w:p>
            <w:pPr>
              <w:spacing w:line="276" w:lineRule="exact" w:after="0"/>
            </w:pPr>
            <w:r>
              <w:rPr>
                <w:sz w:val="19"/>
              </w:rPr>
              <w:t>CesiumJS</w:t>
            </w:r>
          </w:p>
        </w:tc>
        <w:tc>
          <w:tcPr>
            <w:tcW w:type="dxa" w:w="3888"/>
            <w:vAlign w:val="center"/>
            <w:tcMar>
              <w:top w:w="90" w:type="dxa"/>
              <w:left w:w="100" w:type="dxa"/>
              <w:bottom w:w="90" w:type="dxa"/>
              <w:right w:w="100" w:type="dxa"/>
            </w:tcMar>
          </w:tcPr>
          <w:p>
            <w:pPr>
              <w:spacing w:line="276" w:lineRule="exact" w:after="0"/>
            </w:pPr>
            <w:r>
              <w:rPr>
                <w:sz w:val="19"/>
              </w:rPr>
              <w:t>真实高程、坡地或三维问题确实影响决策。</w:t>
            </w:r>
          </w:p>
        </w:tc>
        <w:tc>
          <w:tcPr>
            <w:tcW w:type="dxa" w:w="4234"/>
            <w:vAlign w:val="center"/>
            <w:tcMar>
              <w:top w:w="90" w:type="dxa"/>
              <w:left w:w="100" w:type="dxa"/>
              <w:bottom w:w="90" w:type="dxa"/>
              <w:right w:w="100" w:type="dxa"/>
            </w:tcMar>
          </w:tcPr>
          <w:p>
            <w:pPr>
              <w:spacing w:line="276" w:lineRule="exact" w:after="0"/>
            </w:pPr>
            <w:r>
              <w:rPr>
                <w:sz w:val="19"/>
              </w:rPr>
              <w:t>条件性扩展；二维拓扑编辑仍需自建。</w:t>
            </w:r>
          </w:p>
        </w:tc>
      </w:tr>
    </w:tbl>
    <w:p>
      <w:pPr>
        <w:spacing w:after="0" w:before="0" w:line="240" w:lineRule="auto"/>
      </w:pPr>
      <w:r>
        <w:rPr>
          <w:sz w:val="6"/>
        </w:rPr>
      </w:r>
    </w:p>
    <w:p>
      <w:r>
        <w:t>Terra Draw 的 README 兼容表与适配器包依赖范围存在差异，不能仅凭表格断言 MapLibre 6 不支持。锁定地图核心、编辑核心、适配器和工具栏的具体版本，实测绘制、撤销、触控及销毁重建，再决定替代。</w:t>
      </w:r>
    </w:p>
    <w:p>
      <w:r>
        <w:t>MapStore 适合日后的多地图、权限和插件平台，当前引入会扩大重构。QGIS/QField 作为专业配准与离线采集外部工具接文件；Rerun 地图当时只支持点和线、不支持面，Foxglove 自 2024 年停止 Studio 开源版开发，不作为主编辑器。</w:t>
      </w:r>
    </w:p>
    <w:p>
      <w:pPr>
        <w:pStyle w:val="Heading3"/>
      </w:pPr>
      <w:r>
        <w:t>选型试验如何结束</w:t>
      </w:r>
    </w:p>
    <w:p>
      <w:r>
        <w:t>已有资产为存档编辑器及当前 React 页面。最小实验是在同一真实田块与固定 seed 合成集上完成导入、顶点修改、撤销、保存重载和路线回放；强简单基线为 OpenLayers 稳定二维层与数值表单。仅在同一脚本、设备、正确性检查和数据量下，MapLibre 加 Terra Draw 在手机操作、内存或维护成本上出现可重复优势时才替换主选。不能仅用官网演示或不同数据的帧率作决定。</w:t>
      </w:r>
    </w:p>
    <w:p>
      <w:pPr>
        <w:spacing w:before="100" w:after="0" w:line="240" w:lineRule="exact"/>
      </w:pPr>
      <w:r>
        <w:rPr>
          <w:color w:val="444444"/>
          <w:sz w:val="18"/>
        </w:rPr>
        <w:t>工程来源 T1、T2、T3、T4、T5、T6、T7、T15，见技术来源附录。</w:t>
      </w:r>
    </w:p>
    <w:p>
      <w:pPr>
        <w:pStyle w:val="Heading2"/>
      </w:pPr>
      <w:r>
        <w:t>3  坐标精度与安全几何</w:t>
      </w:r>
    </w:p>
    <w:p>
      <w:r>
        <w:t>每个场景必须声明唯一计算 CRS 和单位。真实田块采用适合当地的米制投影或经测量定义的局部坐标；合成场景采用 local_xy 米制坐标。权威计算与持久化保留完整 CRS、原始输入和精度；专业视图可使用工作坐标，把底图重投影显示。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528"/>
        <w:gridCol w:w="4306"/>
      </w:tblGrid>
      <w:tr>
        <w:trPr>
          <w:cantSplit/>
          <w:tblHeader/>
        </w:trPr>
        <w:tc>
          <w:tcPr>
            <w:tcW w:type="dxa" w:w="2160"/>
            <w:vAlign w:val="center"/>
            <w:tcMar>
              <w:top w:w="90" w:type="dxa"/>
              <w:left w:w="100" w:type="dxa"/>
              <w:bottom w:w="90" w:type="dxa"/>
              <w:right w:w="100" w:type="dxa"/>
            </w:tcMar>
            <w:shd w:fill="E9F0F5"/>
          </w:tcPr>
          <w:p>
            <w:pPr>
              <w:keepNext/>
              <w:spacing w:line="276" w:lineRule="exact" w:after="0"/>
            </w:pPr>
            <w:r>
              <w:rPr>
                <w:b/>
                <w:sz w:val="19"/>
              </w:rPr>
              <w:t>表示</w:t>
            </w:r>
          </w:p>
        </w:tc>
        <w:tc>
          <w:tcPr>
            <w:tcW w:type="dxa" w:w="3528"/>
            <w:vAlign w:val="center"/>
            <w:tcMar>
              <w:top w:w="90" w:type="dxa"/>
              <w:left w:w="100" w:type="dxa"/>
              <w:bottom w:w="90" w:type="dxa"/>
              <w:right w:w="100" w:type="dxa"/>
            </w:tcMar>
            <w:shd w:fill="E9F0F5"/>
          </w:tcPr>
          <w:p>
            <w:pPr>
              <w:keepNext/>
              <w:spacing w:line="276" w:lineRule="exact" w:after="0"/>
            </w:pPr>
            <w:r>
              <w:rPr>
                <w:b/>
                <w:sz w:val="19"/>
              </w:rPr>
              <w:t>用途</w:t>
            </w:r>
          </w:p>
        </w:tc>
        <w:tc>
          <w:tcPr>
            <w:tcW w:type="dxa" w:w="4306"/>
            <w:vAlign w:val="center"/>
            <w:tcMar>
              <w:top w:w="90" w:type="dxa"/>
              <w:left w:w="100" w:type="dxa"/>
              <w:bottom w:w="90" w:type="dxa"/>
              <w:right w:w="100" w:type="dxa"/>
            </w:tcMar>
            <w:shd w:fill="E9F0F5"/>
          </w:tcPr>
          <w:p>
            <w:pPr>
              <w:keepNext/>
              <w:spacing w:line="276" w:lineRule="exact" w:after="0"/>
            </w:pPr>
            <w:r>
              <w:rPr>
                <w:b/>
                <w:sz w:val="19"/>
              </w:rPr>
              <w:t>不可混淆的边界</w:t>
            </w:r>
          </w:p>
        </w:tc>
      </w:tr>
      <w:tr>
        <w:trPr>
          <w:cantSplit/>
        </w:trPr>
        <w:tc>
          <w:tcPr>
            <w:tcW w:type="dxa" w:w="2160"/>
            <w:vAlign w:val="center"/>
            <w:tcMar>
              <w:top w:w="90" w:type="dxa"/>
              <w:left w:w="100" w:type="dxa"/>
              <w:bottom w:w="90" w:type="dxa"/>
              <w:right w:w="100" w:type="dxa"/>
            </w:tcMar>
          </w:tcPr>
          <w:p>
            <w:pPr>
              <w:spacing w:line="276" w:lineRule="exact" w:after="0"/>
            </w:pPr>
            <w:r>
              <w:rPr>
                <w:sz w:val="19"/>
              </w:rPr>
              <w:t>米制 XY 与完整 CRS</w:t>
            </w:r>
          </w:p>
        </w:tc>
        <w:tc>
          <w:tcPr>
            <w:tcW w:type="dxa" w:w="3528"/>
            <w:vAlign w:val="center"/>
            <w:tcMar>
              <w:top w:w="90" w:type="dxa"/>
              <w:left w:w="100" w:type="dxa"/>
              <w:bottom w:w="90" w:type="dxa"/>
              <w:right w:w="100" w:type="dxa"/>
            </w:tcMar>
          </w:tcPr>
          <w:p>
            <w:pPr>
              <w:spacing w:line="276" w:lineRule="exact" w:after="0"/>
            </w:pPr>
            <w:r>
              <w:rPr>
                <w:sz w:val="19"/>
              </w:rPr>
              <w:t>距离、缓冲、碰撞、路线成本和安全裕量。</w:t>
            </w:r>
          </w:p>
        </w:tc>
        <w:tc>
          <w:tcPr>
            <w:tcW w:type="dxa" w:w="4306"/>
            <w:vAlign w:val="center"/>
            <w:tcMar>
              <w:top w:w="90" w:type="dxa"/>
              <w:left w:w="100" w:type="dxa"/>
              <w:bottom w:w="90" w:type="dxa"/>
              <w:right w:w="100" w:type="dxa"/>
            </w:tcMar>
          </w:tcPr>
          <w:p>
            <w:pPr>
              <w:spacing w:line="276" w:lineRule="exact" w:after="0"/>
            </w:pPr>
            <w:r>
              <w:rPr>
                <w:sz w:val="19"/>
              </w:rPr>
              <w:t>米制不等于无投影尺度畸变，也不等于影像或定位有厘米精度。</w:t>
            </w:r>
          </w:p>
        </w:tc>
      </w:tr>
      <w:tr>
        <w:trPr>
          <w:cantSplit/>
        </w:trPr>
        <w:tc>
          <w:tcPr>
            <w:tcW w:type="dxa" w:w="2160"/>
            <w:vAlign w:val="center"/>
            <w:tcMar>
              <w:top w:w="90" w:type="dxa"/>
              <w:left w:w="100" w:type="dxa"/>
              <w:bottom w:w="90" w:type="dxa"/>
              <w:right w:w="100" w:type="dxa"/>
            </w:tcMar>
          </w:tcPr>
          <w:p>
            <w:pPr>
              <w:spacing w:line="276" w:lineRule="exact" w:after="0"/>
            </w:pPr>
            <w:r>
              <w:rPr>
                <w:sz w:val="19"/>
              </w:rPr>
              <w:t>RFC 7946 GeoJSON</w:t>
            </w:r>
          </w:p>
        </w:tc>
        <w:tc>
          <w:tcPr>
            <w:tcW w:type="dxa" w:w="3528"/>
            <w:vAlign w:val="center"/>
            <w:tcMar>
              <w:top w:w="90" w:type="dxa"/>
              <w:left w:w="100" w:type="dxa"/>
              <w:bottom w:w="90" w:type="dxa"/>
              <w:right w:w="100" w:type="dxa"/>
            </w:tcMar>
          </w:tcPr>
          <w:p>
            <w:pPr>
              <w:spacing w:line="276" w:lineRule="exact" w:after="0"/>
            </w:pPr>
            <w:r>
              <w:rPr>
                <w:sz w:val="19"/>
              </w:rPr>
              <w:t>WGS84 经度、纬度顺序的交换或地理展示。</w:t>
            </w:r>
          </w:p>
        </w:tc>
        <w:tc>
          <w:tcPr>
            <w:tcW w:type="dxa" w:w="4306"/>
            <w:vAlign w:val="center"/>
            <w:tcMar>
              <w:top w:w="90" w:type="dxa"/>
              <w:left w:w="100" w:type="dxa"/>
              <w:bottom w:w="90" w:type="dxa"/>
              <w:right w:w="100" w:type="dxa"/>
            </w:tcMar>
          </w:tcPr>
          <w:p>
            <w:pPr>
              <w:spacing w:line="276" w:lineRule="exact" w:after="0"/>
            </w:pPr>
            <w:r>
              <w:rPr>
                <w:sz w:val="19"/>
              </w:rPr>
              <w:t>不得将米制 XY 冒充标准 GeoJSON；逐来源核对轴序。</w:t>
            </w:r>
          </w:p>
        </w:tc>
      </w:tr>
      <w:tr>
        <w:trPr>
          <w:cantSplit/>
        </w:trPr>
        <w:tc>
          <w:tcPr>
            <w:tcW w:type="dxa" w:w="2160"/>
            <w:vAlign w:val="center"/>
            <w:tcMar>
              <w:top w:w="90" w:type="dxa"/>
              <w:left w:w="100" w:type="dxa"/>
              <w:bottom w:w="90" w:type="dxa"/>
              <w:right w:w="100" w:type="dxa"/>
            </w:tcMar>
          </w:tcPr>
          <w:p>
            <w:pPr>
              <w:spacing w:line="276" w:lineRule="exact" w:after="0"/>
            </w:pPr>
            <w:r>
              <w:rPr>
                <w:sz w:val="19"/>
              </w:rPr>
              <w:t>视图坐标与像素</w:t>
            </w:r>
          </w:p>
        </w:tc>
        <w:tc>
          <w:tcPr>
            <w:tcW w:type="dxa" w:w="3528"/>
            <w:vAlign w:val="center"/>
            <w:tcMar>
              <w:top w:w="90" w:type="dxa"/>
              <w:left w:w="100" w:type="dxa"/>
              <w:bottom w:w="90" w:type="dxa"/>
              <w:right w:w="100" w:type="dxa"/>
            </w:tcMar>
          </w:tcPr>
          <w:p>
            <w:pPr>
              <w:spacing w:line="276" w:lineRule="exact" w:after="0"/>
            </w:pPr>
            <w:r>
              <w:rPr>
                <w:sz w:val="19"/>
              </w:rPr>
              <w:t>绘制、捕捉与展示简化。</w:t>
            </w:r>
          </w:p>
        </w:tc>
        <w:tc>
          <w:tcPr>
            <w:tcW w:type="dxa" w:w="4306"/>
            <w:vAlign w:val="center"/>
            <w:tcMar>
              <w:top w:w="90" w:type="dxa"/>
              <w:left w:w="100" w:type="dxa"/>
              <w:bottom w:w="90" w:type="dxa"/>
              <w:right w:w="100" w:type="dxa"/>
            </w:tcMar>
          </w:tcPr>
          <w:p>
            <w:pPr>
              <w:spacing w:line="276" w:lineRule="exact" w:after="0"/>
            </w:pPr>
            <w:r>
              <w:rPr>
                <w:sz w:val="19"/>
              </w:rPr>
              <w:t>屏幕捕捉容差不等于物理安全距离；简化副本不写回权威几何。</w:t>
            </w:r>
          </w:p>
        </w:tc>
      </w:tr>
    </w:tbl>
    <w:p>
      <w:pPr>
        <w:spacing w:after="0" w:before="0" w:line="240" w:lineRule="auto"/>
      </w:pPr>
      <w:r>
        <w:rPr>
          <w:sz w:val="6"/>
        </w:rPr>
      </w:r>
    </w:p>
    <w:p>
      <w:r>
        <w:t>源方案所核 OpenLayers v10.11.0 文档提示内建 UTM 转换误差量级约 0.1 米。精确编辑需注册并验证实际采用的 proj4js 转换，用参考控制点与后端 PROJ 对照；往返转换一致并不能证明绝对位置正确。经纬度六位小数也不是 1 厘米：纬度格距约 0.111 米，四舍五入单轴误差可达约 0.056 米，经度误差随纬度变化。</w:t>
      </w:r>
    </w:p>
    <w:p>
      <w:r>
        <w:t>pyproj 应明确轴顺序、变换适用范围与精度状态，离线包携带实际需要的 PROJ 数据和格网。Web Mercator 的显示长度不能直接用于农具宽度或安全距离；Shapely 的 XY 判断不会因附加 Z 自动成为三维碰撞检查。</w:t>
      </w:r>
    </w:p>
    <w:p>
      <w:pPr>
        <w:pStyle w:val="Heading3"/>
      </w:pPr>
      <w:r>
        <w:t>合法性以后端结果为准</w:t>
      </w:r>
    </w:p>
    <w:p>
      <w:r>
        <w:t>输入检查自交、空几何、重复点、洞的位置、最小通道和任务点是否处于可用区域。Shapely make_valid 可能产生多面或几何集合，修复应展示差异并经明确接受，不能静默改变任务边界。拖动时可做快速预览，提交后以后端校验确定能否运行。</w:t>
      </w:r>
    </w:p>
    <w:p>
      <w:r>
        <w:t>安全区域由车体与农具包络、安全裕量及误差预算推导。圆盘可作为首版近似，但带航向的长方形车体、转弯半径、坡度及多车时空碰撞需要各自模型。验收误差阈值由数据精度和安全裕量决定，不凭地图缩放等级或动画观感设定。</w:t>
      </w:r>
    </w:p>
    <w:p>
      <w:r>
        <w:t>坐标资格检查先使用有参考控制点的小区域和固定合成几何，以后端 pyproj/Shapely 与数值输入作为简单基线。只有绝对位置、长度和安全裕量误差均在声明范围内，才开放精细编辑；没有坐标来源或校准证据的数据保留未知状态，不猜 EPSG。</w:t>
      </w:r>
    </w:p>
    <w:p>
      <w:pPr>
        <w:spacing w:before="100" w:after="0" w:line="240" w:lineRule="exact"/>
      </w:pPr>
      <w:r>
        <w:rPr>
          <w:color w:val="444444"/>
          <w:sz w:val="18"/>
        </w:rPr>
        <w:t>工程来源 T2、T3、T8、T9，见技术来源附录。</w:t>
      </w:r>
    </w:p>
    <w:p>
      <w:pPr>
        <w:pStyle w:val="Heading2"/>
      </w:pPr>
      <w:r>
        <w:t>4  真实地图与合成输入</w:t>
      </w:r>
    </w:p>
    <w:p>
      <w:r>
        <w:t>底图是背景，经过确认的工作边界和任务对象才进入规划。Fields2Benchmark 的 350 块田界具有真实来源，但公开说明不足以确认所有 WKT 的统一 CRS 和现场精度，立陶宛来源还限非商业。导入分别记录真实来源、是否配准与精度状态，不把公开边界直接当精确实测作业地图。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536"/>
        <w:gridCol w:w="3370"/>
      </w:tblGrid>
      <w:tr>
        <w:trPr>
          <w:cantSplit/>
          <w:tblHeader/>
        </w:trPr>
        <w:tc>
          <w:tcPr>
            <w:tcW w:type="dxa" w:w="2088"/>
            <w:vAlign w:val="center"/>
            <w:tcMar>
              <w:top w:w="90" w:type="dxa"/>
              <w:left w:w="100" w:type="dxa"/>
              <w:bottom w:w="90" w:type="dxa"/>
              <w:right w:w="100" w:type="dxa"/>
            </w:tcMar>
            <w:shd w:fill="E9F0F5"/>
          </w:tcPr>
          <w:p>
            <w:pPr>
              <w:keepNext/>
              <w:spacing w:line="276" w:lineRule="exact" w:after="0"/>
            </w:pPr>
            <w:r>
              <w:rPr>
                <w:b/>
                <w:sz w:val="19"/>
              </w:rPr>
              <w:t>输入</w:t>
            </w:r>
          </w:p>
        </w:tc>
        <w:tc>
          <w:tcPr>
            <w:tcW w:type="dxa" w:w="4536"/>
            <w:vAlign w:val="center"/>
            <w:tcMar>
              <w:top w:w="90" w:type="dxa"/>
              <w:left w:w="100" w:type="dxa"/>
              <w:bottom w:w="90" w:type="dxa"/>
              <w:right w:w="100" w:type="dxa"/>
            </w:tcMar>
            <w:shd w:fill="E9F0F5"/>
          </w:tcPr>
          <w:p>
            <w:pPr>
              <w:keepNext/>
              <w:spacing w:line="276" w:lineRule="exact" w:after="0"/>
            </w:pPr>
            <w:r>
              <w:rPr>
                <w:b/>
                <w:sz w:val="19"/>
              </w:rPr>
              <w:t>处理要求</w:t>
            </w:r>
          </w:p>
        </w:tc>
        <w:tc>
          <w:tcPr>
            <w:tcW w:type="dxa" w:w="3370"/>
            <w:vAlign w:val="center"/>
            <w:tcMar>
              <w:top w:w="90" w:type="dxa"/>
              <w:left w:w="100" w:type="dxa"/>
              <w:bottom w:w="90" w:type="dxa"/>
              <w:right w:w="100" w:type="dxa"/>
            </w:tcMar>
            <w:shd w:fill="E9F0F5"/>
          </w:tcPr>
          <w:p>
            <w:pPr>
              <w:keepNext/>
              <w:spacing w:line="276" w:lineRule="exact" w:after="0"/>
            </w:pPr>
            <w:r>
              <w:rPr>
                <w:b/>
                <w:sz w:val="19"/>
              </w:rPr>
              <w:t>保留证据</w:t>
            </w:r>
          </w:p>
        </w:tc>
      </w:tr>
      <w:tr>
        <w:trPr>
          <w:cantSplit/>
        </w:trPr>
        <w:tc>
          <w:tcPr>
            <w:tcW w:type="dxa" w:w="2088"/>
            <w:vAlign w:val="center"/>
            <w:tcMar>
              <w:top w:w="90" w:type="dxa"/>
              <w:left w:w="100" w:type="dxa"/>
              <w:bottom w:w="90" w:type="dxa"/>
              <w:right w:w="100" w:type="dxa"/>
            </w:tcMar>
          </w:tcPr>
          <w:p>
            <w:pPr>
              <w:spacing w:line="276" w:lineRule="exact" w:after="0"/>
            </w:pPr>
            <w:r>
              <w:rPr>
                <w:sz w:val="19"/>
              </w:rPr>
              <w:t>GeoJSON 与 GeoPackage</w:t>
            </w:r>
          </w:p>
        </w:tc>
        <w:tc>
          <w:tcPr>
            <w:tcW w:type="dxa" w:w="4536"/>
            <w:vAlign w:val="center"/>
            <w:tcMar>
              <w:top w:w="90" w:type="dxa"/>
              <w:left w:w="100" w:type="dxa"/>
              <w:bottom w:w="90" w:type="dxa"/>
              <w:right w:w="100" w:type="dxa"/>
            </w:tcMar>
          </w:tcPr>
          <w:p>
            <w:pPr>
              <w:spacing w:line="276" w:lineRule="exact" w:after="0"/>
            </w:pPr>
            <w:r>
              <w:rPr>
                <w:sz w:val="19"/>
              </w:rPr>
              <w:t>GeoJSON 按 WGS84 读取；完整有 CRS 的矢量交付优先 GeoPackage。</w:t>
            </w:r>
          </w:p>
        </w:tc>
        <w:tc>
          <w:tcPr>
            <w:tcW w:type="dxa" w:w="3370"/>
            <w:vAlign w:val="center"/>
            <w:tcMar>
              <w:top w:w="90" w:type="dxa"/>
              <w:left w:w="100" w:type="dxa"/>
              <w:bottom w:w="90" w:type="dxa"/>
              <w:right w:w="100" w:type="dxa"/>
            </w:tcMar>
          </w:tcPr>
          <w:p>
            <w:pPr>
              <w:spacing w:line="276" w:lineRule="exact" w:after="0"/>
            </w:pPr>
            <w:r>
              <w:rPr>
                <w:sz w:val="19"/>
              </w:rPr>
              <w:t>原文件、源 CRS、图层和属性映射。</w:t>
            </w:r>
          </w:p>
        </w:tc>
      </w:tr>
      <w:tr>
        <w:trPr>
          <w:cantSplit/>
        </w:trPr>
        <w:tc>
          <w:tcPr>
            <w:tcW w:type="dxa" w:w="2088"/>
            <w:vAlign w:val="center"/>
            <w:tcMar>
              <w:top w:w="90" w:type="dxa"/>
              <w:left w:w="100" w:type="dxa"/>
              <w:bottom w:w="90" w:type="dxa"/>
              <w:right w:w="100" w:type="dxa"/>
            </w:tcMar>
          </w:tcPr>
          <w:p>
            <w:pPr>
              <w:spacing w:line="276" w:lineRule="exact" w:after="0"/>
            </w:pPr>
            <w:r>
              <w:rPr>
                <w:sz w:val="19"/>
              </w:rPr>
              <w:t>Shapefile 与 CSV</w:t>
            </w:r>
          </w:p>
        </w:tc>
        <w:tc>
          <w:tcPr>
            <w:tcW w:type="dxa" w:w="4536"/>
            <w:vAlign w:val="center"/>
            <w:tcMar>
              <w:top w:w="90" w:type="dxa"/>
              <w:left w:w="100" w:type="dxa"/>
              <w:bottom w:w="90" w:type="dxa"/>
              <w:right w:w="100" w:type="dxa"/>
            </w:tcMar>
          </w:tcPr>
          <w:p>
            <w:pPr>
              <w:spacing w:line="276" w:lineRule="exact" w:after="0"/>
            </w:pPr>
            <w:r>
              <w:rPr>
                <w:sz w:val="19"/>
              </w:rPr>
              <w:t>Shapefile 成套打包并核 .prj；CSV 明确 XY/经纬度、轴序、单位。</w:t>
            </w:r>
          </w:p>
        </w:tc>
        <w:tc>
          <w:tcPr>
            <w:tcW w:type="dxa" w:w="3370"/>
            <w:vAlign w:val="center"/>
            <w:tcMar>
              <w:top w:w="90" w:type="dxa"/>
              <w:left w:w="100" w:type="dxa"/>
              <w:bottom w:w="90" w:type="dxa"/>
              <w:right w:w="100" w:type="dxa"/>
            </w:tcMar>
          </w:tcPr>
          <w:p>
            <w:pPr>
              <w:spacing w:line="276" w:lineRule="exact" w:after="0"/>
            </w:pPr>
            <w:r>
              <w:rPr>
                <w:sz w:val="19"/>
              </w:rPr>
              <w:t>缺失字段、任何人工映射及导入报告。</w:t>
            </w:r>
          </w:p>
        </w:tc>
      </w:tr>
      <w:tr>
        <w:trPr>
          <w:cantSplit/>
        </w:trPr>
        <w:tc>
          <w:tcPr>
            <w:tcW w:type="dxa" w:w="2088"/>
            <w:vAlign w:val="center"/>
            <w:tcMar>
              <w:top w:w="90" w:type="dxa"/>
              <w:left w:w="100" w:type="dxa"/>
              <w:bottom w:w="90" w:type="dxa"/>
              <w:right w:w="100" w:type="dxa"/>
            </w:tcMar>
          </w:tcPr>
          <w:p>
            <w:pPr>
              <w:spacing w:line="276" w:lineRule="exact" w:after="0"/>
            </w:pPr>
            <w:r>
              <w:rPr>
                <w:sz w:val="19"/>
              </w:rPr>
              <w:t>GeoTIFF 与 COG</w:t>
            </w:r>
          </w:p>
        </w:tc>
        <w:tc>
          <w:tcPr>
            <w:tcW w:type="dxa" w:w="4536"/>
            <w:vAlign w:val="center"/>
            <w:tcMar>
              <w:top w:w="90" w:type="dxa"/>
              <w:left w:w="100" w:type="dxa"/>
              <w:bottom w:w="90" w:type="dxa"/>
              <w:right w:w="100" w:type="dxa"/>
            </w:tcMar>
          </w:tcPr>
          <w:p>
            <w:pPr>
              <w:spacing w:line="276" w:lineRule="exact" w:after="0"/>
            </w:pPr>
            <w:r>
              <w:rPr>
                <w:sz w:val="19"/>
              </w:rPr>
              <w:t>小图可直接显示，大图按切片或 COG 分块和概览读取。</w:t>
            </w:r>
          </w:p>
        </w:tc>
        <w:tc>
          <w:tcPr>
            <w:tcW w:type="dxa" w:w="3370"/>
            <w:vAlign w:val="center"/>
            <w:tcMar>
              <w:top w:w="90" w:type="dxa"/>
              <w:left w:w="100" w:type="dxa"/>
              <w:bottom w:w="90" w:type="dxa"/>
              <w:right w:w="100" w:type="dxa"/>
            </w:tcMar>
          </w:tcPr>
          <w:p>
            <w:pPr>
              <w:spacing w:line="276" w:lineRule="exact" w:after="0"/>
            </w:pPr>
            <w:r>
              <w:rPr>
                <w:sz w:val="19"/>
              </w:rPr>
              <w:t>CRS、地理变换、分辨率、NoData、采集时间。</w:t>
            </w:r>
          </w:p>
        </w:tc>
      </w:tr>
      <w:tr>
        <w:trPr>
          <w:cantSplit/>
        </w:trPr>
        <w:tc>
          <w:tcPr>
            <w:tcW w:type="dxa" w:w="2088"/>
            <w:vAlign w:val="center"/>
            <w:tcMar>
              <w:top w:w="90" w:type="dxa"/>
              <w:left w:w="100" w:type="dxa"/>
              <w:bottom w:w="90" w:type="dxa"/>
              <w:right w:w="100" w:type="dxa"/>
            </w:tcMar>
          </w:tcPr>
          <w:p>
            <w:pPr>
              <w:spacing w:line="276" w:lineRule="exact" w:after="0"/>
            </w:pPr>
            <w:r>
              <w:rPr>
                <w:sz w:val="19"/>
              </w:rPr>
              <w:t>普通图片</w:t>
            </w:r>
          </w:p>
        </w:tc>
        <w:tc>
          <w:tcPr>
            <w:tcW w:type="dxa" w:w="4536"/>
            <w:vAlign w:val="center"/>
            <w:tcMar>
              <w:top w:w="90" w:type="dxa"/>
              <w:left w:w="100" w:type="dxa"/>
              <w:bottom w:w="90" w:type="dxa"/>
              <w:right w:w="100" w:type="dxa"/>
            </w:tcMar>
          </w:tcPr>
          <w:p>
            <w:pPr>
              <w:spacing w:line="276" w:lineRule="exact" w:after="0"/>
            </w:pPr>
            <w:r>
              <w:rPr>
                <w:sz w:val="19"/>
              </w:rPr>
              <w:t>无地理参考时先做控制点配准；仅有已知尺寸时作为合成平面参考。</w:t>
            </w:r>
          </w:p>
        </w:tc>
        <w:tc>
          <w:tcPr>
            <w:tcW w:type="dxa" w:w="3370"/>
            <w:vAlign w:val="center"/>
            <w:tcMar>
              <w:top w:w="90" w:type="dxa"/>
              <w:left w:w="100" w:type="dxa"/>
              <w:bottom w:w="90" w:type="dxa"/>
              <w:right w:w="100" w:type="dxa"/>
            </w:tcMar>
          </w:tcPr>
          <w:p>
            <w:pPr>
              <w:spacing w:line="276" w:lineRule="exact" w:after="0"/>
            </w:pPr>
            <w:r>
              <w:rPr>
                <w:sz w:val="19"/>
              </w:rPr>
              <w:t>控制点、模型、残差及适用范围。</w:t>
            </w:r>
          </w:p>
        </w:tc>
      </w:tr>
      <w:tr>
        <w:trPr>
          <w:cantSplit/>
        </w:trPr>
        <w:tc>
          <w:tcPr>
            <w:tcW w:type="dxa" w:w="2088"/>
            <w:vAlign w:val="center"/>
            <w:tcMar>
              <w:top w:w="90" w:type="dxa"/>
              <w:left w:w="100" w:type="dxa"/>
              <w:bottom w:w="90" w:type="dxa"/>
              <w:right w:w="100" w:type="dxa"/>
            </w:tcMar>
          </w:tcPr>
          <w:p>
            <w:pPr>
              <w:spacing w:line="276" w:lineRule="exact" w:after="0"/>
            </w:pPr>
            <w:r>
              <w:rPr>
                <w:sz w:val="19"/>
              </w:rPr>
              <w:t>合成场景</w:t>
            </w:r>
          </w:p>
        </w:tc>
        <w:tc>
          <w:tcPr>
            <w:tcW w:type="dxa" w:w="4536"/>
            <w:vAlign w:val="center"/>
            <w:tcMar>
              <w:top w:w="90" w:type="dxa"/>
              <w:left w:w="100" w:type="dxa"/>
              <w:bottom w:w="90" w:type="dxa"/>
              <w:right w:w="100" w:type="dxa"/>
            </w:tcMar>
          </w:tcPr>
          <w:p>
            <w:pPr>
              <w:spacing w:line="276" w:lineRule="exact" w:after="0"/>
            </w:pPr>
            <w:r>
              <w:rPr>
                <w:sz w:val="19"/>
              </w:rPr>
              <w:t>固定生成器版本、seed、范围、障碍与任务分布；编辑另存修订。</w:t>
            </w:r>
          </w:p>
        </w:tc>
        <w:tc>
          <w:tcPr>
            <w:tcW w:type="dxa" w:w="3370"/>
            <w:vAlign w:val="center"/>
            <w:tcMar>
              <w:top w:w="90" w:type="dxa"/>
              <w:left w:w="100" w:type="dxa"/>
              <w:bottom w:w="90" w:type="dxa"/>
              <w:right w:w="100" w:type="dxa"/>
            </w:tcMar>
          </w:tcPr>
          <w:p>
            <w:pPr>
              <w:spacing w:line="276" w:lineRule="exact" w:after="0"/>
            </w:pPr>
            <w:r>
              <w:rPr>
                <w:sz w:val="19"/>
              </w:rPr>
              <w:t>原始 seed、生成参数、编辑后几何。</w:t>
            </w:r>
          </w:p>
        </w:tc>
      </w:tr>
    </w:tbl>
    <w:p>
      <w:pPr>
        <w:spacing w:after="0" w:before="0" w:line="240" w:lineRule="auto"/>
      </w:pPr>
      <w:r>
        <w:rPr>
          <w:sz w:val="6"/>
        </w:rPr>
      </w:r>
    </w:p>
    <w:p>
      <w:r>
        <w:t>COG 是方便按范围读取的栅格组织方式，不保证无限影像都能在浏览器中加载。远端应支持 HTTP Range 字节读取和所需 CORS；颜色、重投影、缓存与读取范围须在目标手机实测。不满足时使用本地瓦片服务或预处理的有限区域包。</w:t>
      </w:r>
    </w:p>
    <w:p>
      <w:r>
        <w:t>离线只打包有授权的数据。PMTiles 或后端离线包须连同样式字体、精灵图及其他资源处理；首版限定选定项目区域和容量。OpenStreetMap 官方栅格与矢量瓦片服务禁止为离线批量预取，开源地图库不代表底图可复制。保留来源、署名、许可用途、下载时间与包校验值。</w:t>
      </w:r>
    </w:p>
    <w:p>
      <w:r>
        <w:t>显示与分析分开：类别图用最近邻重采样，DEM 保留原始高程和高程基准，NoData 视为未知。显示归一化、RGB 着色和降分辨率不替代分析像元。公开示例若含自定义类型或非标准轴序，须按来源单独转换；树点不能擅自连成“实测作业行”，无田界数据不能自动补成实测边界。</w:t>
      </w:r>
    </w:p>
    <w:p>
      <w:r>
        <w:t>大图资格试验从有限区域、原始像元和本地瓦片简单基线开始，逐级增加文件大小与可见顶点。只有目标手机的内存、首次呈现、按需读取及离线恢复均达标才扩大工作集；处理和显示副本必须可从原件重建。</w:t>
      </w:r>
    </w:p>
    <w:p>
      <w:pPr>
        <w:spacing w:before="100" w:after="0" w:line="240" w:lineRule="exact"/>
      </w:pPr>
      <w:r>
        <w:rPr>
          <w:color w:val="444444"/>
          <w:sz w:val="18"/>
        </w:rPr>
        <w:t>工程来源 T2、T9、T10、T11、T12、Tinteraction2，见技术来源附录。</w:t>
      </w:r>
    </w:p>
    <w:p>
      <w:pPr>
        <w:pStyle w:val="Heading2"/>
      </w:pPr>
      <w:r>
        <w:t>5  桌面手机交互与部署边界</w:t>
      </w:r>
    </w:p>
    <w:p>
      <w:r>
        <w:t>Ubuntu 首版采用响应式 Web 应用，本机保存原始数据；手机通过经认证的局域网入口访问，默认不公开执行端口。桌面与手机共享场景格式和状态机，布局分别适配。PWA 如引入，只作为安装与缓存增强，其离线范围应逐项验收；不能据此宣称 Python 求解器、原生 GIS 依赖或完整实验已能在手机独立运行。</w:t>
      </w:r>
    </w:p>
    <w:p>
      <w:r>
        <w:t>手机完全脱离 Ubuntu 是单独交付目标，需要明确任务包、可用求解能力、存储配额、数据导出与恢复流程；浏览器缓存不能作为唯一原件。桌面薄壳放在闭环之后：Tauri 2 须测 Ubuntu WebKitGTK 与地图渲染，Electron 内置 Chromium 可作兼容备选；两者都需要单独打包与监管 Python 进程。</w:t>
      </w:r>
    </w:p>
    <w:p>
      <w:pPr>
        <w:pStyle w:val="Heading3"/>
      </w:pPr>
      <w:r>
        <w:t>完整操作路径</w:t>
      </w:r>
    </w:p>
    <w:p>
      <w:pPr>
        <w:spacing w:after="100"/>
        <w:ind w:left="144" w:hanging="144"/>
      </w:pPr>
      <w:r>
        <w:t>• 导入或选择场景，确认 CRS、单位、比例尺和底图来源，显示数据质量与边界检查结果。</w:t>
      </w:r>
    </w:p>
    <w:p>
      <w:pPr>
        <w:spacing w:after="100"/>
        <w:ind w:left="144" w:hanging="144"/>
      </w:pPr>
      <w:r>
        <w:t>• 编辑田块、洞、障碍、客户、仓库和车辆；浏览、绘制、修改、删除模式明确分开，属性可数值输入。</w:t>
      </w:r>
    </w:p>
    <w:p>
      <w:pPr>
        <w:spacing w:after="100"/>
        <w:ind w:left="144" w:hanging="144"/>
      </w:pPr>
      <w:r>
        <w:t>• 按能力筛选规划器，展示任务类型、参数、seed、预算和限制；提交前保存新修订，错误定位到对象。</w:t>
      </w:r>
    </w:p>
    <w:p>
      <w:pPr>
        <w:spacing w:after="100"/>
        <w:ind w:left="144" w:hanging="144"/>
      </w:pPr>
      <w:r>
        <w:t>• 运行期间允许浏览或另开修订；完成后按对应输入版本回放，地图变更不得自动套用旧解。</w:t>
      </w:r>
    </w:p>
    <w:p>
      <w:r>
        <w:t>基础编辑应包含选择、顶点拖动、增删顶点、撤销重做、吸附开关、数值输入和取消；吸附显示目标对象，移动保留稳定 ID。手机使用明确“完成”“取消”按钮，不依赖双击、右键或修饰键；地图拖动与顶点拖动隔离，提供放大定位，常用触控目标拟至少 44 CSS 像素。删除与离开未保存修订须可恢复。复杂切割、合并和共边编辑后置。</w:t>
      </w:r>
    </w:p>
    <w:p>
      <w:pPr>
        <w:pStyle w:val="Heading3"/>
      </w:pPr>
      <w:r>
        <w:t>结果解释与可追溯修改</w:t>
      </w:r>
    </w:p>
    <w:p>
      <w:r>
        <w:t>分层显示底图、原始边界、可通行区域、任务、候选路线和已核验路线。车辆用颜色加线型或编号区分；选中路段显示距离、服务顺序、载荷、代价来源和校验状态，支持逐车开关和违规点定位。失败车辆、未分配服务与未检查约束不能被成功路线遮住。</w:t>
      </w:r>
    </w:p>
    <w:p>
      <w:r>
        <w:t>访问顺序、几何路径与带时间轨迹分开；无时间戳时只按路径进度播放，不称真实轨迹，不据此证明多车无冲突。算法比较固定场景哈希、目标、车队语义、预算和视口。地图、成本图表与谱系通过 scene_id、修订、input_hash、run_id、candidate/source_hash 联动，指标及失败分母由后端统一。</w:t>
      </w:r>
    </w:p>
    <w:p>
      <w:r>
        <w:t>拖动路线默认生成途经点、禁区、走廊偏好或锁定顺序等新约束后重算；自由手绘先标未验证，通过同等级独立校验后才能提升状态。每次编辑记录原意图、旧新任务版本、补丁、确认来源与 checker 结果，并区分纠正理解、改变任务、更新偏好和表达不确定；接受、拖动、撤销不自动成为算法优劣或最优标签。</w:t>
      </w:r>
    </w:p>
    <w:p>
      <w:r>
        <w:t>可视编辑的最小实施试验先固定 solver 和有错任务样例，比较地图编辑与字段表单、固定澄清和规则修改器；以同一任务版本与回放日志检查错误是否定位和消除。离线编辑回放只能证明接口有效；减少用户漏错和节省时间还需真实参与者资料，研究试验另列。字段表单已满足任务时不因展示效果增加模型。</w:t>
      </w:r>
    </w:p>
    <w:p>
      <w:pPr>
        <w:spacing w:before="100" w:after="0" w:line="240" w:lineRule="exact"/>
      </w:pPr>
      <w:r>
        <w:rPr>
          <w:color w:val="444444"/>
          <w:sz w:val="18"/>
        </w:rPr>
        <w:t>工程来源 T12、T14、T26、Tinteraction1，见技术来源附录。</w:t>
      </w:r>
    </w:p>
    <w:p>
      <w:pPr>
        <w:pStyle w:val="Heading2"/>
      </w:pPr>
      <w:r>
        <w:t>6  数据接口 执行状态与安全</w:t>
      </w:r>
    </w:p>
    <w:p>
      <w:r>
        <w:t>以下为新增接口的最低合同，并非当前 API 已实现的清单。先冻结请求样例、响应结构、错误码和身份字段，再由前后端共同实现；GUI 与批量 CLI 使用同一冻结输入、runner 和 checker。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02"/>
      </w:tblGrid>
      <w:tr>
        <w:trPr>
          <w:cantSplit/>
          <w:tblHeader/>
        </w:trPr>
        <w:tc>
          <w:tcPr>
            <w:tcW w:type="dxa" w:w="2592"/>
            <w:vAlign w:val="center"/>
            <w:tcMar>
              <w:top w:w="90" w:type="dxa"/>
              <w:left w:w="100" w:type="dxa"/>
              <w:bottom w:w="90" w:type="dxa"/>
              <w:right w:w="100" w:type="dxa"/>
            </w:tcMar>
            <w:shd w:fill="E9F0F5"/>
          </w:tcPr>
          <w:p>
            <w:pPr>
              <w:keepNext/>
              <w:spacing w:line="276" w:lineRule="exact" w:after="0"/>
            </w:pPr>
            <w:r>
              <w:rPr>
                <w:b/>
                <w:sz w:val="19"/>
              </w:rPr>
              <w:t>对象或接口</w:t>
            </w:r>
          </w:p>
        </w:tc>
        <w:tc>
          <w:tcPr>
            <w:tcW w:type="dxa" w:w="7402"/>
            <w:vAlign w:val="center"/>
            <w:tcMar>
              <w:top w:w="90" w:type="dxa"/>
              <w:left w:w="100" w:type="dxa"/>
              <w:bottom w:w="90" w:type="dxa"/>
              <w:right w:w="100" w:type="dxa"/>
            </w:tcMar>
            <w:shd w:fill="E9F0F5"/>
          </w:tcPr>
          <w:p>
            <w:pPr>
              <w:keepNext/>
              <w:spacing w:line="276" w:lineRule="exact" w:after="0"/>
            </w:pPr>
            <w:r>
              <w:rPr>
                <w:b/>
                <w:sz w:val="19"/>
              </w:rPr>
              <w:t>最低内容与责任</w:t>
            </w:r>
          </w:p>
        </w:tc>
      </w:tr>
      <w:tr>
        <w:trPr>
          <w:cantSplit/>
        </w:trPr>
        <w:tc>
          <w:tcPr>
            <w:tcW w:type="dxa" w:w="2592"/>
            <w:vAlign w:val="center"/>
            <w:tcMar>
              <w:top w:w="90" w:type="dxa"/>
              <w:left w:w="100" w:type="dxa"/>
              <w:bottom w:w="90" w:type="dxa"/>
              <w:right w:w="100" w:type="dxa"/>
            </w:tcMar>
          </w:tcPr>
          <w:p>
            <w:pPr>
              <w:spacing w:line="276" w:lineRule="exact" w:after="0"/>
            </w:pPr>
            <w:r>
              <w:rPr>
                <w:sz w:val="19"/>
              </w:rPr>
              <w:t>SceneSpec</w:t>
            </w:r>
          </w:p>
        </w:tc>
        <w:tc>
          <w:tcPr>
            <w:tcW w:type="dxa" w:w="7402"/>
            <w:vAlign w:val="center"/>
            <w:tcMar>
              <w:top w:w="90" w:type="dxa"/>
              <w:left w:w="100" w:type="dxa"/>
              <w:bottom w:w="90" w:type="dxa"/>
              <w:right w:w="100" w:type="dxa"/>
            </w:tcMar>
          </w:tcPr>
          <w:p>
            <w:pPr>
              <w:spacing w:line="276" w:lineRule="exact" w:after="0"/>
            </w:pPr>
            <w:r>
              <w:rPr>
                <w:sz w:val="19"/>
              </w:rPr>
              <w:t>格式版本、scene_id、scene_revision、基准修订、CRS 与单位；几何、任务、车辆、目标顺序、整数缩放；input_hash 与来源。</w:t>
            </w:r>
          </w:p>
        </w:tc>
      </w:tr>
      <w:tr>
        <w:trPr>
          <w:cantSplit/>
        </w:trPr>
        <w:tc>
          <w:tcPr>
            <w:tcW w:type="dxa" w:w="2592"/>
            <w:vAlign w:val="center"/>
            <w:tcMar>
              <w:top w:w="90" w:type="dxa"/>
              <w:left w:w="100" w:type="dxa"/>
              <w:bottom w:w="90" w:type="dxa"/>
              <w:right w:w="100" w:type="dxa"/>
            </w:tcMar>
          </w:tcPr>
          <w:p>
            <w:pPr>
              <w:spacing w:line="276" w:lineRule="exact" w:after="0"/>
            </w:pPr>
            <w:r>
              <w:rPr>
                <w:sz w:val="19"/>
              </w:rPr>
              <w:t>POST /scenes/validate</w:t>
            </w:r>
          </w:p>
        </w:tc>
        <w:tc>
          <w:tcPr>
            <w:tcW w:type="dxa" w:w="7402"/>
            <w:vAlign w:val="center"/>
            <w:tcMar>
              <w:top w:w="90" w:type="dxa"/>
              <w:left w:w="100" w:type="dxa"/>
              <w:bottom w:w="90" w:type="dxa"/>
              <w:right w:w="100" w:type="dxa"/>
            </w:tcMar>
          </w:tcPr>
          <w:p>
            <w:pPr>
              <w:spacing w:line="276" w:lineRule="exact" w:after="0"/>
            </w:pPr>
            <w:r>
              <w:rPr>
                <w:sz w:val="19"/>
              </w:rPr>
              <w:t>坐标、拓扑、业务校验；返回对象 ID、错误位置、物理裕量及可运行状态。</w:t>
            </w:r>
          </w:p>
        </w:tc>
      </w:tr>
      <w:tr>
        <w:trPr>
          <w:cantSplit/>
        </w:trPr>
        <w:tc>
          <w:tcPr>
            <w:tcW w:type="dxa" w:w="2592"/>
            <w:vAlign w:val="center"/>
            <w:tcMar>
              <w:top w:w="90" w:type="dxa"/>
              <w:left w:w="100" w:type="dxa"/>
              <w:bottom w:w="90" w:type="dxa"/>
              <w:right w:w="100" w:type="dxa"/>
            </w:tcMar>
          </w:tcPr>
          <w:p>
            <w:pPr>
              <w:spacing w:line="276" w:lineRule="exact" w:after="0"/>
            </w:pPr>
            <w:r>
              <w:rPr>
                <w:sz w:val="19"/>
              </w:rPr>
              <w:t>POST /jobs</w:t>
            </w:r>
          </w:p>
        </w:tc>
        <w:tc>
          <w:tcPr>
            <w:tcW w:type="dxa" w:w="7402"/>
            <w:vAlign w:val="center"/>
            <w:tcMar>
              <w:top w:w="90" w:type="dxa"/>
              <w:left w:w="100" w:type="dxa"/>
              <w:bottom w:w="90" w:type="dxa"/>
              <w:right w:w="100" w:type="dxa"/>
            </w:tcMar>
          </w:tcPr>
          <w:p>
            <w:pPr>
              <w:spacing w:line="276" w:lineRule="exact" w:after="0"/>
            </w:pPr>
            <w:r>
              <w:rPr>
                <w:sz w:val="19"/>
              </w:rPr>
              <w:t>冻结 scene_revision 和 input_hash；接收 planner_id、参数、seed、预算与幂等键，返回 job_id。</w:t>
            </w:r>
          </w:p>
        </w:tc>
      </w:tr>
      <w:tr>
        <w:trPr>
          <w:cantSplit/>
        </w:trPr>
        <w:tc>
          <w:tcPr>
            <w:tcW w:type="dxa" w:w="2592"/>
            <w:vAlign w:val="center"/>
            <w:tcMar>
              <w:top w:w="90" w:type="dxa"/>
              <w:left w:w="100" w:type="dxa"/>
              <w:bottom w:w="90" w:type="dxa"/>
              <w:right w:w="100" w:type="dxa"/>
            </w:tcMar>
          </w:tcPr>
          <w:p>
            <w:pPr>
              <w:spacing w:line="276" w:lineRule="exact" w:after="0"/>
            </w:pPr>
            <w:r>
              <w:rPr>
                <w:sz w:val="19"/>
              </w:rPr>
              <w:t>任务状态与取消</w:t>
            </w:r>
          </w:p>
        </w:tc>
        <w:tc>
          <w:tcPr>
            <w:tcW w:type="dxa" w:w="7402"/>
            <w:vAlign w:val="center"/>
            <w:tcMar>
              <w:top w:w="90" w:type="dxa"/>
              <w:left w:w="100" w:type="dxa"/>
              <w:bottom w:w="90" w:type="dxa"/>
              <w:right w:w="100" w:type="dxa"/>
            </w:tcMar>
          </w:tcPr>
          <w:p>
            <w:pPr>
              <w:spacing w:line="276" w:lineRule="exact" w:after="0"/>
            </w:pPr>
            <w:r>
              <w:rPr>
                <w:sz w:val="19"/>
              </w:rPr>
              <w:t>绑定 job、attempt、worker、输入版本及请求序号；区分求解状态和校验状态。</w:t>
            </w:r>
          </w:p>
        </w:tc>
      </w:tr>
      <w:tr>
        <w:trPr>
          <w:cantSplit/>
        </w:trPr>
        <w:tc>
          <w:tcPr>
            <w:tcW w:type="dxa" w:w="2592"/>
            <w:vAlign w:val="center"/>
            <w:tcMar>
              <w:top w:w="90" w:type="dxa"/>
              <w:left w:w="100" w:type="dxa"/>
              <w:bottom w:w="90" w:type="dxa"/>
              <w:right w:w="100" w:type="dxa"/>
            </w:tcMar>
          </w:tcPr>
          <w:p>
            <w:pPr>
              <w:spacing w:line="276" w:lineRule="exact" w:after="0"/>
            </w:pPr>
            <w:r>
              <w:rPr>
                <w:sz w:val="19"/>
              </w:rPr>
              <w:t>ResultBundle</w:t>
            </w:r>
          </w:p>
        </w:tc>
        <w:tc>
          <w:tcPr>
            <w:tcW w:type="dxa" w:w="7402"/>
            <w:vAlign w:val="center"/>
            <w:tcMar>
              <w:top w:w="90" w:type="dxa"/>
              <w:left w:w="100" w:type="dxa"/>
              <w:bottom w:w="90" w:type="dxa"/>
              <w:right w:w="100" w:type="dxa"/>
            </w:tcMar>
          </w:tcPr>
          <w:p>
            <w:pPr>
              <w:spacing w:line="276" w:lineRule="exact" w:after="0"/>
            </w:pPr>
            <w:r>
              <w:rPr>
                <w:sz w:val="19"/>
              </w:rPr>
              <w:t>算法与环境版本、输入哈希、原始输出、规范化路线、独立校验、指标、附件校验值。</w:t>
            </w:r>
          </w:p>
        </w:tc>
      </w:tr>
      <w:tr>
        <w:trPr>
          <w:cantSplit/>
        </w:trPr>
        <w:tc>
          <w:tcPr>
            <w:tcW w:type="dxa" w:w="2592"/>
            <w:vAlign w:val="center"/>
            <w:tcMar>
              <w:top w:w="90" w:type="dxa"/>
              <w:left w:w="100" w:type="dxa"/>
              <w:bottom w:w="90" w:type="dxa"/>
              <w:right w:w="100" w:type="dxa"/>
            </w:tcMar>
          </w:tcPr>
          <w:p>
            <w:pPr>
              <w:spacing w:line="276" w:lineRule="exact" w:after="0"/>
            </w:pPr>
            <w:r>
              <w:rPr>
                <w:sz w:val="19"/>
              </w:rPr>
              <w:t>推荐和特征记录</w:t>
            </w:r>
          </w:p>
        </w:tc>
        <w:tc>
          <w:tcPr>
            <w:tcW w:type="dxa" w:w="7402"/>
            <w:vAlign w:val="center"/>
            <w:tcMar>
              <w:top w:w="90" w:type="dxa"/>
              <w:left w:w="100" w:type="dxa"/>
              <w:bottom w:w="90" w:type="dxa"/>
              <w:right w:w="100" w:type="dxa"/>
            </w:tcMar>
          </w:tcPr>
          <w:p>
            <w:pPr>
              <w:spacing w:line="276" w:lineRule="exact" w:after="0"/>
            </w:pPr>
            <w:r>
              <w:rPr>
                <w:sz w:val="19"/>
              </w:rPr>
              <w:t>FeatureRecord 记特征时点、缺失与成本；RecommendationRecord 记算法 ID、参数、模型版本、选择和回退依据。</w:t>
            </w:r>
          </w:p>
        </w:tc>
      </w:tr>
    </w:tbl>
    <w:p>
      <w:pPr>
        <w:spacing w:after="0" w:before="0" w:line="240" w:lineRule="auto"/>
      </w:pPr>
      <w:r>
        <w:rPr>
          <w:sz w:val="6"/>
        </w:rPr>
      </w:r>
    </w:p>
    <w:p>
      <w:pPr>
        <w:pStyle w:val="Heading3"/>
      </w:pPr>
      <w:r>
        <w:t>可中断且可恢复的状态机</w:t>
      </w:r>
    </w:p>
    <w:p>
      <w:r>
        <w:t>持久任务状态至少包含排队、运行、请求取消、已取消、成功、失败、超时和中断。查询服务与执行环境分离，重计算不放在 HTTP 请求或普通后台回调。FastAPI/Pydantic 可用于接口和合同校验，但不能替代任务队列、进程监管或安全隔离。</w:t>
      </w:r>
    </w:p>
    <w:p>
      <w:pPr>
        <w:spacing w:after="100"/>
        <w:ind w:left="144" w:hanging="144"/>
      </w:pPr>
      <w:r>
        <w:t>• 领任务采用短事务，记录所有权和到期处理；失效 worker 的迟到输出不能覆盖当前结果。重复提交用幂等键去重，旧场景结果只入历史。</w:t>
      </w:r>
    </w:p>
    <w:p>
      <w:pPr>
        <w:spacing w:after="100"/>
        <w:ind w:left="144" w:hanging="144"/>
      </w:pPr>
      <w:r>
        <w:t>• 取消先持久记录请求，再通知算法或终止受监管进程组，确认退出后才能记已取消；页面停止等待不等于求解器已停止。</w:t>
      </w:r>
    </w:p>
    <w:p>
      <w:pPr>
        <w:spacing w:after="100"/>
        <w:ind w:left="144" w:hanging="144"/>
      </w:pPr>
      <w:r>
        <w:t>• 崩溃恢复先核对进程、状态与结果包，再决定继续、导入或新建 attempt；重试不覆盖旧日志，也不默认追加模型调用预算。</w:t>
      </w:r>
    </w:p>
    <w:p>
      <w:pPr>
        <w:spacing w:after="100"/>
        <w:ind w:left="144" w:hanging="144"/>
      </w:pPr>
      <w:r>
        <w:t>• 结果先写临时目录，经结构检查后原子封存和登记。非法候选也留存，独立校验通过后才发布。SQLite 单文件只有一个写者，运行中数据库不放到网络共享盘供多机同时写。</w:t>
      </w:r>
    </w:p>
    <w:p>
      <w:pPr>
        <w:pStyle w:val="Heading3"/>
      </w:pPr>
      <w:r>
        <w:t>生成 评测和在线推荐分开</w:t>
      </w:r>
    </w:p>
    <w:p>
      <w:r>
        <w:t>生成请求只能访问已授权模型接口，不能顺手执行回答代码。候选在无密钥、默认断网、只读输入、专用输出目录的独立环境中运行，限制 CPU、内存、进程数、时间和磁盘；可信 checker 在候选之外重算。语法白名单只是准入，容器、Python 子进程或 Ray 资源声明也不自动构成完整隔离，需核验权限、挂载、网络、进程组清理和限制确实生效。</w:t>
      </w:r>
    </w:p>
    <w:p>
      <w:r>
        <w:t>在线只选择已登记且通过准入的算法；自然语言修改只生成结构化场景草案、缺失字段和歧义项，经几何与业务检查后形成新修订，不编造车宽、能耗或任务事实。生成器不得修改测试集、checker、目标或正式发布指针，候选不能自我入库。推荐只使用决策时已知信息，构图、特征及试跑计入在线成本，对不确定或分布外输入采用已验算的固定回退。</w:t>
      </w:r>
    </w:p>
    <w:p>
      <w:pPr>
        <w:pStyle w:val="Heading3"/>
      </w:pPr>
      <w:r>
        <w:t>证据和预算保留完整</w:t>
      </w:r>
    </w:p>
    <w:p>
      <w:r>
        <w:t>分别记录排队、几何预处理、构图、模型生成、求解、校验和端到端墙钟时间，保留失败、超时、非法、未评测和重试分母；未评测不是零质量。固定迭代数与相同墙钟预算分开，历史 250 次迭代不改称公平墙钟比较。</w:t>
      </w:r>
    </w:p>
    <w:p>
      <w:r>
        <w:t>JSONL 保存原始事件，文件包保存冻结输入、源码、路线见证和日志，SQLite 保存状态和元数据，Parquet 可作为分析派生表。生成记录关联父代、提示、原始响应、代码、评分及失败，保留全部程序身份。追踪需求扩大后可加入 MLflow，但它不替代语义合同与原始证据。</w:t>
      </w:r>
    </w:p>
    <w:p>
      <w:r>
        <w:t>本地与云端共用输入、结果 manifest 和收据；回收核对文件哈希、记录数、导入状态和独立检查报告，平台 success 只证明执行状态。原始包确认回收并满足留存要求后再清理远端暂存。</w:t>
      </w:r>
    </w:p>
    <w:p>
      <w:pPr>
        <w:spacing w:before="100" w:after="0" w:line="240" w:lineRule="exact"/>
      </w:pPr>
      <w:r>
        <w:rPr>
          <w:color w:val="444444"/>
          <w:sz w:val="18"/>
        </w:rPr>
        <w:t>工程来源 T14、T19、T20、T21，见技术来源附录。</w:t>
      </w:r>
    </w:p>
    <w:p>
      <w:pPr>
        <w:pStyle w:val="Heading2"/>
      </w:pPr>
      <w:r>
        <w:t>7  地图与执行闭环验收</w:t>
      </w:r>
    </w:p>
    <w:p>
      <w:r>
        <w:t>首轮沿用 NL124 点服务协议完成“改输入、真运行、独立重算、回放”：每例 12 个单位需求、单车容量 5、车队上限 3。此例必然用满 3 车，只验收该合同，不扩称任意 exact-K、面积覆盖或实机协同。沿既有分工，前端迁移与交互由 GrokBot 推进，后端合同、执行与校验由 Hill 对接，先共同冻结接口样例和异常约定。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050"/>
      </w:tblGrid>
      <w:tr>
        <w:trPr>
          <w:cantSplit/>
          <w:tblHeader/>
        </w:trPr>
        <w:tc>
          <w:tcPr>
            <w:tcW w:type="dxa" w:w="1944"/>
            <w:vAlign w:val="center"/>
            <w:tcMar>
              <w:top w:w="90" w:type="dxa"/>
              <w:left w:w="100" w:type="dxa"/>
              <w:bottom w:w="90" w:type="dxa"/>
              <w:right w:w="100" w:type="dxa"/>
            </w:tcMar>
            <w:shd w:fill="E9F0F5"/>
          </w:tcPr>
          <w:p>
            <w:pPr>
              <w:keepNext/>
              <w:spacing w:line="276" w:lineRule="exact" w:after="0"/>
            </w:pPr>
            <w:r>
              <w:rPr>
                <w:b/>
                <w:sz w:val="19"/>
              </w:rPr>
              <w:t>验收阶段</w:t>
            </w:r>
          </w:p>
        </w:tc>
        <w:tc>
          <w:tcPr>
            <w:tcW w:type="dxa" w:w="8050"/>
            <w:vAlign w:val="center"/>
            <w:tcMar>
              <w:top w:w="90" w:type="dxa"/>
              <w:left w:w="100" w:type="dxa"/>
              <w:bottom w:w="90" w:type="dxa"/>
              <w:right w:w="100" w:type="dxa"/>
            </w:tcMar>
            <w:shd w:fill="E9F0F5"/>
          </w:tcPr>
          <w:p>
            <w:pPr>
              <w:keepNext/>
              <w:spacing w:line="276" w:lineRule="exact" w:after="0"/>
            </w:pPr>
            <w:r>
              <w:rPr>
                <w:b/>
                <w:sz w:val="19"/>
              </w:rPr>
              <w:t>通过证据</w:t>
            </w:r>
          </w:p>
        </w:tc>
      </w:tr>
      <w:tr>
        <w:trPr>
          <w:cantSplit/>
        </w:trPr>
        <w:tc>
          <w:tcPr>
            <w:tcW w:type="dxa" w:w="1944"/>
            <w:vAlign w:val="center"/>
            <w:tcMar>
              <w:top w:w="90" w:type="dxa"/>
              <w:left w:w="100" w:type="dxa"/>
              <w:bottom w:w="90" w:type="dxa"/>
              <w:right w:w="100" w:type="dxa"/>
            </w:tcMar>
          </w:tcPr>
          <w:p>
            <w:pPr>
              <w:spacing w:line="276" w:lineRule="exact" w:after="0"/>
            </w:pPr>
            <w:r>
              <w:rPr>
                <w:sz w:val="19"/>
              </w:rPr>
              <w:t>环境与基线</w:t>
            </w:r>
          </w:p>
        </w:tc>
        <w:tc>
          <w:tcPr>
            <w:tcW w:type="dxa" w:w="8050"/>
            <w:vAlign w:val="center"/>
            <w:tcMar>
              <w:top w:w="90" w:type="dxa"/>
              <w:left w:w="100" w:type="dxa"/>
              <w:bottom w:w="90" w:type="dxa"/>
              <w:right w:w="100" w:type="dxa"/>
            </w:tcMar>
          </w:tcPr>
          <w:p>
            <w:pPr>
              <w:spacing w:line="276" w:lineRule="exact" w:after="0"/>
            </w:pPr>
            <w:r>
              <w:rPr>
                <w:sz w:val="19"/>
              </w:rPr>
              <w:t>现有依赖、最小输入和保存路线对应；今天的 CLI 重放与独立指标可查，不以旧 PASS 替代新验收。</w:t>
            </w:r>
          </w:p>
        </w:tc>
      </w:tr>
      <w:tr>
        <w:trPr>
          <w:cantSplit/>
        </w:trPr>
        <w:tc>
          <w:tcPr>
            <w:tcW w:type="dxa" w:w="1944"/>
            <w:vAlign w:val="center"/>
            <w:tcMar>
              <w:top w:w="90" w:type="dxa"/>
              <w:left w:w="100" w:type="dxa"/>
              <w:bottom w:w="90" w:type="dxa"/>
              <w:right w:w="100" w:type="dxa"/>
            </w:tcMar>
          </w:tcPr>
          <w:p>
            <w:pPr>
              <w:spacing w:line="276" w:lineRule="exact" w:after="0"/>
            </w:pPr>
            <w:r>
              <w:rPr>
                <w:sz w:val="19"/>
              </w:rPr>
              <w:t>地图编辑</w:t>
            </w:r>
          </w:p>
        </w:tc>
        <w:tc>
          <w:tcPr>
            <w:tcW w:type="dxa" w:w="8050"/>
            <w:vAlign w:val="center"/>
            <w:tcMar>
              <w:top w:w="90" w:type="dxa"/>
              <w:left w:w="100" w:type="dxa"/>
              <w:bottom w:w="90" w:type="dxa"/>
              <w:right w:w="100" w:type="dxa"/>
            </w:tcMar>
          </w:tcPr>
          <w:p>
            <w:pPr>
              <w:spacing w:line="276" w:lineRule="exact" w:after="0"/>
            </w:pPr>
            <w:r>
              <w:rPr>
                <w:sz w:val="19"/>
              </w:rPr>
              <w:t>真实或合成场景可导入、修改、另存和重载；稳定 ID、坐标、洞、任务属性与原件证据不丢失。</w:t>
            </w:r>
          </w:p>
        </w:tc>
      </w:tr>
      <w:tr>
        <w:trPr>
          <w:cantSplit/>
        </w:trPr>
        <w:tc>
          <w:tcPr>
            <w:tcW w:type="dxa" w:w="1944"/>
            <w:vAlign w:val="center"/>
            <w:tcMar>
              <w:top w:w="90" w:type="dxa"/>
              <w:left w:w="100" w:type="dxa"/>
              <w:bottom w:w="90" w:type="dxa"/>
              <w:right w:w="100" w:type="dxa"/>
            </w:tcMar>
          </w:tcPr>
          <w:p>
            <w:pPr>
              <w:spacing w:line="276" w:lineRule="exact" w:after="0"/>
            </w:pPr>
            <w:r>
              <w:rPr>
                <w:sz w:val="19"/>
              </w:rPr>
              <w:t>实际规划</w:t>
            </w:r>
          </w:p>
        </w:tc>
        <w:tc>
          <w:tcPr>
            <w:tcW w:type="dxa" w:w="8050"/>
            <w:vAlign w:val="center"/>
            <w:tcMar>
              <w:top w:w="90" w:type="dxa"/>
              <w:left w:w="100" w:type="dxa"/>
              <w:bottom w:w="90" w:type="dxa"/>
              <w:right w:w="100" w:type="dxa"/>
            </w:tcMar>
          </w:tcPr>
          <w:p>
            <w:pPr>
              <w:spacing w:line="276" w:lineRule="exact" w:after="0"/>
            </w:pPr>
            <w:r>
              <w:rPr>
                <w:sz w:val="19"/>
              </w:rPr>
              <w:t>编辑产生新修订；runner 产生新 job 和结果；scene_revision、input_hash、job_id 与输出一致。</w:t>
            </w:r>
          </w:p>
        </w:tc>
      </w:tr>
      <w:tr>
        <w:trPr>
          <w:cantSplit/>
        </w:trPr>
        <w:tc>
          <w:tcPr>
            <w:tcW w:type="dxa" w:w="1944"/>
            <w:vAlign w:val="center"/>
            <w:tcMar>
              <w:top w:w="90" w:type="dxa"/>
              <w:left w:w="100" w:type="dxa"/>
              <w:bottom w:w="90" w:type="dxa"/>
              <w:right w:w="100" w:type="dxa"/>
            </w:tcMar>
          </w:tcPr>
          <w:p>
            <w:pPr>
              <w:spacing w:line="276" w:lineRule="exact" w:after="0"/>
            </w:pPr>
            <w:r>
              <w:rPr>
                <w:sz w:val="19"/>
              </w:rPr>
              <w:t>核验和回放</w:t>
            </w:r>
          </w:p>
        </w:tc>
        <w:tc>
          <w:tcPr>
            <w:tcW w:type="dxa" w:w="8050"/>
            <w:vAlign w:val="center"/>
            <w:tcMar>
              <w:top w:w="90" w:type="dxa"/>
              <w:left w:w="100" w:type="dxa"/>
              <w:bottom w:w="90" w:type="dxa"/>
              <w:right w:w="100" w:type="dxa"/>
            </w:tcMar>
          </w:tcPr>
          <w:p>
            <w:pPr>
              <w:spacing w:line="276" w:lineRule="exact" w:after="0"/>
            </w:pPr>
            <w:r>
              <w:rPr>
                <w:sz w:val="19"/>
              </w:rPr>
              <w:t>独立重算客户恰一次、载荷不超 5、车辆不超 3 及合法线段；路线、成本和 checker 指向相同矩阵与代码。</w:t>
            </w:r>
          </w:p>
        </w:tc>
      </w:tr>
      <w:tr>
        <w:trPr>
          <w:cantSplit/>
        </w:trPr>
        <w:tc>
          <w:tcPr>
            <w:tcW w:type="dxa" w:w="1944"/>
            <w:vAlign w:val="center"/>
            <w:tcMar>
              <w:top w:w="90" w:type="dxa"/>
              <w:left w:w="100" w:type="dxa"/>
              <w:bottom w:w="90" w:type="dxa"/>
              <w:right w:w="100" w:type="dxa"/>
            </w:tcMar>
          </w:tcPr>
          <w:p>
            <w:pPr>
              <w:spacing w:line="276" w:lineRule="exact" w:after="0"/>
            </w:pPr>
            <w:r>
              <w:rPr>
                <w:sz w:val="19"/>
              </w:rPr>
              <w:t>异常恢复</w:t>
            </w:r>
          </w:p>
        </w:tc>
        <w:tc>
          <w:tcPr>
            <w:tcW w:type="dxa" w:w="8050"/>
            <w:vAlign w:val="center"/>
            <w:tcMar>
              <w:top w:w="90" w:type="dxa"/>
              <w:left w:w="100" w:type="dxa"/>
              <w:bottom w:w="90" w:type="dxa"/>
              <w:right w:w="100" w:type="dxa"/>
            </w:tcMar>
          </w:tcPr>
          <w:p>
            <w:pPr>
              <w:spacing w:line="276" w:lineRule="exact" w:after="0"/>
            </w:pPr>
            <w:r>
              <w:rPr>
                <w:sz w:val="19"/>
              </w:rPr>
              <w:t>无解、搜索失败、超时、进程崩溃、取消、旧结果晚到与断网均保留准确状态和原始证据。</w:t>
            </w:r>
          </w:p>
        </w:tc>
      </w:tr>
    </w:tbl>
    <w:p>
      <w:pPr>
        <w:spacing w:after="0" w:before="0" w:line="240" w:lineRule="auto"/>
      </w:pPr>
      <w:r>
        <w:rPr>
          <w:sz w:val="6"/>
        </w:rPr>
      </w:r>
    </w:p>
    <w:p>
      <w:pPr>
        <w:pStyle w:val="Heading3"/>
      </w:pPr>
      <w:r>
        <w:t>性能目标尚待测量</w:t>
      </w:r>
    </w:p>
    <w:p>
      <w:r>
        <w:t>下列数值只是原型起始目标，尚无本项目性能跑分。测试记录设备、浏览器、分辨率、包版本、数据量和冷暖缓存；真实田块与固定 seed 合成压力集分别报告首次呈现、交互延迟、求解耗时、峰值内存和掉帧。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464"/>
        <w:gridCol w:w="3514"/>
      </w:tblGrid>
      <w:tr>
        <w:trPr>
          <w:cantSplit/>
          <w:tblHeader/>
        </w:trPr>
        <w:tc>
          <w:tcPr>
            <w:tcW w:type="dxa" w:w="2016"/>
            <w:vAlign w:val="center"/>
            <w:tcMar>
              <w:top w:w="90" w:type="dxa"/>
              <w:left w:w="100" w:type="dxa"/>
              <w:bottom w:w="90" w:type="dxa"/>
              <w:right w:w="100" w:type="dxa"/>
            </w:tcMar>
            <w:shd w:fill="E9F0F5"/>
          </w:tcPr>
          <w:p>
            <w:pPr>
              <w:keepNext/>
              <w:spacing w:line="276" w:lineRule="exact" w:after="0"/>
            </w:pPr>
            <w:r>
              <w:rPr>
                <w:b/>
                <w:sz w:val="19"/>
              </w:rPr>
              <w:t>场景</w:t>
            </w:r>
          </w:p>
        </w:tc>
        <w:tc>
          <w:tcPr>
            <w:tcW w:type="dxa" w:w="4464"/>
            <w:vAlign w:val="center"/>
            <w:tcMar>
              <w:top w:w="90" w:type="dxa"/>
              <w:left w:w="100" w:type="dxa"/>
              <w:bottom w:w="90" w:type="dxa"/>
              <w:right w:w="100" w:type="dxa"/>
            </w:tcMar>
            <w:shd w:fill="E9F0F5"/>
          </w:tcPr>
          <w:p>
            <w:pPr>
              <w:keepNext/>
              <w:spacing w:line="276" w:lineRule="exact" w:after="0"/>
            </w:pPr>
            <w:r>
              <w:rPr>
                <w:b/>
                <w:sz w:val="19"/>
              </w:rPr>
              <w:t>拟定起始目标</w:t>
            </w:r>
          </w:p>
        </w:tc>
        <w:tc>
          <w:tcPr>
            <w:tcW w:type="dxa" w:w="3514"/>
            <w:vAlign w:val="center"/>
            <w:tcMar>
              <w:top w:w="90" w:type="dxa"/>
              <w:left w:w="100" w:type="dxa"/>
              <w:bottom w:w="90" w:type="dxa"/>
              <w:right w:w="100" w:type="dxa"/>
            </w:tcMar>
            <w:shd w:fill="E9F0F5"/>
          </w:tcPr>
          <w:p>
            <w:pPr>
              <w:keepNext/>
              <w:spacing w:line="276" w:lineRule="exact" w:after="0"/>
            </w:pPr>
            <w:r>
              <w:rPr>
                <w:b/>
                <w:sz w:val="19"/>
              </w:rPr>
              <w:t>测试要求</w:t>
            </w:r>
          </w:p>
        </w:tc>
      </w:tr>
      <w:tr>
        <w:trPr>
          <w:cantSplit/>
        </w:trPr>
        <w:tc>
          <w:tcPr>
            <w:tcW w:type="dxa" w:w="2016"/>
            <w:vAlign w:val="center"/>
            <w:tcMar>
              <w:top w:w="90" w:type="dxa"/>
              <w:left w:w="100" w:type="dxa"/>
              <w:bottom w:w="90" w:type="dxa"/>
              <w:right w:w="100" w:type="dxa"/>
            </w:tcMar>
          </w:tcPr>
          <w:p>
            <w:pPr>
              <w:spacing w:line="276" w:lineRule="exact" w:after="0"/>
            </w:pPr>
            <w:r>
              <w:rPr>
                <w:sz w:val="19"/>
              </w:rPr>
              <w:t>桌面普通场景</w:t>
            </w:r>
          </w:p>
        </w:tc>
        <w:tc>
          <w:tcPr>
            <w:tcW w:type="dxa" w:w="4464"/>
            <w:vAlign w:val="center"/>
            <w:tcMar>
              <w:top w:w="90" w:type="dxa"/>
              <w:left w:w="100" w:type="dxa"/>
              <w:bottom w:w="90" w:type="dxa"/>
              <w:right w:w="100" w:type="dxa"/>
            </w:tcMar>
          </w:tcPr>
          <w:p>
            <w:pPr>
              <w:spacing w:line="276" w:lineRule="exact" w:after="0"/>
            </w:pPr>
            <w:r>
              <w:rPr>
                <w:sz w:val="19"/>
              </w:rPr>
              <w:t>1 万可见顶点，平移缩放 45 fps；编辑反馈 p95 ≤ 200 ms。</w:t>
            </w:r>
          </w:p>
        </w:tc>
        <w:tc>
          <w:tcPr>
            <w:tcW w:type="dxa" w:w="3514"/>
            <w:vAlign w:val="center"/>
            <w:tcMar>
              <w:top w:w="90" w:type="dxa"/>
              <w:left w:w="100" w:type="dxa"/>
              <w:bottom w:w="90" w:type="dxa"/>
              <w:right w:w="100" w:type="dxa"/>
            </w:tcMar>
          </w:tcPr>
          <w:p>
            <w:pPr>
              <w:spacing w:line="276" w:lineRule="exact" w:after="0"/>
            </w:pPr>
            <w:r>
              <w:rPr>
                <w:sz w:val="19"/>
              </w:rPr>
              <w:t>同一数据集连续操作，记录设备与峰值内存。</w:t>
            </w:r>
          </w:p>
        </w:tc>
      </w:tr>
      <w:tr>
        <w:trPr>
          <w:cantSplit/>
        </w:trPr>
        <w:tc>
          <w:tcPr>
            <w:tcW w:type="dxa" w:w="2016"/>
            <w:vAlign w:val="center"/>
            <w:tcMar>
              <w:top w:w="90" w:type="dxa"/>
              <w:left w:w="100" w:type="dxa"/>
              <w:bottom w:w="90" w:type="dxa"/>
              <w:right w:w="100" w:type="dxa"/>
            </w:tcMar>
          </w:tcPr>
          <w:p>
            <w:pPr>
              <w:spacing w:line="276" w:lineRule="exact" w:after="0"/>
            </w:pPr>
            <w:r>
              <w:rPr>
                <w:sz w:val="19"/>
              </w:rPr>
              <w:t>手机普通场景</w:t>
            </w:r>
          </w:p>
        </w:tc>
        <w:tc>
          <w:tcPr>
            <w:tcW w:type="dxa" w:w="4464"/>
            <w:vAlign w:val="center"/>
            <w:tcMar>
              <w:top w:w="90" w:type="dxa"/>
              <w:left w:w="100" w:type="dxa"/>
              <w:bottom w:w="90" w:type="dxa"/>
              <w:right w:w="100" w:type="dxa"/>
            </w:tcMar>
          </w:tcPr>
          <w:p>
            <w:pPr>
              <w:spacing w:line="276" w:lineRule="exact" w:after="0"/>
            </w:pPr>
            <w:r>
              <w:rPr>
                <w:sz w:val="19"/>
              </w:rPr>
              <w:t>2 千可见顶点，30 fps；编辑反馈 p95 ≤ 300 ms。</w:t>
            </w:r>
          </w:p>
        </w:tc>
        <w:tc>
          <w:tcPr>
            <w:tcW w:type="dxa" w:w="3514"/>
            <w:vAlign w:val="center"/>
            <w:tcMar>
              <w:top w:w="90" w:type="dxa"/>
              <w:left w:w="100" w:type="dxa"/>
              <w:bottom w:w="90" w:type="dxa"/>
              <w:right w:w="100" w:type="dxa"/>
            </w:tcMar>
          </w:tcPr>
          <w:p>
            <w:pPr>
              <w:spacing w:line="276" w:lineRule="exact" w:after="0"/>
            </w:pPr>
            <w:r>
              <w:rPr>
                <w:sz w:val="19"/>
              </w:rPr>
              <w:t>选定 Android、iOS 真机，覆盖触控冲突。</w:t>
            </w:r>
          </w:p>
        </w:tc>
      </w:tr>
      <w:tr>
        <w:trPr>
          <w:cantSplit/>
        </w:trPr>
        <w:tc>
          <w:tcPr>
            <w:tcW w:type="dxa" w:w="2016"/>
            <w:vAlign w:val="center"/>
            <w:tcMar>
              <w:top w:w="90" w:type="dxa"/>
              <w:left w:w="100" w:type="dxa"/>
              <w:bottom w:w="90" w:type="dxa"/>
              <w:right w:w="100" w:type="dxa"/>
            </w:tcMar>
          </w:tcPr>
          <w:p>
            <w:pPr>
              <w:spacing w:line="276" w:lineRule="exact" w:after="0"/>
            </w:pPr>
            <w:r>
              <w:rPr>
                <w:sz w:val="19"/>
              </w:rPr>
              <w:t>大数据和栅格</w:t>
            </w:r>
          </w:p>
        </w:tc>
        <w:tc>
          <w:tcPr>
            <w:tcW w:type="dxa" w:w="4464"/>
            <w:vAlign w:val="center"/>
            <w:tcMar>
              <w:top w:w="90" w:type="dxa"/>
              <w:left w:w="100" w:type="dxa"/>
              <w:bottom w:w="90" w:type="dxa"/>
              <w:right w:w="100" w:type="dxa"/>
            </w:tcMar>
          </w:tcPr>
          <w:p>
            <w:pPr>
              <w:spacing w:line="276" w:lineRule="exact" w:after="0"/>
            </w:pPr>
            <w:r>
              <w:rPr>
                <w:sz w:val="19"/>
              </w:rPr>
              <w:t>按 1 千、1 万、10 万顶点及实际 COG 递增，找出降级点。</w:t>
            </w:r>
          </w:p>
        </w:tc>
        <w:tc>
          <w:tcPr>
            <w:tcW w:type="dxa" w:w="3514"/>
            <w:vAlign w:val="center"/>
            <w:tcMar>
              <w:top w:w="90" w:type="dxa"/>
              <w:left w:w="100" w:type="dxa"/>
              <w:bottom w:w="90" w:type="dxa"/>
              <w:right w:w="100" w:type="dxa"/>
            </w:tcMar>
          </w:tcPr>
          <w:p>
            <w:pPr>
              <w:spacing w:line="276" w:lineRule="exact" w:after="0"/>
            </w:pPr>
            <w:r>
              <w:rPr>
                <w:sz w:val="19"/>
              </w:rPr>
              <w:t>简化、切片、按需加载后重测；权威几何不变。</w:t>
            </w:r>
          </w:p>
        </w:tc>
      </w:tr>
    </w:tbl>
    <w:p>
      <w:pPr>
        <w:spacing w:after="0" w:before="0" w:line="240" w:lineRule="auto"/>
      </w:pPr>
      <w:r>
        <w:rPr>
          <w:sz w:val="6"/>
        </w:rPr>
      </w:r>
    </w:p>
    <w:p>
      <w:r>
        <w:t>正确性优先于帧率。坐标以参考控制点校验，阈值由精度和安全预算确定；矩阵、路径与服务事件独立重算。失败分类明确区分“证明无解”“搜索未找到”“超时”“执行异常”，不能把 INIT_FAIL 或 repair_failed 直接称为数学无解。</w:t>
      </w:r>
    </w:p>
    <w:p>
      <w:pPr>
        <w:pStyle w:val="Heading3"/>
      </w:pPr>
      <w:r>
        <w:t>扩展都需要通过自己的小试验</w:t>
      </w:r>
    </w:p>
    <w:p>
      <w:r>
        <w:t>整行与覆盖：先复用 P102、turn_modes、Dubins 及 Fields2Cover 参考，做单任务类型的完整服务见证；以可信规则或传统规划器为简单基线。只有车辆与农具参数、任务数据及已测约束组合齐全，才能扩到多车、回补或动态执行；不支持的约束继续明确拒绝。</w:t>
      </w:r>
    </w:p>
    <w:p>
      <w:r>
        <w:t>部署与存储：先用响应式 Web、单 worker、SQLite 和有限区域包验证目标 Ubuntu 与手机，再考虑封装或独立离线。持续并发写或跨项目空间查询成为瓶颈时才评估 PostGIS；扩大只读影像不构成单独理由。多机器任务运营需要队列时考虑 Celery，复杂 CPU/GPU 任务图考虑 Ray，大表或数组数据流考虑 Dask；这些组件不替代幂等、重试和隔离。</w:t>
      </w:r>
    </w:p>
    <w:p>
      <w:r>
        <w:t>首轮交付包包含可编辑场景、冻结输入、原始结果、独立验算、依赖锁、结果 manifest 和回放入口。录屏证明操作过程，数值与完整见证证明算法和约束。同一待比较合同先冻结并通过自身运行资格；已有合格 CLI 可先开展机制实验，产品闭环并行验收，避免边改产品边改评价合同。</w:t>
      </w:r>
    </w:p>
    <w:p>
      <w:pPr>
        <w:spacing w:before="100" w:after="0" w:line="240" w:lineRule="exact"/>
      </w:pPr>
      <w:r>
        <w:rPr>
          <w:color w:val="444444"/>
          <w:sz w:val="18"/>
        </w:rPr>
        <w:t>工程来源 T14、T19、T20、T21、T28，见技术来源附录。</w:t>
      </w:r>
    </w:p>
    <w:p>
      <w:bookmarkStart w:id="5000" w:name="part_4"/>
      <w:pPr>
        <w:pStyle w:val="Heading1"/>
      </w:pPr>
      <w:r>
        <w:t>四 LLM理解 推荐与自动设计</w:t>
      </w:r>
      <w:bookmarkEnd w:id="5000"/>
    </w:p>
    <w:p>
      <w:pPr>
        <w:pStyle w:val="Heading2"/>
      </w:pPr>
      <w:r>
        <w:t>1  LLM理解 计划与受限执行</w:t>
      </w:r>
    </w:p>
    <w:p>
      <w:pPr>
        <w:pStyle w:val="Heading3"/>
      </w:pPr>
      <w:r>
        <w:t>在线任务编译与受限计划</w:t>
      </w:r>
    </w:p>
    <w:p>
      <w:r>
        <w:t>在线链为自然语言与场景→必要澄清→带来源的任务合同→语义检查与能力门控→性能证据→LLM候选调用计划→注册工具实际执行→独立验算。LLM须同时在场景理解与约束抽取、候选算法或组合计划推荐中留下可审计的实际作用，不能只复述选择器结论。[R15]</w:t>
      </w:r>
    </w:p>
    <w:p>
      <w:r>
        <w:t>计划只包含注册ID、参数预设、预算与回退。服务端拒绝未知工具、超额资源和任意表达式，不执行临时Python或shell。LLM原始提议、门控拒绝、实际执行ID、替换原因及求解回执全部保存；若最终采用确定性选择，明确记作混合策略，不能冒称LLM排序胜出。</w:t>
      </w:r>
    </w:p>
    <w:p>
      <w:pPr>
        <w:pStyle w:val="Heading3"/>
      </w:pPr>
      <w:r>
        <w:t>原意对齐先于路线合法</w:t>
      </w:r>
    </w:p>
    <w:p>
      <w:r>
        <w:t>checker能检查已给定合同，却抓不住合同漏掉的原意。例如“不得倒车”未被抽取，合法路线仍可能违反请求。因此保存原句→规范约束→检查条目；独立金标准核对否定、单位、数字、对象、硬软约束和目标。缺信息或矛盾时请求澄清，未知需求不默认为零。</w:t>
      </w:r>
    </w:p>
    <w:p>
      <w:pPr>
        <w:pStyle w:val="Heading3"/>
      </w:pPr>
      <w:r>
        <w:t>离线生成与演化</w:t>
      </w:r>
    </w:p>
    <w:p>
      <w:r>
        <w:t>冻结任务、函数接口、父代和训练侧反馈，生成受限评分/排序程序；可信内核掌握合法动作、真实成本和checker。原始回答、提取与执行源码、提示/父代哈希、模型、费用和失败均留存。静态检查、独立隔离、反例与开发评估通过后，才注册为在线可调用版本。</w:t>
      </w:r>
    </w:p>
    <w:p>
      <w:r>
        <w:t>P3保留思想与代码双表示和装箱比较；思想文字是算法说明，不能当模型内部推理。P5先复用BPP与CVRP/VRPTW，在同入口做生成、评估、保留更新、再生成、冻结测试和导出。评价后的决定须进入下一轮；若幸存父代仍是手写种子，应如实保留，不能强推弱子代制造演化成功。</w:t>
      </w:r>
    </w:p>
    <w:p>
      <w:r>
        <w:t>在线与离线共用任务、算法库、runner和结果包，权限和成本分开。较弱候选可留作研究，不强制部署；未有任何候选通过语义验算时，生成接入仍未完成。</w:t>
      </w:r>
    </w:p>
    <w:p>
      <w:pPr>
        <w:pStyle w:val="Heading2"/>
      </w:pPr>
      <w:r>
        <w:t>2  在线LLM对照与验收</w:t>
      </w:r>
    </w:p>
    <w:p>
      <w:r>
        <w:t>冻结同一库、输入权限和端到端预算，分开评价语义解析、工具计划和算法排序。借鉴OptiGuide的真实执行反馈、LLM-Modulo的外部验证、PICARD的结构化接口，但不直接引入其任意代码执行或声称语法正确就理解正确。[R15]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579"/>
        <w:gridCol w:w="3830"/>
      </w:tblGrid>
      <w:tr>
        <w:trPr>
          <w:cantSplit/>
          <w:tblHeader/>
        </w:trPr>
        <w:tc>
          <w:tcPr>
            <w:tcW w:type="dxa" w:w="1584"/>
            <w:vAlign w:val="center"/>
            <w:tcMar>
              <w:top w:w="90" w:type="dxa"/>
              <w:left w:w="100" w:type="dxa"/>
              <w:bottom w:w="90" w:type="dxa"/>
              <w:right w:w="100" w:type="dxa"/>
            </w:tcMar>
            <w:shd w:fill="E9F0F5"/>
          </w:tcPr>
          <w:p>
            <w:pPr>
              <w:keepNext/>
              <w:spacing w:line="276" w:lineRule="exact" w:after="0"/>
            </w:pPr>
            <w:r>
              <w:rPr>
                <w:b/>
                <w:sz w:val="19"/>
              </w:rPr>
              <w:t>策略</w:t>
            </w:r>
          </w:p>
        </w:tc>
        <w:tc>
          <w:tcPr>
            <w:tcW w:type="dxa" w:w="4579"/>
            <w:vAlign w:val="center"/>
            <w:tcMar>
              <w:top w:w="90" w:type="dxa"/>
              <w:left w:w="100" w:type="dxa"/>
              <w:bottom w:w="90" w:type="dxa"/>
              <w:right w:w="100" w:type="dxa"/>
            </w:tcMar>
            <w:shd w:fill="E9F0F5"/>
          </w:tcPr>
          <w:p>
            <w:pPr>
              <w:keepNext/>
              <w:spacing w:line="276" w:lineRule="exact" w:after="0"/>
            </w:pPr>
            <w:r>
              <w:rPr>
                <w:b/>
                <w:sz w:val="19"/>
              </w:rPr>
              <w:t>保留或增加的机制</w:t>
            </w:r>
          </w:p>
        </w:tc>
        <w:tc>
          <w:tcPr>
            <w:tcW w:type="dxa" w:w="3830"/>
            <w:vAlign w:val="center"/>
            <w:tcMar>
              <w:top w:w="90" w:type="dxa"/>
              <w:left w:w="100" w:type="dxa"/>
              <w:bottom w:w="90" w:type="dxa"/>
              <w:right w:w="100" w:type="dxa"/>
            </w:tcMar>
            <w:shd w:fill="E9F0F5"/>
          </w:tcPr>
          <w:p>
            <w:pPr>
              <w:keepNext/>
              <w:spacing w:line="276" w:lineRule="exact" w:after="0"/>
            </w:pPr>
            <w:r>
              <w:rPr>
                <w:b/>
                <w:sz w:val="19"/>
              </w:rPr>
              <w:t>回答的问题</w:t>
            </w:r>
          </w:p>
        </w:tc>
      </w:tr>
      <w:tr>
        <w:trPr>
          <w:cantSplit/>
        </w:trPr>
        <w:tc>
          <w:tcPr>
            <w:tcW w:type="dxa" w:w="1584"/>
            <w:vAlign w:val="center"/>
            <w:tcMar>
              <w:top w:w="90" w:type="dxa"/>
              <w:left w:w="100" w:type="dxa"/>
              <w:bottom w:w="90" w:type="dxa"/>
              <w:right w:w="100" w:type="dxa"/>
            </w:tcMar>
          </w:tcPr>
          <w:p>
            <w:pPr>
              <w:spacing w:line="276" w:lineRule="exact" w:after="0"/>
            </w:pPr>
            <w:r>
              <w:rPr>
                <w:sz w:val="19"/>
              </w:rPr>
              <w:t>R0 无LLM</w:t>
            </w:r>
          </w:p>
        </w:tc>
        <w:tc>
          <w:tcPr>
            <w:tcW w:type="dxa" w:w="4579"/>
            <w:vAlign w:val="center"/>
            <w:tcMar>
              <w:top w:w="90" w:type="dxa"/>
              <w:left w:w="100" w:type="dxa"/>
              <w:bottom w:w="90" w:type="dxa"/>
              <w:right w:w="100" w:type="dxa"/>
            </w:tcMar>
          </w:tcPr>
          <w:p>
            <w:pPr>
              <w:spacing w:line="276" w:lineRule="exact" w:after="0"/>
            </w:pPr>
            <w:r>
              <w:rPr>
                <w:sz w:val="19"/>
              </w:rPr>
              <w:t>结构化输入＋门控＋规则或统计选择。</w:t>
            </w:r>
          </w:p>
        </w:tc>
        <w:tc>
          <w:tcPr>
            <w:tcW w:type="dxa" w:w="3830"/>
            <w:vAlign w:val="center"/>
            <w:tcMar>
              <w:top w:w="90" w:type="dxa"/>
              <w:left w:w="100" w:type="dxa"/>
              <w:bottom w:w="90" w:type="dxa"/>
              <w:right w:w="100" w:type="dxa"/>
            </w:tcMar>
          </w:tcPr>
          <w:p>
            <w:pPr>
              <w:spacing w:line="276" w:lineRule="exact" w:after="0"/>
            </w:pPr>
            <w:r>
              <w:rPr>
                <w:sz w:val="19"/>
              </w:rPr>
              <w:t>共同正确合同上的推荐基线。</w:t>
            </w:r>
          </w:p>
        </w:tc>
      </w:tr>
      <w:tr>
        <w:trPr>
          <w:cantSplit/>
        </w:trPr>
        <w:tc>
          <w:tcPr>
            <w:tcW w:type="dxa" w:w="1584"/>
            <w:vAlign w:val="center"/>
            <w:tcMar>
              <w:top w:w="90" w:type="dxa"/>
              <w:left w:w="100" w:type="dxa"/>
              <w:bottom w:w="90" w:type="dxa"/>
              <w:right w:w="100" w:type="dxa"/>
            </w:tcMar>
          </w:tcPr>
          <w:p>
            <w:pPr>
              <w:spacing w:line="276" w:lineRule="exact" w:after="0"/>
            </w:pPr>
            <w:r>
              <w:rPr>
                <w:sz w:val="19"/>
              </w:rPr>
              <w:t>R1 LLM基础</w:t>
            </w:r>
          </w:p>
        </w:tc>
        <w:tc>
          <w:tcPr>
            <w:tcW w:type="dxa" w:w="4579"/>
            <w:vAlign w:val="center"/>
            <w:tcMar>
              <w:top w:w="90" w:type="dxa"/>
              <w:left w:w="100" w:type="dxa"/>
              <w:bottom w:w="90" w:type="dxa"/>
              <w:right w:w="100" w:type="dxa"/>
            </w:tcMar>
          </w:tcPr>
          <w:p>
            <w:pPr>
              <w:spacing w:line="276" w:lineRule="exact" w:after="0"/>
            </w:pPr>
            <w:r>
              <w:rPr>
                <w:sz w:val="19"/>
              </w:rPr>
              <w:t>LLM解释及推荐；保留全部执行安全限制，不合格提议记失败。</w:t>
            </w:r>
          </w:p>
        </w:tc>
        <w:tc>
          <w:tcPr>
            <w:tcW w:type="dxa" w:w="3830"/>
            <w:vAlign w:val="center"/>
            <w:tcMar>
              <w:top w:w="90" w:type="dxa"/>
              <w:left w:w="100" w:type="dxa"/>
              <w:bottom w:w="90" w:type="dxa"/>
              <w:right w:w="100" w:type="dxa"/>
            </w:tcMar>
          </w:tcPr>
          <w:p>
            <w:pPr>
              <w:spacing w:line="276" w:lineRule="exact" w:after="0"/>
            </w:pPr>
            <w:r>
              <w:rPr>
                <w:sz w:val="19"/>
              </w:rPr>
              <w:t>原始语义/推荐错误来自哪里。</w:t>
            </w:r>
          </w:p>
        </w:tc>
      </w:tr>
      <w:tr>
        <w:trPr>
          <w:cantSplit/>
        </w:trPr>
        <w:tc>
          <w:tcPr>
            <w:tcW w:type="dxa" w:w="1584"/>
            <w:vAlign w:val="center"/>
            <w:tcMar>
              <w:top w:w="90" w:type="dxa"/>
              <w:left w:w="100" w:type="dxa"/>
              <w:bottom w:w="90" w:type="dxa"/>
              <w:right w:w="100" w:type="dxa"/>
            </w:tcMar>
          </w:tcPr>
          <w:p>
            <w:pPr>
              <w:spacing w:line="276" w:lineRule="exact" w:after="0"/>
            </w:pPr>
            <w:r>
              <w:rPr>
                <w:sz w:val="19"/>
              </w:rPr>
              <w:t>R2 受约束LLM</w:t>
            </w:r>
          </w:p>
        </w:tc>
        <w:tc>
          <w:tcPr>
            <w:tcW w:type="dxa" w:w="4579"/>
            <w:vAlign w:val="center"/>
            <w:tcMar>
              <w:top w:w="90" w:type="dxa"/>
              <w:left w:w="100" w:type="dxa"/>
              <w:bottom w:w="90" w:type="dxa"/>
              <w:right w:w="100" w:type="dxa"/>
            </w:tcMar>
          </w:tcPr>
          <w:p>
            <w:pPr>
              <w:spacing w:line="276" w:lineRule="exact" w:after="0"/>
            </w:pPr>
            <w:r>
              <w:rPr>
                <w:sz w:val="19"/>
              </w:rPr>
              <w:t>增加schema、来源/语义检查、必要澄清和能力门控。</w:t>
            </w:r>
          </w:p>
        </w:tc>
        <w:tc>
          <w:tcPr>
            <w:tcW w:type="dxa" w:w="3830"/>
            <w:vAlign w:val="center"/>
            <w:tcMar>
              <w:top w:w="90" w:type="dxa"/>
              <w:left w:w="100" w:type="dxa"/>
              <w:bottom w:w="90" w:type="dxa"/>
              <w:right w:w="100" w:type="dxa"/>
            </w:tcMar>
          </w:tcPr>
          <w:p>
            <w:pPr>
              <w:spacing w:line="276" w:lineRule="exact" w:after="0"/>
            </w:pPr>
            <w:r>
              <w:rPr>
                <w:sz w:val="19"/>
              </w:rPr>
              <w:t>可靠任务编译带来什么增量。</w:t>
            </w:r>
          </w:p>
        </w:tc>
      </w:tr>
      <w:tr>
        <w:trPr>
          <w:cantSplit/>
        </w:trPr>
        <w:tc>
          <w:tcPr>
            <w:tcW w:type="dxa" w:w="1584"/>
            <w:vAlign w:val="center"/>
            <w:tcMar>
              <w:top w:w="90" w:type="dxa"/>
              <w:left w:w="100" w:type="dxa"/>
              <w:bottom w:w="90" w:type="dxa"/>
              <w:right w:w="100" w:type="dxa"/>
            </w:tcMar>
          </w:tcPr>
          <w:p>
            <w:pPr>
              <w:spacing w:line="276" w:lineRule="exact" w:after="0"/>
            </w:pPr>
            <w:r>
              <w:rPr>
                <w:sz w:val="19"/>
              </w:rPr>
              <w:t>R3 性能辅助LLM</w:t>
            </w:r>
          </w:p>
        </w:tc>
        <w:tc>
          <w:tcPr>
            <w:tcW w:type="dxa" w:w="4579"/>
            <w:vAlign w:val="center"/>
            <w:tcMar>
              <w:top w:w="90" w:type="dxa"/>
              <w:left w:w="100" w:type="dxa"/>
              <w:bottom w:w="90" w:type="dxa"/>
              <w:right w:w="100" w:type="dxa"/>
            </w:tcMar>
          </w:tcPr>
          <w:p>
            <w:pPr>
              <w:spacing w:line="276" w:lineRule="exact" w:after="0"/>
            </w:pPr>
            <w:r>
              <w:rPr>
                <w:sz w:val="19"/>
              </w:rPr>
              <w:t>R2加训练侧性能、成本与范围证据，LLM提出受限选择或计划。</w:t>
            </w:r>
          </w:p>
        </w:tc>
        <w:tc>
          <w:tcPr>
            <w:tcW w:type="dxa" w:w="3830"/>
            <w:vAlign w:val="center"/>
            <w:tcMar>
              <w:top w:w="90" w:type="dxa"/>
              <w:left w:w="100" w:type="dxa"/>
              <w:bottom w:w="90" w:type="dxa"/>
              <w:right w:w="100" w:type="dxa"/>
            </w:tcMar>
          </w:tcPr>
          <w:p>
            <w:pPr>
              <w:spacing w:line="276" w:lineRule="exact" w:after="0"/>
            </w:pPr>
            <w:r>
              <w:rPr>
                <w:sz w:val="19"/>
              </w:rPr>
              <w:t>实测证据能否改善真实计划。</w:t>
            </w:r>
          </w:p>
        </w:tc>
      </w:tr>
    </w:tbl>
    <w:p>
      <w:pPr>
        <w:spacing w:after="0" w:before="0" w:line="240" w:lineRule="auto"/>
      </w:pPr>
      <w:r>
        <w:rPr>
          <w:sz w:val="6"/>
        </w:rPr>
      </w:r>
    </w:p>
    <w:p>
      <w:r>
        <w:t>另以同一金标准合同比较LLM合格集合内排序与统计规则，保持候选和预算相同；记录提议被确定性回退替换的比例。人工金标准输入不冒充免费语言解析，人工时间与信息分开报。 R2相对R1测的是组合效应；主张某条防线的独立作用时再拆消融。</w:t>
      </w:r>
    </w:p>
    <w:p>
      <w:pPr>
        <w:pStyle w:val="Heading3"/>
      </w:pPr>
      <w:r>
        <w:t>把解析与规划的损失拆开</w:t>
      </w:r>
    </w:p>
    <w:p>
      <w:r>
        <w:t>交叉比较人工金标准/LLM解析合同与固定SBS/实际选择四格；所有最终路线均按独立原意合同评分。它能辨认推荐收益、语言前端损失，以及解析错误是否特别伤害选择。终测按母场景和表达模板族留出，同义改写与最小对不跨分区。</w:t>
      </w:r>
    </w:p>
    <w:p>
      <w:r>
        <w:t>报告硬约束遗漏与虚增、整例语义正确、必要/多余澄清、原始计划合法、错误合同接受、按时合法完成、规划质量和全部延迟。全拒绝不能冒充可靠，格式合法不能冒充任务正确。去防线消融优先做离线影子回放；隐藏金标准checker仍保留，绝不为消融放开执行权限。</w:t>
      </w:r>
    </w:p>
    <w:p>
      <w:r>
        <w:t>首次语言交互、后续缓存快路径与人工等待分列；LLM排队、token、修复、门控、选择、求解、回退和checker全计。只有结果解释可读性提高时，就只报告该贡献。</w:t>
      </w:r>
    </w:p>
    <w:p>
      <w:pPr>
        <w:pStyle w:val="Heading2"/>
      </w:pPr>
      <w:r>
        <w:t>3  自动设计和选择的研究定位</w:t>
      </w:r>
    </w:p>
    <w:p>
      <w:r>
        <w:t>本项目最接近的已有研究不是单一LLM规划论文，而是自动配置、算法选择、程序搜索和组合构建的交叉。阅读的用途是缩小可成立的主张，并决定哪些模块直接借用、哪些必须适配。 本文SBS指训练侧选定、部署时固定使用的单一最佳方法；VBS指事后逐例挑最优的虚拟上界。selector是实际选择器，checker是独立验算器。</w:t>
      </w:r>
    </w:p>
    <w:p>
      <w:pPr>
        <w:pStyle w:val="Heading3"/>
      </w:pPr>
      <w:r>
        <w:t>采纳的共同骨架</w:t>
      </w:r>
    </w:p>
    <w:p>
      <w:r>
        <w:t>FunSearch、EoH与ReEvo支持“冻结模型生成程序、真实执行评分、用反馈继续搜索”的骨架。EoH的思想与代码双表示可对接老师主线；反思式反馈可作为受控方法对照。先固定一个生成实现和版本，再通过窄接口接URP，不同时维护多套重复框架。[R5、R6]</w:t>
      </w:r>
    </w:p>
    <w:p>
      <w:r>
        <w:t>ASlib和AutoFolio的价值在性能矩阵、特征费用、状态、分组及选择基线。首版实例推荐宜从廉价树、回归、kNN或规则开始。irace等自动配置挑战LLM是否只是有效地调参数；冻结程序检索挑战生成是否只是重用已有强父代。[R7、R8]</w:t>
      </w:r>
    </w:p>
    <w:p>
      <w:pPr>
        <w:pStyle w:val="Heading3"/>
      </w:pPr>
      <w:r>
        <w:t>直接限制原创性表述的工作</w:t>
      </w:r>
    </w:p>
    <w:p>
      <w:r>
        <w:t>Hydra已经将互补配置构建与实际算法选择相连；SATzilla成员贡献研究以删除成员后重建选择器来评估实际贡献。EoH-S关注互补启发式集合；LACE覆盖合同约束下的LLM组合构建，并提供rank-MILP选库。因而不能把“LLM＋互补库＋推荐”作为充分创新。[R9、R10、R11] DASH已有画像驱动的专长推荐；P142把选择器与执行费用纳入工作流优化，但其决策位置不同于执行前选求解器，需精确比较。[R21]</w:t>
      </w:r>
    </w:p>
    <w:p>
      <w:r>
        <w:t>建议检验的窄差异是：在有特征、探测、选择和回退费用的农业部署合同中，以分组交叉拟合的实际收益给候选信用，并识别它如何改变整个发现过程。实际成员边际、交叉拟合和成本计入各自都有先例；最终贡献必须来自具体机制、受控结果或有解释力的边界。</w:t>
      </w:r>
    </w:p>
    <w:p>
      <w:pPr>
        <w:pStyle w:val="Heading3"/>
      </w:pPr>
      <w:r>
        <w:t>不直接沿用的做法</w:t>
      </w:r>
    </w:p>
    <w:p>
      <w:pPr>
        <w:spacing w:after="100"/>
        <w:ind w:left="144" w:hanging="144"/>
      </w:pPr>
      <w:r>
        <w:t>• 用逐实例事后最优的组合分数冒充可部署推荐。</w:t>
      </w:r>
    </w:p>
    <w:p>
      <w:pPr>
        <w:spacing w:after="100"/>
        <w:ind w:left="144" w:hanging="144"/>
      </w:pPr>
      <w:r>
        <w:t>• 把源码哈希不同当作行为独立，把同一父代快照上的30个候选当30次独立发现。</w:t>
      </w:r>
    </w:p>
    <w:p>
      <w:pPr>
        <w:spacing w:after="100"/>
        <w:ind w:left="144" w:hanging="144"/>
      </w:pPr>
      <w:r>
        <w:t>• 直接移植旧依赖和默认计时；原框架超时、失败、并列排名与许可证均须核对。</w:t>
      </w:r>
    </w:p>
    <w:p>
      <w:pPr>
        <w:spacing w:after="100"/>
        <w:ind w:left="144" w:hanging="144"/>
      </w:pPr>
      <w:r>
        <w:t>• 只比较弱基线，或给LLM免费使用强父代与更多反馈。</w:t>
      </w:r>
    </w:p>
    <w:p>
      <w:pPr>
        <w:spacing w:after="100"/>
        <w:ind w:left="144" w:hanging="144"/>
      </w:pPr>
      <w:r>
        <w:t>• 本地回查发现CALM附录一项基线行对应关系疑点，该项优势证据暂不采纳；不外推为整篇论文不可信。[R21]</w:t>
      </w:r>
    </w:p>
    <w:p>
      <w:pPr>
        <w:pStyle w:val="Heading2"/>
      </w:pPr>
      <w:r>
        <w:t>4  扩库与推荐的四格主实验</w:t>
      </w:r>
    </w:p>
    <w:p>
      <w:r>
        <w:t>扩库子问题依次检验H1强库专长可被识别且净收益为正，H2生成优于同资产配置或检索，H3实际信用改善同池选库，H4该反馈改善完整发现。四项均是待检验假设；最后还需将冻结扩展库放回真实LLM在线链验证。 H1阴性不取消H2的功能验收；生成可能创造原池没有的能力，但须以有限新假设单独验证。</w:t>
      </w:r>
    </w:p>
    <w:p>
      <w:r>
        <w:t>在同一农业合同和总部署预算下，L0为强传统库，L1为训练侧冻结的L0加LLM候选。F为训练侧固定策略，S为实际选择器；损失越低越好。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59"/>
        <w:gridCol w:w="3067"/>
        <w:gridCol w:w="3067"/>
      </w:tblGrid>
      <w:tr>
        <w:trPr>
          <w:cantSplit/>
          <w:tblHeader/>
        </w:trPr>
        <w:tc>
          <w:tcPr>
            <w:tcW w:type="dxa" w:w="3859"/>
            <w:vAlign w:val="center"/>
            <w:tcMar>
              <w:top w:w="90" w:type="dxa"/>
              <w:left w:w="100" w:type="dxa"/>
              <w:bottom w:w="90" w:type="dxa"/>
              <w:right w:w="100" w:type="dxa"/>
            </w:tcMar>
            <w:shd w:fill="E9F0F5"/>
          </w:tcPr>
          <w:p>
            <w:pPr>
              <w:keepNext/>
              <w:spacing w:line="276" w:lineRule="exact" w:after="0"/>
            </w:pPr>
            <w:r>
              <w:rPr>
                <w:b/>
                <w:sz w:val="19"/>
              </w:rPr>
              <w:t>候选库</w:t>
            </w:r>
          </w:p>
        </w:tc>
        <w:tc>
          <w:tcPr>
            <w:tcW w:type="dxa" w:w="3067"/>
            <w:vAlign w:val="center"/>
            <w:tcMar>
              <w:top w:w="90" w:type="dxa"/>
              <w:left w:w="100" w:type="dxa"/>
              <w:bottom w:w="90" w:type="dxa"/>
              <w:right w:w="100" w:type="dxa"/>
            </w:tcMar>
            <w:shd w:fill="E9F0F5"/>
          </w:tcPr>
          <w:p>
            <w:pPr>
              <w:keepNext/>
              <w:spacing w:line="276" w:lineRule="exact" w:after="0"/>
            </w:pPr>
            <w:r>
              <w:rPr>
                <w:b/>
                <w:sz w:val="19"/>
              </w:rPr>
              <w:t>固定策略 F</w:t>
            </w:r>
          </w:p>
        </w:tc>
        <w:tc>
          <w:tcPr>
            <w:tcW w:type="dxa" w:w="3067"/>
            <w:vAlign w:val="center"/>
            <w:tcMar>
              <w:top w:w="90" w:type="dxa"/>
              <w:left w:w="100" w:type="dxa"/>
              <w:bottom w:w="90" w:type="dxa"/>
              <w:right w:w="100" w:type="dxa"/>
            </w:tcMar>
            <w:shd w:fill="E9F0F5"/>
          </w:tcPr>
          <w:p>
            <w:pPr>
              <w:keepNext/>
              <w:spacing w:line="276" w:lineRule="exact" w:after="0"/>
            </w:pPr>
            <w:r>
              <w:rPr>
                <w:b/>
                <w:sz w:val="19"/>
              </w:rPr>
              <w:t>实际选择 S</w:t>
            </w:r>
          </w:p>
        </w:tc>
      </w:tr>
      <w:tr>
        <w:trPr>
          <w:cantSplit/>
        </w:trPr>
        <w:tc>
          <w:tcPr>
            <w:tcW w:type="dxa" w:w="3859"/>
            <w:vAlign w:val="center"/>
            <w:tcMar>
              <w:top w:w="90" w:type="dxa"/>
              <w:left w:w="100" w:type="dxa"/>
              <w:bottom w:w="90" w:type="dxa"/>
              <w:right w:w="100" w:type="dxa"/>
            </w:tcMar>
          </w:tcPr>
          <w:p>
            <w:pPr>
              <w:spacing w:line="276" w:lineRule="exact" w:after="0"/>
            </w:pPr>
            <w:r>
              <w:rPr>
                <w:sz w:val="19"/>
              </w:rPr>
              <w:t>L0 强传统库</w:t>
            </w:r>
          </w:p>
        </w:tc>
        <w:tc>
          <w:tcPr>
            <w:tcW w:type="dxa" w:w="3067"/>
            <w:vAlign w:val="center"/>
            <w:tcMar>
              <w:top w:w="90" w:type="dxa"/>
              <w:left w:w="100" w:type="dxa"/>
              <w:bottom w:w="90" w:type="dxa"/>
              <w:right w:w="100" w:type="dxa"/>
            </w:tcMar>
          </w:tcPr>
          <w:p>
            <w:pPr>
              <w:spacing w:line="276" w:lineRule="exact" w:after="0"/>
            </w:pPr>
            <w:r>
              <w:rPr>
                <w:sz w:val="19"/>
              </w:rPr>
              <w:t>J00</w:t>
            </w:r>
          </w:p>
        </w:tc>
        <w:tc>
          <w:tcPr>
            <w:tcW w:type="dxa" w:w="3067"/>
            <w:vAlign w:val="center"/>
            <w:tcMar>
              <w:top w:w="90" w:type="dxa"/>
              <w:left w:w="100" w:type="dxa"/>
              <w:bottom w:w="90" w:type="dxa"/>
              <w:right w:w="100" w:type="dxa"/>
            </w:tcMar>
          </w:tcPr>
          <w:p>
            <w:pPr>
              <w:spacing w:line="276" w:lineRule="exact" w:after="0"/>
            </w:pPr>
            <w:r>
              <w:rPr>
                <w:sz w:val="19"/>
              </w:rPr>
              <w:t>J01</w:t>
            </w:r>
          </w:p>
        </w:tc>
      </w:tr>
      <w:tr>
        <w:trPr>
          <w:cantSplit/>
        </w:trPr>
        <w:tc>
          <w:tcPr>
            <w:tcW w:type="dxa" w:w="3859"/>
            <w:vAlign w:val="center"/>
            <w:tcMar>
              <w:top w:w="90" w:type="dxa"/>
              <w:left w:w="100" w:type="dxa"/>
              <w:bottom w:w="90" w:type="dxa"/>
              <w:right w:w="100" w:type="dxa"/>
            </w:tcMar>
          </w:tcPr>
          <w:p>
            <w:pPr>
              <w:spacing w:line="276" w:lineRule="exact" w:after="0"/>
            </w:pPr>
            <w:r>
              <w:rPr>
                <w:sz w:val="19"/>
              </w:rPr>
              <w:t>L1 加LLM候选</w:t>
            </w:r>
          </w:p>
        </w:tc>
        <w:tc>
          <w:tcPr>
            <w:tcW w:type="dxa" w:w="3067"/>
            <w:vAlign w:val="center"/>
            <w:tcMar>
              <w:top w:w="90" w:type="dxa"/>
              <w:left w:w="100" w:type="dxa"/>
              <w:bottom w:w="90" w:type="dxa"/>
              <w:right w:w="100" w:type="dxa"/>
            </w:tcMar>
          </w:tcPr>
          <w:p>
            <w:pPr>
              <w:spacing w:line="276" w:lineRule="exact" w:after="0"/>
            </w:pPr>
            <w:r>
              <w:rPr>
                <w:sz w:val="19"/>
              </w:rPr>
              <w:t>J10</w:t>
            </w:r>
          </w:p>
        </w:tc>
        <w:tc>
          <w:tcPr>
            <w:tcW w:type="dxa" w:w="3067"/>
            <w:vAlign w:val="center"/>
            <w:tcMar>
              <w:top w:w="90" w:type="dxa"/>
              <w:left w:w="100" w:type="dxa"/>
              <w:bottom w:w="90" w:type="dxa"/>
              <w:right w:w="100" w:type="dxa"/>
            </w:tcMar>
          </w:tcPr>
          <w:p>
            <w:pPr>
              <w:spacing w:line="276" w:lineRule="exact" w:after="0"/>
            </w:pPr>
            <w:r>
              <w:rPr>
                <w:sz w:val="19"/>
              </w:rPr>
              <w:t>J11</w:t>
            </w:r>
          </w:p>
        </w:tc>
      </w:tr>
    </w:tbl>
    <w:p>
      <w:pPr>
        <w:spacing w:after="0" w:before="0" w:line="240" w:lineRule="auto"/>
      </w:pPr>
      <w:r>
        <w:rPr>
          <w:sz w:val="6"/>
        </w:rPr>
      </w:r>
    </w:p>
    <w:p>
      <w:r>
        <w:t>报告旧库推荐J00−J01、扩库固定J00−J10、新库推荐J10−J11、同类选择政策下扩库J01−J11及整体J00−J11。讨论互补时再报(J10−J11)−(J00−J01)；交互为零不否定更强单算法的价值。选择器族、调参机会、信息和费用相同，两库各自训练。SBS还要面对同预算固定组合，合法率单报。</w:t>
      </w:r>
    </w:p>
    <w:p>
      <w:pPr>
        <w:pStyle w:val="Heading3"/>
      </w:pPr>
      <w:r>
        <w:t>挑战与同池比较</w:t>
      </w:r>
    </w:p>
    <w:p>
      <w:r>
        <w:t>Lcfg以同组件/参数空间做随机及自动配置，Lret以冻结强程序或父代检索；至少加入两者加S。强父代和历史反馈不能只免费给LLM。固定同一候选池、同库规模后，比较均值Top-k、EoH-S式CPI、LACE式rank-MILP、Hydra式增库与既有实际成员边际。[R9至R11]</w:t>
      </w:r>
    </w:p>
    <w:p>
      <w:pPr>
        <w:pStyle w:val="Heading3"/>
      </w:pPr>
      <w:r>
        <w:t>信用与发现分开验证</w:t>
      </w:r>
    </w:p>
    <w:p>
      <w:r>
        <w:t>内层按母组交叉拟合，估计L与L加候选在相同选择器和预算下的实际损失差，同时记录误选、合法率、尾部与费用。VBS改善而S不改善是未兑现机会；新成员普遍胜出则是单算法贡献。</w:t>
      </w:r>
    </w:p>
    <w:p>
      <w:r>
        <w:t>闭环只改变信用/反馈，其余模型、父代、接口与主预算固定；每次独立重启重新发现、冻结并到未见母组部署。同池有效不能证明生成分布改善。先做只换信用、只换选择器、移除成本及同预算多跑择优等最少消融，不把多个变化都归给一个机制。</w:t>
      </w:r>
    </w:p>
    <w:p>
      <w:bookmarkStart w:id="6000" w:name="part_5"/>
      <w:pPr>
        <w:pStyle w:val="Heading1"/>
      </w:pPr>
      <w:r>
        <w:t>五 探索方向与最小实验</w:t>
      </w:r>
      <w:bookmarkEnd w:id="6000"/>
    </w:p>
    <w:p>
      <w:pPr>
        <w:pStyle w:val="Heading2"/>
      </w:pPr>
      <w:r>
        <w:t>1  探索组合与投入原则</w:t>
      </w:r>
    </w:p>
    <w:p>
      <w:r>
        <w:t>本章保留学习型路线改进、动态预算、LLM程序演化、开放模型后训练、生成多样性、agent执行与世界模型等研究空间。它们共同服务于农业任务的真实理解、合法执行、强算法库与实际推荐，但各自需要独立研究问题、数据和对照。</w:t>
      </w:r>
    </w:p>
    <w:p>
      <w:r>
        <w:t>投入顺序以主链为先：受约束LLM任务编译与注册工具实际执行，以及强传统库/LLM扩充库、固定策略/真实selector的四格归因。跨合同适应和运行中预算决策可优先作近端分支；其余方向保留资格与最小实验入口。这里的集中投入、暂缓或收缩均是研究安排建议，不表示用户取消某方向或正式课题能力。</w:t>
      </w:r>
    </w:p>
    <w:p>
      <w:pPr>
        <w:pStyle w:val="Heading2"/>
      </w:pPr>
      <w:r>
        <w:t>2  学习型路线改进与合同感知表示</w:t>
      </w:r>
    </w:p>
    <w:p>
      <w:pPr>
        <w:pStyle w:val="Heading3"/>
      </w:pPr>
      <w:r>
        <w:t>研究问题</w:t>
      </w:r>
    </w:p>
    <w:p>
      <w:r>
        <w:t>学习型路线方法分为三个可单独识别的角色：构造策略根据部分解生成下一服务动作；改进搜索从完整可行解中选择破坏、再插入或局部移动；决策小模型只判断哪个候选动作、子问题或昂贵评价值得执行。三者均作为算法库可替代成员，研究在真实通行、资源及方向信息完整后，是否仍能以更少总计算获得更好的合法路线。</w:t>
      </w:r>
    </w:p>
    <w:p>
      <w:r>
        <w:t>RRNCO类矩阵感知模型用于检验输入表示与路由决策；NDS作为学习破坏/再插入方向的前次调研候选入口；树、bandit、编辑价值头或图条件算子策略承担窄决策。应把补齐信息、网络表示、搜索动作和调度收益拆开，避免改换整个系统后无法归因。</w:t>
      </w:r>
    </w:p>
    <w:p>
      <w:pPr>
        <w:pStyle w:val="Heading3"/>
      </w:pPr>
      <w:r>
        <w:t>已有资产与事实边界</w:t>
      </w:r>
    </w:p>
    <w:p>
      <w:r>
        <w:t>已有NL124结果、精确参照与turn_modes资格平台可直接复用，具体规模与支持域见“已有资产”及“转向与跨合同适应”。当前小合同的强P已达自身精确终值，学习实验应先确认时间到目标、合理规模或真实任务变化仍有改进空间。</w:t>
      </w:r>
    </w:p>
    <w:p>
      <w:r>
        <w:t>前次调研已留下NDS论文与代码入口，讨论用途为学习破坏/再插入，尚未复现。应明确标为“前次调研候选入口，版本及URP合同适配待核”，不能声称已在项目执行或已支持G/exact-K。RRNCO和URS已被原评议列为矩阵感知近邻，“加入真实G”本身不构成首次非欧氏建模。</w:t>
      </w:r>
    </w:p>
    <w:p>
      <w:pPr>
        <w:pStyle w:val="Heading3"/>
      </w:pPr>
      <w:r>
        <w:t>下一项最小实验</w:t>
      </w:r>
    </w:p>
    <w:p>
      <w:r>
        <w:t>先固定一个已验合同、传统初始化器、独立checker和总预算，绘制强传统方法的质量—成本曲线，确认仍有实用改进空间。构造、完整解改进与小模型决策分别做资格，不把任何一个局部成功解释为端到端学习系统已胜出。</w:t>
      </w:r>
    </w:p>
    <w:p>
      <w:r>
        <w:t>构造支线从同一合法状态编码开始，比较简单特征、矩阵编码及必要资源/模式状态；资格小例包括相同坐标而G不同、少车/空车、重复服务和全mask终态。三个不可拆需求各3、两辆容量5的车即使总需求9≤10仍不能完成，说明局部合法mask不保证最终可完成。损失比较另行固定输入：先同骨干BC、回报条件BC与离散IQL，再判断是否有必要增加历史或DT。</w:t>
      </w:r>
    </w:p>
    <w:p>
      <w:r>
        <w:t>NDS改进搜索支线先核定固定提交、模型接口、目标和动作含义，再以共同完整可行初解为起点，保持破坏规模、修复器、接受准则、停止条件和总预算一致，只替换破坏/再插入选择中的一个学习组件。先固定修复器比较学习破坏、随机破坏、距离或代价贡献规则、原生自适应选择；如果实现无法拆分，先做忠实整法复现，再明确整法结果不能单独归因于破坏策略。</w:t>
      </w:r>
    </w:p>
    <w:p>
      <w:r>
        <w:t>随后检验破坏与修复的交互：固定学习组件，仅替换共同的贪心/后悔插入或强传统修复器，记录可行恢复率、每次破坏—修复成本、期限内最优合法质量及重复启动方差。固定候选数和端到端墙钟分别报告。原生欧氏权重与目标合同若不一致，先适配/重训并计成本，不把缺G的旧权重作为唯一神经对手。</w:t>
      </w:r>
    </w:p>
    <w:p>
      <w:r>
        <w:t>决策小模型支线只预测少数昂贵修复、模式连接或子区域求解的收益；便宜且可精确计算的整数G即时delta继续直接算。固定执行器与候选动作，比较规则、树、bandit和小价值头，评价排序及错误选择的净损失；有稳定跨步效应后才进入动态预算分支。</w:t>
      </w:r>
    </w:p>
    <w:p>
      <w:pPr>
        <w:pStyle w:val="Heading3"/>
      </w:pPr>
      <w:r>
        <w:t>强简单对照</w:t>
      </w:r>
    </w:p>
    <w:p>
      <w:r>
        <w:t>所有角色共享同合同强PyVRP/HGS类求解器、正确mode-aware传统搜索和精确小例，不移除已胜出的强法。构造支线保留贪心构造、BC与回报条件BC；改进搜索支线保留固定邻域随机/贪心排序、随机与规则破坏、原生ALNS自适应权重、共同修复器下的多启动；决策小模型保留规则、树和简单bandit。</w:t>
      </w:r>
    </w:p>
    <w:p>
      <w:r>
        <w:t>若候选只调整温度、权重、破坏比例或move优先级，增加同空间随机搜索及irace。控制初始化、repair、局搜、信息权限、参数调优与端到端预算；允许传统基线使用与学习法相同的真实G和资源状态。</w:t>
      </w:r>
    </w:p>
    <w:p>
      <w:pPr>
        <w:pStyle w:val="Heading3"/>
      </w:pPr>
      <w:r>
        <w:t>数据条件</w:t>
      </w:r>
    </w:p>
    <w:p>
      <w:r>
        <w:t>构造数据至少记录完整状态、真实G、资源/模式、合法动作集、动作、后继、奖励、终止与费用。终局路线可回放为构造样本，但不能恢复原求解器的destroy动作、原来探索过的分支或其长程价值。</w:t>
      </w:r>
    </w:p>
    <w:p>
      <w:r>
        <w:t>改进搜索需记录破坏前完整解、被移除对象、破坏强度、再插入顺序或修复调用、接受/拒绝、后继解及全部成本；仅回放最终路线无法补出这些动作。NDS数据和权重资格须先核对原任务、G输入、车数、动作支持域与训练费用，暂不把前次调研入口算作已有轨迹。</w:t>
      </w:r>
    </w:p>
    <w:p>
      <w:r>
        <w:t>CDQAC的离散IQL可借损失与实现参照，其调度动作是工序×机器，buffer通过索引与并行环境数恢复后继，依赖同步等长采集。变长或异步VRP需显式保存episode、step、next_state、合法集及终止原因，测试非法数据动作、超时截断和终态。其低质数据结果受密集目标一致奖励、完整等长轨迹等条件约束，不能外推为随机数据普遍更好。</w:t>
      </w:r>
    </w:p>
    <w:p>
      <w:r>
        <w:t>新母田块/母图按组留出，旧NL124和反复查看的turn根图继续作开发与资格集。训练、建图、GPU传输、推断、局搜及checker均计费；公开权重需重新核对欧氏目标、车数与规模支持域。</w:t>
      </w:r>
    </w:p>
    <w:p>
      <w:pPr>
        <w:pStyle w:val="Heading3"/>
      </w:pPr>
      <w:r>
        <w:t>近邻与研究增量</w:t>
      </w:r>
    </w:p>
    <w:p>
      <w:r>
        <w:t>RRNCO/URS限制非欧氏表示的新颖性主张；NDS使学习破坏/再插入成为必须面对的近邻，现阶段仍是版本与URP合同适配待核的候选入口。DR-ALNS已有算子、破坏强度和接受温度学习，不能将这些角色第一次接在一起宣称为新机制。</w:t>
      </w:r>
    </w:p>
    <w:p>
      <w:r>
        <w:t>CDQAC提供离散离线学习参照，RL4CO提供环境接口。项目增量应落在农业合同需要的状态、可完成性、同成本动作决策、修复交互或跨母场景表现；使用GNN、IQL、NDS或历史窗口本身不是贡献。</w:t>
      </w:r>
    </w:p>
    <w:p>
      <w:pPr>
        <w:pStyle w:val="Heading3"/>
      </w:pPr>
      <w:r>
        <w:t>保留与收缩条件</w:t>
      </w:r>
    </w:p>
    <w:p>
      <w:r>
        <w:t>若在未见母场景、同信息同成本下仍提高合法率或anytime质量，且简单规则无法解释增益，保留该学习成员并进入统一算法库四格实验；模型可能仅在一个合同或预算区间有用，可按支持域注册。</w:t>
      </w:r>
    </w:p>
    <w:p>
      <w:r>
        <w:t>若正确传统状态扩展已解释全部收益，或新增模型只击败缺信息/违规版本，应将结论收缩为可靠建模。若强求解器已精确解决目标、推断开销吞掉改进或泛化失败，不扩大网络规模；这不取消学习型路线方向，也不删除正式推荐功能。</w:t>
      </w:r>
    </w:p>
    <w:p>
      <w:pPr>
        <w:spacing w:before="100" w:after="0" w:line="240" w:lineRule="exact"/>
      </w:pPr>
      <w:r>
        <w:rPr>
          <w:color w:val="444444"/>
          <w:sz w:val="18"/>
        </w:rPr>
        <w:t>重要来源：[ER51]、[ER52]、[ER01]、[ER02]、[ER03]、[ER04]、[ER05]、[ER47]、[ER50]。项目历史事实另见[R4]；ER编号对应文末探索方法来源。</w:t>
      </w:r>
    </w:p>
    <w:p>
      <w:pPr>
        <w:pStyle w:val="Heading2"/>
      </w:pPr>
      <w:r>
        <w:t>3  动态调度与运行中预算决策</w:t>
      </w:r>
    </w:p>
    <w:p>
      <w:pPr>
        <w:pStyle w:val="Heading3"/>
      </w:pPr>
      <w:r>
        <w:t>研究问题</w:t>
      </w:r>
    </w:p>
    <w:p>
      <w:r>
        <w:t>动态分支研究下一次计算是否值得：在已观察的运行进展与剩余预算下，继续当前程序、重启、切换求解器、调用哪个算子或提高评价深度，哪项决策能改善期限内的合法结果？实例前选solver、运行中选动作、发现时选父代/评价、固定池选库是四个不同接口，不能用其中一层的成功替另一层补证。</w:t>
      </w:r>
    </w:p>
    <w:p>
      <w:pPr>
        <w:pStyle w:val="Heading3"/>
      </w:pPr>
      <w:r>
        <w:t>已有资产与事实边界</w:t>
      </w:r>
    </w:p>
    <w:p>
      <w:r>
        <w:t>已有BPP、VRPTW、CVRP性能矩阵可以诊断固定库与静态选择；仅有终局分数不足以学习序贯控制。原评议记录PyVRP观察器缺动作和逐步路线，不能从统计进展补造完整状态—动作轨迹。当前runner是否支持真实继续与切换仍需逐算法核验。</w:t>
      </w:r>
    </w:p>
    <w:p>
      <w:r>
        <w:t>NAS另有8架构×5发现seed和5确认seed，共80条完整训练轨迹、1600行epoch记录；2 epoch为同次20 epoch训练的前缀，两种保真度选中同架构。它可作等质省计算的记录与多保真诊断资产，不能当农业控制监督；checkpoint真实恢复语义仍需核查。</w:t>
      </w:r>
    </w:p>
    <w:p>
      <w:pPr>
        <w:pStyle w:val="Heading3"/>
      </w:pPr>
      <w:r>
        <w:t>下一项最小实验</w:t>
      </w:r>
    </w:p>
    <w:p>
      <w:r>
        <w:t>先选择一种合同和少量强程序，记录完整anytime曲线与合法incumbent，辨别是否出现可重复且部署时可预测的预算—质量差异。区分三种变化轴：一个程序随运行时间改善、生成谱系随代数改善、同一组件随搭档变化才有用。它们各需固定另外两轴。</w:t>
      </w:r>
    </w:p>
    <w:p>
      <w:r>
        <w:t>只有存在实际空间，再进行可复位的同状态分支：固定后续策略、剩余预算和环境条件，对继续、重启及少数昂贵动作做成对诊断。随后只改变低频控制策略，固定算法库、总预算与回退。若即时delta可直接用整数G计算，优先预测深修复、高成本几何或长程组合的价值，避免用网络替代便宜加减法。</w:t>
      </w:r>
    </w:p>
    <w:p>
      <w:pPr>
        <w:pStyle w:val="Heading3"/>
      </w:pPr>
      <w:r>
        <w:t>强简单对照</w:t>
      </w:r>
    </w:p>
    <w:p>
      <w:r>
        <w:t>强单算法全预算、训练侧静态selector、固定时间切分与顺序、预定重启、原生ALNS自适应权重、停滞规则、树与简单bandit。先挑战这些策略，再增加长程RL或价值备份。</w:t>
      </w:r>
    </w:p>
    <w:p>
      <w:pPr>
        <w:pStyle w:val="Heading3"/>
      </w:pPr>
      <w:r>
        <w:t>数据条件</w:t>
      </w:r>
    </w:p>
    <w:p>
      <w:r>
        <w:t>状态需包含剩余预算、合法incumbent、已观察进展、必要的搜索/资源状态；记录动作、动作可用性、后继、终止、超时与费用。日志中低平均收益可能来自算子总在困难状态被调用，不能直接当作因果效应。仅用离线日志时必须说明状态充分性、行为覆盖与分布偏移。</w:t>
      </w:r>
    </w:p>
    <w:p>
      <w:r>
        <w:t>probe、状态复制、保存/加载、切换、冷启动、推断和checker全计费。无法resume的程序按冷启动处理，不能把A从零十秒后的好成绩与先跑B一秒的曲线拼接成免费包络。并行墙钟与CPU/GPU总时分别记录。</w:t>
      </w:r>
    </w:p>
    <w:p>
      <w:pPr>
        <w:pStyle w:val="Heading3"/>
      </w:pPr>
      <w:r>
        <w:t>近邻与研究增量</w:t>
      </w:r>
    </w:p>
    <w:p>
      <w:r>
        <w:t>DR-ALNS已学习算子、破坏强度和接受温度，Learning to Delegate已选择交给传统求解器的子问题。MuEvo主要处理协作组件及可逆生命周期，其FE不含所有探测、生成和修复成本，并不自动解决任意程序慢启动删失。新意需要来自明确的状态信息、可恢复决策或净成本机制。</w:t>
      </w:r>
    </w:p>
    <w:p>
      <w:pPr>
        <w:pStyle w:val="Heading3"/>
      </w:pPr>
      <w:r>
        <w:t>保留与收缩条件</w:t>
      </w:r>
    </w:p>
    <w:p>
      <w:r>
        <w:t>中间状态相对静态特征带来可重复预测增量，且决策收益扣除控制与恢复成本后仍超出预定实用阈值，才增加策略复杂度。导航碰撞检查、覆盖连接、VRP子区域修复可复用这一评价原则，但动作网络和标签不自动通用。</w:t>
      </w:r>
    </w:p>
    <w:p>
      <w:r>
        <w:t>没有排名反转、只有人工延迟才能产生信号、固定调度实用等效或高频回调吞掉节约，就保留静态/低频规则。未收集够动作覆盖时先补诊断，不能把缺数据等同于RL方向无效，也不能事后改变预算定义制造收益。</w:t>
      </w:r>
    </w:p>
    <w:p>
      <w:pPr>
        <w:spacing w:before="100" w:after="0" w:line="240" w:lineRule="exact"/>
      </w:pPr>
      <w:r>
        <w:rPr>
          <w:color w:val="444444"/>
          <w:sz w:val="18"/>
        </w:rPr>
        <w:t>重要来源：[ER05]、[ER06]、[ER07]、[ER08]、[ER48]。项目历史事实另见[R4]；ER编号对应文末探索方法来源。</w:t>
      </w:r>
    </w:p>
    <w:p>
      <w:pPr>
        <w:pStyle w:val="Heading2"/>
      </w:pPr>
      <w:r>
        <w:t>4  LLM生成 修复与可迁移程序演化</w:t>
      </w:r>
    </w:p>
    <w:p>
      <w:pPr>
        <w:pStyle w:val="Heading3"/>
      </w:pPr>
      <w:r>
        <w:t>研究问题</w:t>
      </w:r>
    </w:p>
    <w:p>
      <w:r>
        <w:t>保持冻结LLM也能研究自动算法设计。核心问题是同一父代和修改预算下，标量分数、结构化失败定位、可执行反例或历史检索，哪些信息能提高合法改进的获得率，并将收益保留到未见母实例、错误族和代码家系？合同适配与启发式优化应分别评价。</w:t>
      </w:r>
    </w:p>
    <w:p>
      <w:pPr>
        <w:pStyle w:val="Heading3"/>
      </w:pPr>
      <w:r>
        <w:t>已有资产与事实边界</w:t>
      </w:r>
    </w:p>
    <w:p>
      <w:r>
        <w:t>P2批次60槽生成档案已有提示、父代、回答、CLI回执及哈希，分阶段43完整评分、7静态拒绝、10生成失败；EOH共享冻结父代快照。P1、P2是两批生成记录，并非连续两代或独立发现重复。生成runner负责请求留痕，不负责评分、父代更新或入库。</w:t>
      </w:r>
    </w:p>
    <w:p>
      <w:r>
        <w:t>另有紧凑DAG的22次物理请求和真实选择记录；10请求含FF/BF父程序，14次父代引用均来自FF/BF，没有生成后代被选作后续父代，最终均选FF。15候选结构拒绝、7进入四例评价、仅4个完整有效fitness。它是有价值的局部编辑诊断，不能与完整Python程序档案混成一条扩张谱系。</w:t>
      </w:r>
    </w:p>
    <w:p>
      <w:r>
        <w:t>新20序列EOH负结果及IID缺失比较沿用“已知失效”口径，不因后续设计而覆盖原始结果。</w:t>
      </w:r>
    </w:p>
    <w:p>
      <w:pPr>
        <w:pStyle w:val="Heading3"/>
      </w:pPr>
      <w:r>
        <w:t>下一项最小实验</w:t>
      </w:r>
    </w:p>
    <w:p>
      <w:r>
        <w:t>固定模型、父代、可编辑函数、候选数和旧能力保护集，仅替换反馈。比较标量分数、结构化定位、完整失败实例、保语义缩减反例，并加入不需要修改的任务及同长度无关反馈。分别用固定token和固定评价核秒报告，不把提取代码更方便或更多反馈token当规划知识。</w:t>
      </w:r>
    </w:p>
    <w:p>
      <w:r>
        <w:t>优先从turn_modes的窄接口试验：合同适配只修车辆数、depot或成本接口；启发式迁移则保持服务与车队语义，改变转向成本/禁转，仅提议顺序或邻域优先级，固定模式DP与checker。比较隐藏合同通过、旧能力回归、合法质量及适应全成本。</w:t>
      </w:r>
    </w:p>
    <w:p>
      <w:r>
        <w:t>迁移反例必须真的区分合同。NL124有12个单位需求、Q=5、K=3，在单趟无补给条件下，至多3车与恰3车可行域相同，不能用于证明该迁移。可先使用2个单位需求、Q=2、K=2的见证；缩减反例须保留输入合法、相同失败谓词及目标可行性。</w:t>
      </w:r>
    </w:p>
    <w:p>
      <w:pPr>
        <w:pStyle w:val="Heading3"/>
      </w:pPr>
      <w:r>
        <w:t>强简单对照</w:t>
      </w:r>
    </w:p>
    <w:p>
      <w:r>
        <w:t>源程序零样本、不改代码而调用正确新evaluate的强mode-aware搜索、目标从零生成、独立重采样、冻结检索、手写一次适配、同空间随机搜索/irace，以及成熟修复循环。表达接口可比较自由Python、窄API和typed DSL，但空间内公平对照与对外部强手写法的能力差距分开报告。</w:t>
      </w:r>
    </w:p>
    <w:p>
      <w:pPr>
        <w:pStyle w:val="Heading3"/>
      </w:pPr>
      <w:r>
        <w:t>数据条件</w:t>
      </w:r>
    </w:p>
    <w:p>
      <w:r>
        <w:t>完整编辑单元包含经确认的旧/新合同、父代及家系、允许补丁、原始反馈与失败见证、所有候选、保护集、分阶段结果和全成本。程序哈希与行为/家系去重分开；测试反馈不得进入检索档案。词法、AST与行为指纹检索共用能力过滤，行为测试另收费。</w:t>
      </w:r>
    </w:p>
    <w:p>
      <w:r>
        <w:t>小型合同试验先识别机制，完整发现结论再做独立流程重启、开发侧选择和未触碰终测。原turn的12根图和反复查看的数据作为开发集，新增母图独立留出。父代选择回放只改变旧候选选择分布，不是新后代实验。</w:t>
      </w:r>
    </w:p>
    <w:p>
      <w:pPr>
        <w:pStyle w:val="Heading3"/>
      </w:pPr>
      <w:r>
        <w:t>近邻与研究增量</w:t>
      </w:r>
    </w:p>
    <w:p>
      <w:r>
        <w:t>EoH已有思想和代码共同进化，AlgoEvo已有诊断经验与技能检索，AHD Agent已有工具诊断及训练后生成策略，“生成—评价—反思”本身不是新机制。ChopChop提供解码时语义约束入口，但普通闭源chat接口未必有逐token控制。LLM-CEGIS-Repair虽有失败反馈和带洞草图，其已核代码没有硬验证洞外不变，并存在依据stdout而非严格退出成功门控的风险；这是静态审计问题，不是已触发复现。应独立采用基础设施失败标unknown、失败即拒绝通过的checker。</w:t>
      </w:r>
    </w:p>
    <w:p>
      <w:pPr>
        <w:pStyle w:val="Heading3"/>
      </w:pPr>
      <w:r>
        <w:t>保留与收缩条件</w:t>
      </w:r>
    </w:p>
    <w:p>
      <w:r>
        <w:t>反例反馈若在未见错误族上降低修复成本且不增加回归，可形成程序可靠性贡献；若合法程序进一步在独立母场景上胜过强搜索/配置，才增加算法优化或迁移知识主张。生成候选必须经离线准入再进入在线注册库。</w:t>
      </w:r>
    </w:p>
    <w:p>
      <w:r>
        <w:t>若只换正确cost即可适配、手写适配/简单检索同效、收益由免费父代或额外搜索解释，就收缩相应机制主张。成功调用现成DP属于可靠适配，不称新规划算法；固定DP和邻域、只学优先级也不称新邻域发现。</w:t>
      </w:r>
    </w:p>
    <w:p>
      <w:pPr>
        <w:spacing w:before="100" w:after="0" w:line="240" w:lineRule="exact"/>
      </w:pPr>
      <w:r>
        <w:rPr>
          <w:color w:val="444444"/>
          <w:sz w:val="18"/>
        </w:rPr>
        <w:t>重要来源：[ER09]、[ER10]、[ER11]、[ER12]、[ER13]、[ER14]、[ER15]、[ER16]、[ER50]。项目历史事实另见[R4]；ER编号对应文末探索方法来源。</w:t>
      </w:r>
    </w:p>
    <w:p>
      <w:pPr>
        <w:pStyle w:val="Heading2"/>
      </w:pPr>
      <w:r>
        <w:t>5  开放LLM后训练与小顾问模型</w:t>
      </w:r>
    </w:p>
    <w:p>
      <w:pPr>
        <w:pStyle w:val="Heading3"/>
      </w:pPr>
      <w:r>
        <w:t>研究问题</w:t>
      </w:r>
    </w:p>
    <w:p>
      <w:r>
        <w:t>后训练的研究问题是同一批任务、程序和反馈，写入参数是否比冻结检索或额外搜索更有效，而不是接口能否微调。完整程序生成、局部编辑和短策略顾问是不同训练对象，应先选一个；普通GLM API改提示或继续调用不属于权重后训练。</w:t>
      </w:r>
    </w:p>
    <w:p>
      <w:pPr>
        <w:pStyle w:val="Heading3"/>
      </w:pPr>
      <w:r>
        <w:t>已有资产与事实边界</w:t>
      </w:r>
    </w:p>
    <w:p>
      <w:r>
        <w:t>当前43个评分程序共用同序五条设计输入。IID的19个不同程序共享1个prompt，形成156个严格偏好对；EOH的24程序属于20个prompt，其中6程序、3提示形成3对。159条偏好边中98.1%来自同一IID提示，不能视为159份独立任务，也不能凭代码哈希不同推断家系独立。跨臂提示/程序交集尚未核。</w:t>
      </w:r>
    </w:p>
    <w:p>
      <w:r>
        <w:t>这些记录可支持单BPP合同的标签与工程资格诊断，尚无可迁移参数信号或农业迁移效果。终局求解表本身不含真实编辑链；无代码的请求失败不能作代码负例，准入拒绝和服务异常分开。公开EvoTune、CALM、Guidance-TTT曾做固定源码核查，不等于项目已安装、训练或运行；本地单个calm.py也不是CALM训练系统。</w:t>
      </w:r>
    </w:p>
    <w:p>
      <w:r>
        <w:t>已有硬件类别记录不证明能训练所选模型。Qwen3.5-4B与Gemma 4 12B官方卡可作开放候选入口，许可、显存、兼容性、mask、吞吐和重载均需实测，不能据型号承诺工期。</w:t>
      </w:r>
    </w:p>
    <w:p>
      <w:pPr>
        <w:pStyle w:val="Heading3"/>
      </w:pPr>
      <w:r>
        <w:t>下一项最小实验</w:t>
      </w:r>
    </w:p>
    <w:p>
      <w:r>
        <w:t>先完成一个开放模型的冻结生成、数据mask、一次小规模适配、adapter保存/重载及独立评价资格。若借EvoTune，固定683b245251e9的src/experiments/main.py，并比较none.yaml与dpo.yaml；其每轮从基座重新训练LoRA，不应描述为接着上一adapter持续更新。</w:t>
      </w:r>
    </w:p>
    <w:p>
      <w:r>
        <w:t>最小有效比较为原基座冻结、原基座加同档案检索、一次LoRA/DPO加同检索，另给冻结组等资源追加搜索。共同未见父代或生成任务用于识别权重能力，开发侧锁定checkpoint与程序；若声称DPO负例/偏好机制有独立价值，再加入同数据高质程序SFT。一次适配后多次搜索只评价该checkpoint，训练方法稳定性需在更外层重复数据采样、适配与checkpoint选择。</w:t>
      </w:r>
    </w:p>
    <w:p>
      <w:r>
        <w:t>小顾问可作为更窄入口：固定强coder、同父代和实现预算，比较规则建议、冻结顾问、廉价排序器与可训练顾问，绑定建议、实际实现、失败和judge结果。若目标是对该coder的实际效用，末端成绩可作标签；只有主张独立于coder的算法思想时，才需重复实现或跨coder检查。</w:t>
      </w:r>
    </w:p>
    <w:p>
      <w:pPr>
        <w:pStyle w:val="Heading3"/>
      </w:pPr>
      <w:r>
        <w:t>强简单对照</w:t>
      </w:r>
    </w:p>
    <w:p>
      <w:r>
        <w:t>冻结强模型、同档案检索、等资源追加搜索、同数据SFT；小顾问使用规则、冻结顾问及小排序器。所有组共享开发资料权限和逐状态上下文，并报告实际曝光量，不能把训练组读过更多历史、继承更好种群的收益全归给权重。</w:t>
      </w:r>
    </w:p>
    <w:p>
      <w:pPr>
        <w:pStyle w:val="Heading3"/>
      </w:pPr>
      <w:r>
        <w:t>数据条件</w:t>
      </w:r>
    </w:p>
    <w:p>
      <w:r>
        <w:t>按合同、评价面板、prompt、程序和谱系整理档案，并以连通关系分组留出；对全pair使用prompt/程序采样或加权敏感性检查，ties、测量不确定和服务故障不强行排序。标签可在训练侧重评，终测保持未触碰。EvoTune/DAR-DPO限制一次采样中程序复用，全pair并非不合法，但不能声称已等价复现其协议。</w:t>
      </w:r>
    </w:p>
    <w:p>
      <w:r>
        <w:t>SFT需可信目标，偏好训练需共同任务下可比优劣，局部编辑另需共同编辑状态和可见信息；在线RL需要足够动作采样与执行预算。若同prompt的全部reward减去同一父代常数后再组内中心化，该常数完全抵消，应先核对advantage是否实际改变。</w:t>
      </w:r>
    </w:p>
    <w:p>
      <w:r>
        <w:t>完整成本包括标签、失败、训练、开发侧选checkpoint、推断与搜索。固定checkpoint评价与外层训练重复分开；若每次未来设计任务净节约ΔC&gt;0，单一成本维度回本需任务数超过C_train/ΔC，不能把一个算法服务很多规划请求当成很多次设计节约。</w:t>
      </w:r>
    </w:p>
    <w:p>
      <w:pPr>
        <w:pStyle w:val="Heading3"/>
      </w:pPr>
      <w:r>
        <w:t>近邻与研究增量</w:t>
      </w:r>
    </w:p>
    <w:p>
      <w:r>
        <w:t>EvoTune已有迭代偏好优化；CALM正式版已有DPO/GRPO与时间分解，不能沿用“未给训练耗时”的旧说法。其CVRP宿主从坐标重算欧氏距离、容量50、内部seed42、所核迭代常数100且无固定K，迁移到G/exact-K须重写合同入口、完整路线输出与独立验算，许可和依赖另核。</w:t>
      </w:r>
    </w:p>
    <w:p>
      <w:r>
        <w:t>Guidance-TTT和PACEvolve++已有小顾问加强执行器，角色拆分本身不是新增机制。Guidance-TTT所核默认1步、2×4 rollout不同于论文级30步、8×16，测试源码存在不等于项目通过。From Search to Signal已有结果信用、种群与权重拆分，其三seed主队列并未普遍胜出，预算锚也不等于逐次精确同墙钟。AHD-Agent所核仓树仅README/许可/图像，不能当现成训练代码。</w:t>
      </w:r>
    </w:p>
    <w:p>
      <w:pPr>
        <w:pStyle w:val="Heading3"/>
      </w:pPr>
      <w:r>
        <w:t>保留与收缩条件</w:t>
      </w:r>
    </w:p>
    <w:p>
      <w:r>
        <w:t>当新任务/家系上的合法改进率、编辑成本或设计总成本稳定超过冻结检索与追加搜索，再扩大数据和模型。训练尚未回本也可形成机制研究，但要明确效益对象和适用范围。</w:t>
      </w:r>
    </w:p>
    <w:p>
      <w:r>
        <w:t>极少独立提示组只做资格诊断，不立刻作训练方法泛化结论。若收益在同档案强基线后消失，或由种群/曝光/更多搜索解释，就暂停额外训练投入并保留冻结路线；这是资源安排与主张收缩，不是用户取消后训练方向。</w:t>
      </w:r>
    </w:p>
    <w:p>
      <w:pPr>
        <w:spacing w:before="100" w:after="0" w:line="240" w:lineRule="exact"/>
      </w:pPr>
      <w:r>
        <w:rPr>
          <w:color w:val="444444"/>
          <w:sz w:val="18"/>
        </w:rPr>
        <w:t>重要来源：[ER17]、[ER18]、[ER19]、[ER20]、[ER21]、[ER22]、[ER23]、[ER24]、[ER25]、[ER26]、[ER27]、[ER28]、[ER29]。项目历史事实另见[R4]；ER编号对应文末探索方法来源。</w:t>
      </w:r>
    </w:p>
    <w:p>
      <w:pPr>
        <w:pStyle w:val="Heading2"/>
      </w:pPr>
      <w:r>
        <w:t>6  生成多样性与变化后的恢复价值</w:t>
      </w:r>
    </w:p>
    <w:p>
      <w:pPr>
        <w:pStyle w:val="Heading3"/>
      </w:pPr>
      <w:r>
        <w:t>研究问题</w:t>
      </w:r>
    </w:p>
    <w:p>
      <w:r>
        <w:t>GFlowNet、扩散或掩码重构的价值应体现在同生成和后处理预算下覆盖不同有用结构，提高达标概率或环境变化后的恢复能力。原始采样熵、路线表示个数、真正不同的方案以及后处理后的实际效用必须分开。</w:t>
      </w:r>
    </w:p>
    <w:p>
      <w:pPr>
        <w:pStyle w:val="Heading3"/>
      </w:pPr>
      <w:r>
        <w:t>已有资产与事实边界</w:t>
      </w:r>
    </w:p>
    <w:p>
      <w:r>
        <w:t>当前对称G、同质3车且路线方向无业务含义时，同一方案通常有3!×2³=48种串行表示；48条不同轨迹可能仍是一个方案。非对称G不能反向去重，异质车不能随意换车号。等价关系必须由任务合同决定，不能统一套用。</w:t>
      </w:r>
    </w:p>
    <w:p>
      <w:r>
        <w:t>GFACS公开固定源码已有GNN边特征、ACO计价和SWAP*距离矩阵链，不能写成只能用坐标；当前对称G可借入口。有向G需审计depot双向特征、对称信息素和反向等价；原生构造无一般exact-K，局搜上限允许空路线，必须统一采样、重评分、后处理与checker的支持集。</w:t>
      </w:r>
    </w:p>
    <w:p>
      <w:pPr>
        <w:pStyle w:val="Heading3"/>
      </w:pPr>
      <w:r>
        <w:t>下一项最小实验</w:t>
      </w:r>
    </w:p>
    <w:p>
      <w:r>
        <w:t>先用传统候选档案检验多样性是否有用途：变化发生前冻结单最佳解、质量匹配的传统多启动档案和学习候选库，规范化去重后控制候选数和原始质量，统一后处理。先测静态达标概率，再用预登记的有限边成本扰动G→G′测热启动质量、恢复时间和错选损失。</w:t>
      </w:r>
    </w:p>
    <w:p>
      <w:r>
        <w:t>边成本改变而容量/K不变时，旧解通常仍满足资源合同，可重评；容量、车数或通行结构变化另测可行恢复，不能混作同一终点。学习机制最小实验固定encoder、合法解码、reward、repair和局搜，仅比较TB与一种替代损失，或一种预定义结构覆盖机制。候选数配平回答样本效率，端到端墙钟配平回答部署效率。</w:t>
      </w:r>
    </w:p>
    <w:p>
      <w:pPr>
        <w:pStyle w:val="Heading3"/>
      </w:pPr>
      <w:r>
        <w:t>强简单对照</w:t>
      </w:r>
    </w:p>
    <w:p>
      <w:r>
        <w:t>传统多启动、无学习ACO、同骨干策略梯度、简单采样与多样性档案，以及单最佳解热启动。引入扩散时固定解码能力和局搜预算，避免把更强后处理归给去噪网络。</w:t>
      </w:r>
    </w:p>
    <w:p>
      <w:pPr>
        <w:pStyle w:val="Heading3"/>
      </w:pPr>
      <w:r>
        <w:t>数据条件</w:t>
      </w:r>
    </w:p>
    <w:p>
      <w:r>
        <w:t>保存原始路线、合同规范化表示、质量、结构距离、候选来源和后处理全部轨迹。若后处理随机，一次相同终点不足以证明所有样本属于同一完整吸引域。候选库必须在变化发生前构建，选择器只能看当时允许的信息。</w:t>
      </w:r>
    </w:p>
    <w:p>
      <w:r>
        <w:t>资格例包括重复客户、少车、空路线、错报成本。GFACS原validate_route的集合覆盖不能排除重复服务，NLS每候选含三段局搜，公开测试计时遗漏GNN前向等步骤；本项目须把建图、推断、传输、全部局搜和checker纳入部署账。训练与标签费用另列，“无近优标签”不等于无计算。</w:t>
      </w:r>
    </w:p>
    <w:p>
      <w:pPr>
        <w:pStyle w:val="Heading3"/>
      </w:pPr>
      <w:r>
        <w:t>近邻与研究增量</w:t>
      </w:r>
    </w:p>
    <w:p>
      <w:r>
        <w:t>GFACS已把学习分布接入ACO且处理相关反向概率；f-Trajectory Balance提供损失替换入口，CAM降低近优标签依赖。新增研究应落在合同一致的支持集、质量匹配后的结构覆盖或扰动恢复，不能把GFlowNet接搜索、更多轨迹或对称去重单独宣称创新。</w:t>
      </w:r>
    </w:p>
    <w:p>
      <w:pPr>
        <w:pStyle w:val="Heading3"/>
      </w:pPr>
      <w:r>
        <w:t>保留与收缩条件</w:t>
      </w:r>
    </w:p>
    <w:p>
      <w:r>
        <w:t>等价去重、原始质量匹配和统一后处理后，学习候选库仍在新母任务或预定变化上改善达标/恢复与净成本，才支持多样性机制。导航通道、覆盖条带方向与区块连接、车辆客户分组可形成真实差异，但只迁移评价原则，不直接共用等价关系。</w:t>
      </w:r>
    </w:p>
    <w:p>
      <w:r>
        <w:t>若优势经规范化消失、统一局搜抹平差异、只是产生更多低质量方案，或传统多启动同墙钟更优，就保留廉价档案并收缩生成分布的部署主张。忠实复现及失效边界可保留为成果，不必取消方向。</w:t>
      </w:r>
    </w:p>
    <w:p>
      <w:pPr>
        <w:spacing w:before="100" w:after="0" w:line="240" w:lineRule="exact"/>
      </w:pPr>
      <w:r>
        <w:rPr>
          <w:color w:val="444444"/>
          <w:sz w:val="18"/>
        </w:rPr>
        <w:t>重要来源：[ER30]、[ER31]、[ER32]、[ER33]、[ER34]、[ER35]。项目历史事实另见[R4]；ER编号对应文末探索方法来源。</w:t>
      </w:r>
    </w:p>
    <w:p>
      <w:pPr>
        <w:pStyle w:val="Heading2"/>
      </w:pPr>
      <w:r>
        <w:t>7  Agent与harness的受约束执行决策</w:t>
      </w:r>
    </w:p>
    <w:p>
      <w:pPr>
        <w:pStyle w:val="Heading3"/>
      </w:pPr>
      <w:r>
        <w:t>研究问题</w:t>
      </w:r>
    </w:p>
    <w:p>
      <w:r>
        <w:t>Harness是模型外的工具、沙箱、版本与执行循环，agent在其中决定下一步调用。方法问题应聚焦何时诊断、重新生成、换父代、增加测试、请求澄清或终止，以及这些决策是否在同预算下提高任务忠实完成率。增加工具和多个角色本身首先是工程实现。</w:t>
      </w:r>
    </w:p>
    <w:p>
      <w:pPr>
        <w:pStyle w:val="Heading3"/>
      </w:pPr>
      <w:r>
        <w:t>已有资产与事实边界</w:t>
      </w:r>
    </w:p>
    <w:p>
      <w:r>
        <w:t>已有真实生成、选择、CLI证据链、BPP面板与历史地图原型；当前产品接入缺口和任务状态要求见技术部分。固定CLI可先做机制实验，前后端全接通不是科研比较前置。</w:t>
      </w:r>
    </w:p>
    <w:p>
      <w:r>
        <w:t>OpenLoopX/LLM4AD Next可作为任务构建、evaluator、代码块建议及EoH、ReEvo、MCTS-AHD的后端来源，README中Impl与Skill不同、FunSearch仍标待实现；依赖、Python版本和合同需实测，仓库存在不等于能直接运行。无需因此替换既有面板，固定CLI也能先做机制试验。</w:t>
      </w:r>
    </w:p>
    <w:p>
      <w:pPr>
        <w:pStyle w:val="Heading3"/>
      </w:pPr>
      <w:r>
        <w:t>下一项最小实验</w:t>
      </w:r>
    </w:p>
    <w:p>
      <w:r>
        <w:t>冻结工具集合、版本、checker、自然故障集合与总预算，仅改变何时调用。对比固定状态机、强规则、廉价bandit和学习agent；先保留结构化任务输入，再单独增加自然语言入口，避免把语义解析与调度收益混合。</w:t>
      </w:r>
    </w:p>
    <w:p>
      <w:r>
        <w:t>故障试验可含超时、重复提交、陈旧地图、无效代码、错误单位和缺失约束；自然失败与人工注入分别报告。评价任务忠实完成、错误终止、无谓调用、恢复费用和最终规划质量，不只统计工具调用成功。恢复动作涉及地图或合同变化时，必须更新任务版本并使旧成本、旧结果及旧证据按规则失效。</w:t>
      </w:r>
    </w:p>
    <w:p>
      <w:pPr>
        <w:pStyle w:val="Heading3"/>
      </w:pPr>
      <w:r>
        <w:t>强简单对照</w:t>
      </w:r>
    </w:p>
    <w:p>
      <w:r>
        <w:t>固定状态机、强规则、标准重试/幂等处理、人工设计的最小澄清规则及简单bandit；相同模型的无学习固定流程。两角色或多agent不是独立性对照，需单独核原意、形式约束与几何真值。</w:t>
      </w:r>
    </w:p>
    <w:p>
      <w:pPr>
        <w:pStyle w:val="Heading3"/>
      </w:pPr>
      <w:r>
        <w:t>数据条件</w:t>
      </w:r>
    </w:p>
    <w:p>
      <w:r>
        <w:t>保存原用户意图、必要澄清与确认、任务合同及来源、工具计划、实际执行ID、工具回执、状态转移、终止理由、失败见证和总费用。离线代码修改与在线工具调用采用不同权限边界：普通在线计划只调用已准入注册版本，地图编辑不自动授权运行新代码。</w:t>
      </w:r>
    </w:p>
    <w:p>
      <w:r>
        <w:t>用户意图与可视编辑需要人工金标和真实修改任务；把“纠正理解”“改变任务”“更新偏好”“表达不确定”分开。公开XML/XSD不包含项目exact-K、容量、全行服务或机具扫掠，不能直接当中文农业合同金标。规则回放可验接口，节省用户时间和减少漏错需要真实参与者证据。</w:t>
      </w:r>
    </w:p>
    <w:p>
      <w:pPr>
        <w:pStyle w:val="Heading3"/>
      </w:pPr>
      <w:r>
        <w:t>近邻与研究增量</w:t>
      </w:r>
    </w:p>
    <w:p>
      <w:r>
        <w:t>AgriAgent已有按能力合同检索、组合工具及生成测试注册；As You Wish已有语言转XML、独立LTL生成和SPIN反馈，农业“语言+工具+验证”不是空白。其300英尺请求与约285×275英尺田块例说明形式验证仍需几何元约束，但不是实车越界事故，也不能只凭两条边长排除300英尺斜向路径。项目可研究原意、形式合同、实际几何的交叉验算。</w:t>
      </w:r>
    </w:p>
    <w:p>
      <w:pPr>
        <w:pStyle w:val="Heading3"/>
      </w:pPr>
      <w:r>
        <w:t>保留与收缩条件</w:t>
      </w:r>
    </w:p>
    <w:p>
      <w:r>
        <w:t>若在未见故障组合和真实任务上，学习调用策略比规则降低错误终止/恢复成本，且任务忠实与最终质量不退化，可研究策略迁移。即使性能推荐无显著净收益，也继续保留正式课题要求的LLM理解、推荐与实际调用，并如实报告其功能或可靠性价值。</w:t>
      </w:r>
    </w:p>
    <w:p>
      <w:r>
        <w:t>规则实用等效时保留规则，不追加通用多agent扩张、自改评估器或自动扩权。纯恢复成功支持系统可靠性，不自动证明优化算法更强；漂亮面板、工具数量和角色分工不作为方法增量。</w:t>
      </w:r>
    </w:p>
    <w:p>
      <w:pPr>
        <w:spacing w:before="100" w:after="0" w:line="240" w:lineRule="exact"/>
      </w:pPr>
      <w:r>
        <w:rPr>
          <w:color w:val="444444"/>
          <w:sz w:val="18"/>
        </w:rPr>
        <w:t>重要来源：[ER36]、[ER37]、[ER38]、[ER39]。项目历史事实另见[R4]；ER编号对应文末探索方法来源。</w:t>
      </w:r>
    </w:p>
    <w:p>
      <w:pPr>
        <w:pStyle w:val="Heading2"/>
      </w:pPr>
      <w:r>
        <w:t>8  世界模型与昂贵后果评价的代理</w:t>
      </w:r>
    </w:p>
    <w:p>
      <w:pPr>
        <w:pStyle w:val="Heading3"/>
      </w:pPr>
      <w:r>
        <w:t>研究问题</w:t>
      </w:r>
    </w:p>
    <w:p>
      <w:r>
        <w:t>世界模型保留为条件性方向，回答给定状态和行动之后的未知后果，或以可验证代理替代昂贵高保真评价。当前静态G已知时，再学习同一距离不会自动增加决策信息；显式禁区可用多边形表达，只有滑移、能耗、载荷影响、土壤压实或高成本模拟确实改变计划选择时，才需要扩展模型。</w:t>
      </w:r>
    </w:p>
    <w:p>
      <w:pPr>
        <w:pStyle w:val="Heading3"/>
      </w:pPr>
      <w:r>
        <w:t>已有资产与事实边界</w:t>
      </w:r>
    </w:p>
    <w:p>
      <w:r>
        <w:t>现有坐标、图、容量与运动学组件支持显式几何和任务验算，不构成未知轮地动力学数据。RELLIS-3D full-stack包包含cmd_vel、轮式里程计、惯导/GPS及电流电压；不能依据主要同步图像与点云的synced包说它只有感知标签。cmd_vel是速度控制层，不是轮胎扭矩，也不能提供未采取动作的任意反事实。</w:t>
      </w:r>
    </w:p>
    <w:p>
      <w:r>
        <w:t>TartanDrive 2.0有公开七小时、最高15m/s的离路数据及下载工具，高速ATV不是低速带农具工况。Chrono地形模型可作模拟起点，默认土壤参数不是项目标定。原材料只确认公开入口，数据已取得、已同步、已校准和项目已训练必须另行登记。</w:t>
      </w:r>
    </w:p>
    <w:p>
      <w:pPr>
        <w:pStyle w:val="Heading3"/>
      </w:pPr>
      <w:r>
        <w:t>下一项最小实验</w:t>
      </w:r>
    </w:p>
    <w:p>
      <w:r>
        <w:t>固定同一批传统算法产生的合法候选计划，先在独立观测或经过校准的模拟器上比较静态成本、运动学加保守误差界、小残差模型与学习模型。首要终点是计划排序、错选损失、危险阈值附近的尾部误判、校准和全成本，之后才检验模型是否帮助LLM生成更稳健算法。</w:t>
      </w:r>
    </w:p>
    <w:p>
      <w:r>
        <w:t>未知后果路线先做行动对齐与必要的同状态不同动作检查；昂贵已知评估路线先验证代理误差以及独立高保真回查。超出行为覆盖时保留拒判或保守策略。模型预测画面逼真、视频相似或自身模拟得分更高均不能替代下游决策证据。</w:t>
      </w:r>
    </w:p>
    <w:p>
      <w:pPr>
        <w:pStyle w:val="Heading3"/>
      </w:pPr>
      <w:r>
        <w:t>强简单对照</w:t>
      </w:r>
    </w:p>
    <w:p>
      <w:r>
        <w:t>静态真实成本、显式运动学、保守上界、小线性/树残差模型及等成本追加精确评测。对比必须共用候选计划、可用观测、回查预算和风险约束，不能因世界模型多看信息而归功于模型结构。</w:t>
      </w:r>
    </w:p>
    <w:p>
      <w:pPr>
        <w:pStyle w:val="Heading3"/>
      </w:pPr>
      <w:r>
        <w:t>数据条件</w:t>
      </w:r>
    </w:p>
    <w:p>
      <w:r>
        <w:t>状态—控制—外部变化—后继必须按控制层级和时间戳对齐，并记录载荷、定位误差、传感质量及场景支持范围。行动后果训练需要足够行为覆盖；农业压实、作物损伤和车辙可能不可逆，不预设正反动作相互抵消。</w:t>
      </w:r>
    </w:p>
    <w:p>
      <w:r>
        <w:t>RELLIS官方60秒full-stack示例约4.2GB，取得和同步有真实成本；仓库标CC BY-NC-SA 3.0，Tartan代码MIT不自动覆盖全部外部数据。采集、标定、训练、推断、数据传输、模拟维护和独立高保真回查全部记账。没有工况校准时可报告参数敏感性或数字试验场，不能称数字孪生或真实部署安全。</w:t>
      </w:r>
    </w:p>
    <w:p>
      <w:pPr>
        <w:pStyle w:val="Heading3"/>
      </w:pPr>
      <w:r>
        <w:t>近邻与研究增量</w:t>
      </w:r>
    </w:p>
    <w:p>
      <w:r>
        <w:t>DINO-WM依赖动作对齐离线数据；JEPA-WMs指出多步预测实现修正会影响规划，即使画面相近；CoCo研究忽略行动影响的捷径。项目增量要由农业工况、行动可辨别性、风险校准或昂贵评估替代的净价值支持，不以“接入世界模型”单独作为贡献。</w:t>
      </w:r>
    </w:p>
    <w:p>
      <w:pPr>
        <w:pStyle w:val="Heading3"/>
      </w:pPr>
      <w:r>
        <w:t>保留与收缩条件</w:t>
      </w:r>
    </w:p>
    <w:p>
      <w:r>
        <w:t>只有模型在独立真实观测或已声明参数范围的高保真回查中，显著减少错选与尾部风险，且强简单模型/额外精确评测不能同成本达到，才纳入主线。预测改进与后续LLM发现收益分别识别。</w:t>
      </w:r>
    </w:p>
    <w:p>
      <w:r>
        <w:t>若简单残差或保守界已同效、未知因素不改变决策、行为覆盖不足或收益仅在模型自产环境成立，就暂缓复杂世界模型主投入，保留数据与模拟资格研究；这不是取消该探索方向。没有行动数据也不应靠生成视频补造物理真值。</w:t>
      </w:r>
    </w:p>
    <w:p>
      <w:pPr>
        <w:spacing w:before="100" w:after="0" w:line="240" w:lineRule="exact"/>
      </w:pPr>
      <w:r>
        <w:rPr>
          <w:color w:val="444444"/>
          <w:sz w:val="18"/>
        </w:rPr>
        <w:t>重要来源：[ER40]、[ER41]、[ER42]、[ER43]、[ER44]、[ER45]、[ER46]。项目历史事实另见[R4]；ER编号对应文末探索方法来源。</w:t>
      </w:r>
    </w:p>
    <w:p>
      <w:pPr>
        <w:pStyle w:val="Heading2"/>
      </w:pPr>
      <w:r>
        <w:t>9  可视编辑与澄清的研究实验</w:t>
      </w:r>
    </w:p>
    <w:p>
      <w:r>
        <w:t>已有地图编辑原型、TaskSpec与独立checker可以组成交互实验；界面工程是否跑通和用户是否更少犯错分别验收。主问题是可视编辑、来源展示和有针对性的澄清，能否提高最终任务忠实度，而非仅提高满意度。</w:t>
      </w:r>
    </w:p>
    <w:p>
      <w:pPr>
        <w:pStyle w:val="Heading3"/>
      </w:pPr>
      <w:r>
        <w:t>下一项最小实验与强简单基线</w:t>
      </w:r>
    </w:p>
    <w:p>
      <w:r>
        <w:t>固定solver、有错初稿和总任务条件，采用文字/可视编辑与固定字段澄清/学习式澄清两因素比较。强简单基线为字段表单、固定澄清和规则修改器；任务顺序平衡。先用离线回放验接口，再用真实参与者测最终意图一致率、关键漏错与人类总时间，满意度、负荷及操作次数作为辅助。</w:t>
      </w:r>
    </w:p>
    <w:p>
      <w:r>
        <w:t>每次修改区分纠正原理解、改变任务、更新偏好与表达不确定，保存原句、前后任务、补丁、确认来源和错误见证。用户点击接受不等于全局最优，新增禁区也不自动证明旧路线违反原始要求。</w:t>
      </w:r>
    </w:p>
    <w:p>
      <w:pPr>
        <w:pStyle w:val="Heading3"/>
      </w:pPr>
      <w:r>
        <w:t>数据条件和保留条件</w:t>
      </w:r>
    </w:p>
    <w:p>
      <w:r>
        <w:t>按参与者、根田块、原始意图和表达模板族留出；生成一千句改写不等于一千个独立意图，学生试点不直接外推农户。样本量依据主终点、预期效应和试点方差确定。若字段表单实用等效，就采用简单方案；若仅满意度增加，结论限于体验；若关键误解与修复时间稳定降低，可形成独立交互贡献。</w:t>
      </w:r>
    </w:p>
    <w:p>
      <w:pPr>
        <w:spacing w:before="100" w:after="0" w:line="240" w:lineRule="exact"/>
      </w:pPr>
      <w:r>
        <w:rPr>
          <w:color w:val="444444"/>
          <w:sz w:val="18"/>
        </w:rPr>
        <w:t>已有近邻：来源：</w:t>
      </w:r>
      <w:hyperlink r:id="rId18">
        <w:r>
          <w:rPr>
            <w:color w:val="204B70"/>
            <w:sz w:val="18"/>
          </w:rPr>
          <w:t>INSPIRED</w:t>
        </w:r>
      </w:hyperlink>
      <w:r>
        <w:rPr>
          <w:color w:val="444444"/>
          <w:sz w:val="18"/>
        </w:rPr>
        <w:t>；</w:t>
      </w:r>
      <w:hyperlink r:id="rId19">
        <w:r>
          <w:rPr>
            <w:color w:val="204B70"/>
            <w:sz w:val="18"/>
          </w:rPr>
          <w:t>机器人语言纠正</w:t>
        </w:r>
      </w:hyperlink>
      <w:r>
        <w:rPr>
          <w:color w:val="444444"/>
          <w:sz w:val="18"/>
        </w:rPr>
        <w:t>；</w:t>
      </w:r>
      <w:hyperlink r:id="rId20">
        <w:r>
          <w:rPr>
            <w:color w:val="204B70"/>
            <w:sz w:val="18"/>
          </w:rPr>
          <w:t>ExTraCT</w:t>
        </w:r>
      </w:hyperlink>
      <w:r>
        <w:rPr>
          <w:color w:val="444444"/>
          <w:sz w:val="18"/>
        </w:rPr>
        <w:t>；</w:t>
      </w:r>
      <w:hyperlink r:id="rId21">
        <w:r>
          <w:rPr>
            <w:color w:val="204B70"/>
            <w:sz w:val="18"/>
          </w:rPr>
          <w:t>既有视觉VRP研究</w:t>
        </w:r>
      </w:hyperlink>
      <w:r>
        <w:rPr>
          <w:color w:val="444444"/>
          <w:sz w:val="18"/>
        </w:rPr>
        <w:t>。</w:t>
      </w:r>
    </w:p>
    <w:p>
      <w:bookmarkStart w:id="7000" w:name="part_6"/>
      <w:pPr>
        <w:pStyle w:val="Heading1"/>
      </w:pPr>
      <w:r>
        <w:t>六 数据 成本与风险</w:t>
      </w:r>
      <w:bookmarkEnd w:id="7000"/>
    </w:p>
    <w:p>
      <w:pPr>
        <w:pStyle w:val="Heading2"/>
      </w:pPr>
      <w:r>
        <w:t>1  数据划分与独立证据单位</w:t>
      </w:r>
    </w:p>
    <w:p>
      <w:r>
        <w:t>必须同时区分母实例、求解随机性与算法发现随机性。更多seed可以估计随机求解波动，但不能增加独立田块、独立任务分布或独立发现次数。已被反复查看的BPP确认集、VRPTW测试及NL124继续用于开发和回归；其未来角色要登记，不再默认是未触碰终测。</w:t>
      </w:r>
    </w:p>
    <w:p>
      <w:pPr>
        <w:pStyle w:val="Heading3"/>
      </w:pPr>
      <w:r>
        <w:t>内层用于学习与选择</w:t>
      </w:r>
    </w:p>
    <w:p>
      <w:r>
        <w:t>发现数据用于生成与反馈，推荐训练数据用于拟合选择器，入库验证用于候选保留与信用比较。数据有限时可在开发侧用分组交叉拟合，但特征标准化、特征筛选、调参、阈值与库规模选择都必须留在内层。生成器可以看到训练侧反馈，不能看到外层测试标签。</w:t>
      </w:r>
    </w:p>
    <w:p>
      <w:pPr>
        <w:pStyle w:val="Heading3"/>
      </w:pPr>
      <w:r>
        <w:t>外层用于评价整个方法</w:t>
      </w:r>
    </w:p>
    <w:p>
      <w:r>
        <w:t>如果研究的是完整发现方法，外层每个重复应重新运行相应发现与选择器学习步骤；若只评价一次独立发现后冻结的库，就明确该范围。把同一库的多个solver seed当独立发现，或在外折结果指导生成后仍称它外层测试，都会夸大证据。</w:t>
      </w:r>
    </w:p>
    <w:p>
      <w:pPr>
        <w:pStyle w:val="Heading3"/>
      </w:pPr>
      <w:r>
        <w:t>怎样形成母组</w:t>
      </w:r>
    </w:p>
    <w:p>
      <w:pPr>
        <w:spacing w:after="100"/>
        <w:ind w:left="144" w:hanging="144"/>
      </w:pPr>
      <w:r>
        <w:t>• 同一田块的旋转、点位再采样、容量/半径变化、作业行配置和所有seed归同组。</w:t>
      </w:r>
    </w:p>
    <w:p>
      <w:pPr>
        <w:spacing w:after="100"/>
        <w:ind w:left="144" w:hanging="144"/>
      </w:pPr>
      <w:r>
        <w:t>• 同一母图跨点、行、面任务仍整体留出，才能声称未见场景。</w:t>
      </w:r>
    </w:p>
    <w:p>
      <w:pPr>
        <w:spacing w:after="100"/>
        <w:ind w:left="144" w:hanging="144"/>
      </w:pPr>
      <w:r>
        <w:t>• BPP同多重集不同顺序相关；同前缀异未来风险组按构造组分析。</w:t>
      </w:r>
    </w:p>
    <w:p>
      <w:pPr>
        <w:spacing w:after="100"/>
        <w:ind w:left="144" w:hanging="144"/>
      </w:pPr>
      <w:r>
        <w:t>• 按来源、空间邻近与生成程序检查隐性重复；哈希不相同并不自动独立。</w:t>
      </w:r>
    </w:p>
    <w:p>
      <w:pPr>
        <w:pStyle w:val="Heading3"/>
      </w:pPr>
      <w:r>
        <w:t>信息可得时点与统计</w:t>
      </w:r>
    </w:p>
    <w:p>
      <w:r>
        <w:t>推荐特征只使用决策时可得信息。probe允许获取新信息，但必须支付真实费用。分析采用母组配对差异和适当的不确定性估计；发现机制另考虑独立重启波动。实践意义阈值由农业价值与开发侧变异决定，不在确认集上选一个最有利阈值。</w:t>
      </w:r>
    </w:p>
    <w:p>
      <w:r>
        <w:t>分别报告域内新母实例、规模或预算外推、来源与结构分布变化。未显著不等于等效，零观测失败不等于安全认证。样本量与重复由方差、实际效应和主张决定，没有通用的顶刊最低数量。</w:t>
      </w:r>
    </w:p>
    <w:p>
      <w:pPr>
        <w:pStyle w:val="Heading2"/>
      </w:pPr>
      <w:r>
        <w:t>2  成本 失败与部署风险</w:t>
      </w:r>
    </w:p>
    <w:p>
      <w:pPr>
        <w:pStyle w:val="Heading3"/>
      </w:pPr>
      <w:r>
        <w:t>离线与部署两本账</w:t>
      </w:r>
    </w:p>
    <w:p>
      <w:r>
        <w:t>离线账包括数据和性能标签、生成调用、修复与失败、准入、候选评测、配置搜索、选择器训练和调参、信用估计，以及独立发现重启。历史父代和预训练资产同时说明完整成本与本轮增量；未知费用保持unknown。</w:t>
      </w:r>
    </w:p>
    <w:p>
      <w:r>
        <w:t>部署账覆盖构图或几何编译、特征、probe、选择、求解、后备和checker。若目标是期限内返回可信解，验算也必须在期限内。冷启动与缓存、墙钟与核秒分列；端到端时延还包括排队、通信和结果回收，不能只拿solver内部计时代表用户等待。</w:t>
      </w:r>
    </w:p>
    <w:p>
      <w:r>
        <w:t>不要求token、请求数、CPU和墙钟同时机械相等。预先指定与研究问题相符的主资源上限，披露其他实耗及预算—效果曲线。同调用数不等于成本公平；免费并行也不等于同硬件预算。</w:t>
      </w:r>
    </w:p>
    <w:p>
      <w:pPr>
        <w:pStyle w:val="Heading3"/>
      </w:pPr>
      <w:r>
        <w:t>失败和缺失各有语义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3"/>
        <w:gridCol w:w="4277"/>
        <w:gridCol w:w="3744"/>
      </w:tblGrid>
      <w:tr>
        <w:trPr>
          <w:cantSplit/>
          <w:tblHeader/>
        </w:trPr>
        <w:tc>
          <w:tcPr>
            <w:tcW w:type="dxa" w:w="1973"/>
            <w:vAlign w:val="center"/>
            <w:tcMar>
              <w:top w:w="90" w:type="dxa"/>
              <w:left w:w="100" w:type="dxa"/>
              <w:bottom w:w="90" w:type="dxa"/>
              <w:right w:w="100" w:type="dxa"/>
            </w:tcMar>
            <w:shd w:fill="E9F0F5"/>
          </w:tcPr>
          <w:p>
            <w:pPr>
              <w:keepNext/>
              <w:spacing w:line="276" w:lineRule="exact" w:after="0"/>
            </w:pPr>
            <w:r>
              <w:rPr>
                <w:b/>
                <w:sz w:val="19"/>
              </w:rPr>
              <w:t>状态</w:t>
            </w:r>
          </w:p>
        </w:tc>
        <w:tc>
          <w:tcPr>
            <w:tcW w:type="dxa" w:w="4277"/>
            <w:vAlign w:val="center"/>
            <w:tcMar>
              <w:top w:w="90" w:type="dxa"/>
              <w:left w:w="100" w:type="dxa"/>
              <w:bottom w:w="90" w:type="dxa"/>
              <w:right w:w="100" w:type="dxa"/>
            </w:tcMar>
            <w:shd w:fill="E9F0F5"/>
          </w:tcPr>
          <w:p>
            <w:pPr>
              <w:keepNext/>
              <w:spacing w:line="276" w:lineRule="exact" w:after="0"/>
            </w:pPr>
            <w:r>
              <w:rPr>
                <w:b/>
                <w:sz w:val="19"/>
              </w:rPr>
              <w:t>主分析处理</w:t>
            </w:r>
          </w:p>
        </w:tc>
        <w:tc>
          <w:tcPr>
            <w:tcW w:type="dxa" w:w="3744"/>
            <w:vAlign w:val="center"/>
            <w:tcMar>
              <w:top w:w="90" w:type="dxa"/>
              <w:left w:w="100" w:type="dxa"/>
              <w:bottom w:w="90" w:type="dxa"/>
              <w:right w:w="100" w:type="dxa"/>
            </w:tcMar>
            <w:shd w:fill="E9F0F5"/>
          </w:tcPr>
          <w:p>
            <w:pPr>
              <w:keepNext/>
              <w:spacing w:line="276" w:lineRule="exact" w:after="0"/>
            </w:pPr>
            <w:r>
              <w:rPr>
                <w:b/>
                <w:sz w:val="19"/>
              </w:rPr>
              <w:t>不能怎样处理</w:t>
            </w:r>
          </w:p>
        </w:tc>
      </w:tr>
      <w:tr>
        <w:trPr>
          <w:cantSplit/>
        </w:trPr>
        <w:tc>
          <w:tcPr>
            <w:tcW w:type="dxa" w:w="1973"/>
            <w:vAlign w:val="center"/>
            <w:tcMar>
              <w:top w:w="90" w:type="dxa"/>
              <w:left w:w="100" w:type="dxa"/>
              <w:bottom w:w="90" w:type="dxa"/>
              <w:right w:w="100" w:type="dxa"/>
            </w:tcMar>
          </w:tcPr>
          <w:p>
            <w:pPr>
              <w:spacing w:line="276" w:lineRule="exact" w:after="0"/>
            </w:pPr>
            <w:r>
              <w:rPr>
                <w:sz w:val="19"/>
              </w:rPr>
              <w:t>合法截止解</w:t>
            </w:r>
          </w:p>
        </w:tc>
        <w:tc>
          <w:tcPr>
            <w:tcW w:type="dxa" w:w="4277"/>
            <w:vAlign w:val="center"/>
            <w:tcMar>
              <w:top w:w="90" w:type="dxa"/>
              <w:left w:w="100" w:type="dxa"/>
              <w:bottom w:w="90" w:type="dxa"/>
              <w:right w:w="100" w:type="dxa"/>
            </w:tcMar>
          </w:tcPr>
          <w:p>
            <w:pPr>
              <w:spacing w:line="276" w:lineRule="exact" w:after="0"/>
            </w:pPr>
            <w:r>
              <w:rPr>
                <w:sz w:val="19"/>
              </w:rPr>
              <w:t>按截止时经checker确认的质量计分，保留运行状态。</w:t>
            </w:r>
          </w:p>
        </w:tc>
        <w:tc>
          <w:tcPr>
            <w:tcW w:type="dxa" w:w="3744"/>
            <w:vAlign w:val="center"/>
            <w:tcMar>
              <w:top w:w="90" w:type="dxa"/>
              <w:left w:w="100" w:type="dxa"/>
              <w:bottom w:w="90" w:type="dxa"/>
              <w:right w:w="100" w:type="dxa"/>
            </w:tcMar>
          </w:tcPr>
          <w:p>
            <w:pPr>
              <w:spacing w:line="276" w:lineRule="exact" w:after="0"/>
            </w:pPr>
            <w:r>
              <w:rPr>
                <w:sz w:val="19"/>
              </w:rPr>
              <w:t>用截止后更好解回填。</w:t>
            </w:r>
          </w:p>
        </w:tc>
      </w:tr>
      <w:tr>
        <w:trPr>
          <w:cantSplit/>
        </w:trPr>
        <w:tc>
          <w:tcPr>
            <w:tcW w:type="dxa" w:w="1973"/>
            <w:vAlign w:val="center"/>
            <w:tcMar>
              <w:top w:w="90" w:type="dxa"/>
              <w:left w:w="100" w:type="dxa"/>
              <w:bottom w:w="90" w:type="dxa"/>
              <w:right w:w="100" w:type="dxa"/>
            </w:tcMar>
          </w:tcPr>
          <w:p>
            <w:pPr>
              <w:spacing w:line="276" w:lineRule="exact" w:after="0"/>
            </w:pPr>
            <w:r>
              <w:rPr>
                <w:sz w:val="19"/>
              </w:rPr>
              <w:t>无合法解或非法</w:t>
            </w:r>
          </w:p>
        </w:tc>
        <w:tc>
          <w:tcPr>
            <w:tcW w:type="dxa" w:w="4277"/>
            <w:vAlign w:val="center"/>
            <w:tcMar>
              <w:top w:w="90" w:type="dxa"/>
              <w:left w:w="100" w:type="dxa"/>
              <w:bottom w:w="90" w:type="dxa"/>
              <w:right w:w="100" w:type="dxa"/>
            </w:tcMar>
          </w:tcPr>
          <w:p>
            <w:pPr>
              <w:spacing w:line="276" w:lineRule="exact" w:after="0"/>
            </w:pPr>
            <w:r>
              <w:rPr>
                <w:sz w:val="19"/>
              </w:rPr>
              <w:t>按预先规则计入全分母；另报失败类型。</w:t>
            </w:r>
          </w:p>
        </w:tc>
        <w:tc>
          <w:tcPr>
            <w:tcW w:type="dxa" w:w="3744"/>
            <w:vAlign w:val="center"/>
            <w:tcMar>
              <w:top w:w="90" w:type="dxa"/>
              <w:left w:w="100" w:type="dxa"/>
              <w:bottom w:w="90" w:type="dxa"/>
              <w:right w:w="100" w:type="dxa"/>
            </w:tcMar>
          </w:tcPr>
          <w:p>
            <w:pPr>
              <w:spacing w:line="276" w:lineRule="exact" w:after="0"/>
            </w:pPr>
            <w:r>
              <w:rPr>
                <w:sz w:val="19"/>
              </w:rPr>
              <w:t>只删除失败后平均质量。</w:t>
            </w:r>
          </w:p>
        </w:tc>
      </w:tr>
      <w:tr>
        <w:trPr>
          <w:cantSplit/>
        </w:trPr>
        <w:tc>
          <w:tcPr>
            <w:tcW w:type="dxa" w:w="1973"/>
            <w:vAlign w:val="center"/>
            <w:tcMar>
              <w:top w:w="90" w:type="dxa"/>
              <w:left w:w="100" w:type="dxa"/>
              <w:bottom w:w="90" w:type="dxa"/>
              <w:right w:w="100" w:type="dxa"/>
            </w:tcMar>
          </w:tcPr>
          <w:p>
            <w:pPr>
              <w:spacing w:line="276" w:lineRule="exact" w:after="0"/>
            </w:pPr>
            <w:r>
              <w:rPr>
                <w:sz w:val="19"/>
              </w:rPr>
              <w:t>TIMEOUT 或 UNKNOWN</w:t>
            </w:r>
          </w:p>
        </w:tc>
        <w:tc>
          <w:tcPr>
            <w:tcW w:type="dxa" w:w="4277"/>
            <w:vAlign w:val="center"/>
            <w:tcMar>
              <w:top w:w="90" w:type="dxa"/>
              <w:left w:w="100" w:type="dxa"/>
              <w:bottom w:w="90" w:type="dxa"/>
              <w:right w:w="100" w:type="dxa"/>
            </w:tcMar>
          </w:tcPr>
          <w:p>
            <w:pPr>
              <w:spacing w:line="276" w:lineRule="exact" w:after="0"/>
            </w:pPr>
            <w:r>
              <w:rPr>
                <w:sz w:val="19"/>
              </w:rPr>
              <w:t>区分有无合法incumbent、设施故障与状态缺失。</w:t>
            </w:r>
          </w:p>
        </w:tc>
        <w:tc>
          <w:tcPr>
            <w:tcW w:type="dxa" w:w="3744"/>
            <w:vAlign w:val="center"/>
            <w:tcMar>
              <w:top w:w="90" w:type="dxa"/>
              <w:left w:w="100" w:type="dxa"/>
              <w:bottom w:w="90" w:type="dxa"/>
              <w:right w:w="100" w:type="dxa"/>
            </w:tcMar>
          </w:tcPr>
          <w:p>
            <w:pPr>
              <w:spacing w:line="276" w:lineRule="exact" w:after="0"/>
            </w:pPr>
            <w:r>
              <w:rPr>
                <w:sz w:val="19"/>
              </w:rPr>
              <w:t>等同数学不可行或填零。</w:t>
            </w:r>
          </w:p>
        </w:tc>
      </w:tr>
      <w:tr>
        <w:trPr>
          <w:cantSplit/>
        </w:trPr>
        <w:tc>
          <w:tcPr>
            <w:tcW w:type="dxa" w:w="1973"/>
            <w:vAlign w:val="center"/>
            <w:tcMar>
              <w:top w:w="90" w:type="dxa"/>
              <w:left w:w="100" w:type="dxa"/>
              <w:bottom w:w="90" w:type="dxa"/>
              <w:right w:w="100" w:type="dxa"/>
            </w:tcMar>
          </w:tcPr>
          <w:p>
            <w:pPr>
              <w:spacing w:line="276" w:lineRule="exact" w:after="0"/>
            </w:pPr>
            <w:r>
              <w:rPr>
                <w:sz w:val="19"/>
              </w:rPr>
              <w:t>尚未评测或日志丢失</w:t>
            </w:r>
          </w:p>
        </w:tc>
        <w:tc>
          <w:tcPr>
            <w:tcW w:type="dxa" w:w="4277"/>
            <w:vAlign w:val="center"/>
            <w:tcMar>
              <w:top w:w="90" w:type="dxa"/>
              <w:left w:w="100" w:type="dxa"/>
              <w:bottom w:w="90" w:type="dxa"/>
              <w:right w:w="100" w:type="dxa"/>
            </w:tcMar>
          </w:tcPr>
          <w:p>
            <w:pPr>
              <w:spacing w:line="276" w:lineRule="exact" w:after="0"/>
            </w:pPr>
            <w:r>
              <w:rPr>
                <w:sz w:val="19"/>
              </w:rPr>
              <w:t>登记缺失原因；训练侧补测或冻结缺失协议。</w:t>
            </w:r>
          </w:p>
        </w:tc>
        <w:tc>
          <w:tcPr>
            <w:tcW w:type="dxa" w:w="3744"/>
            <w:vAlign w:val="center"/>
            <w:tcMar>
              <w:top w:w="90" w:type="dxa"/>
              <w:left w:w="100" w:type="dxa"/>
              <w:bottom w:w="90" w:type="dxa"/>
              <w:right w:w="100" w:type="dxa"/>
            </w:tcMar>
          </w:tcPr>
          <w:p>
            <w:pPr>
              <w:spacing w:line="276" w:lineRule="exact" w:after="0"/>
            </w:pPr>
            <w:r>
              <w:rPr>
                <w:sz w:val="19"/>
              </w:rPr>
              <w:t>暗中排最差或按方法挑不同子集。</w:t>
            </w:r>
          </w:p>
        </w:tc>
      </w:tr>
      <w:tr>
        <w:trPr>
          <w:cantSplit/>
        </w:trPr>
        <w:tc>
          <w:tcPr>
            <w:tcW w:type="dxa" w:w="1973"/>
            <w:vAlign w:val="center"/>
            <w:tcMar>
              <w:top w:w="90" w:type="dxa"/>
              <w:left w:w="100" w:type="dxa"/>
              <w:bottom w:w="90" w:type="dxa"/>
              <w:right w:w="100" w:type="dxa"/>
            </w:tcMar>
          </w:tcPr>
          <w:p>
            <w:pPr>
              <w:spacing w:line="276" w:lineRule="exact" w:after="0"/>
            </w:pPr>
            <w:r>
              <w:rPr>
                <w:sz w:val="19"/>
              </w:rPr>
              <w:t>用户取消或外部修改</w:t>
            </w:r>
          </w:p>
        </w:tc>
        <w:tc>
          <w:tcPr>
            <w:tcW w:type="dxa" w:w="4277"/>
            <w:vAlign w:val="center"/>
            <w:tcMar>
              <w:top w:w="90" w:type="dxa"/>
              <w:left w:w="100" w:type="dxa"/>
              <w:bottom w:w="90" w:type="dxa"/>
              <w:right w:w="100" w:type="dxa"/>
            </w:tcMar>
          </w:tcPr>
          <w:p>
            <w:pPr>
              <w:spacing w:line="276" w:lineRule="exact" w:after="0"/>
            </w:pPr>
            <w:r>
              <w:rPr>
                <w:sz w:val="19"/>
              </w:rPr>
              <w:t>记录外部中断与新任务版本。</w:t>
            </w:r>
          </w:p>
        </w:tc>
        <w:tc>
          <w:tcPr>
            <w:tcW w:type="dxa" w:w="3744"/>
            <w:vAlign w:val="center"/>
            <w:tcMar>
              <w:top w:w="90" w:type="dxa"/>
              <w:left w:w="100" w:type="dxa"/>
              <w:bottom w:w="90" w:type="dxa"/>
              <w:right w:w="100" w:type="dxa"/>
            </w:tcMar>
          </w:tcPr>
          <w:p>
            <w:pPr>
              <w:spacing w:line="276" w:lineRule="exact" w:after="0"/>
            </w:pPr>
            <w:r>
              <w:rPr>
                <w:sz w:val="19"/>
              </w:rPr>
              <w:t>作为算法本身失败训练标签。</w:t>
            </w:r>
          </w:p>
        </w:tc>
      </w:tr>
    </w:tbl>
    <w:p>
      <w:pPr>
        <w:spacing w:after="0" w:before="0" w:line="240" w:lineRule="auto"/>
      </w:pPr>
      <w:r>
        <w:rPr>
          <w:sz w:val="6"/>
        </w:rPr>
      </w:r>
    </w:p>
    <w:p>
      <w:r>
        <w:t>生成成功率以计划机会为分母，合法候选质量是另一个条件指标。随机部署、多个seed均值和多启动取最好是不同策略；风险校准必须对准实际部署单位。原CRC小样本全回退保留，任何新协议独立冻结。</w:t>
      </w:r>
    </w:p>
    <w:p>
      <w:pPr>
        <w:pStyle w:val="Heading3"/>
      </w:pPr>
      <w:r>
        <w:t>复用与后训练的摊销</w:t>
      </w:r>
    </w:p>
    <w:p>
      <w:r>
        <w:t>离线成本、部署成本之外另报跨任务复用摊销。若一次训练成本为C_train，每个未来设计任务相对冻结强基线净节约ΔC且为正，仅该成本维度的回本需N大于C_train/ΔC。一个生成程序服务一万次规划，不等于一万次LLM设计节约；质量和风险须可比，时间、货币、能量分别计算。</w:t>
      </w:r>
    </w:p>
    <w:p>
      <w:pPr>
        <w:pStyle w:val="Heading2"/>
      </w:pPr>
      <w:r>
        <w:t>3  风险校准与学习数据资格</w:t>
      </w:r>
    </w:p>
    <w:p>
      <w:r>
        <w:t>风险校准用于有清楚风险对象、独立单位和可辨别样本量的问题，不作为每个推荐器的必需模块。CVRP历史432次来自24实例×3算法×2预算×3seed；四折各12训练、6校准、6测试。主设定α=0.1全回退具有结构原因，不能据此认定所有选择学习或后训练无效。</w:t>
      </w:r>
    </w:p>
    <w:p>
      <w:pPr>
        <w:pStyle w:val="Heading3"/>
      </w:pPr>
      <w:r>
        <w:t>CRC先对齐部署对象</w:t>
      </w:r>
    </w:p>
    <w:p>
      <w:r>
        <w:t>已核实现按3个solver seed平均成本判断：超过SBS的1.01倍算有害，且仅在选择非SBS、score超过阈值时计损失。它控制全体实例上的有害切换频率，并非切换后的条件风险或路线regret上界。有限样本修正为(累计损失+1)/(n+1)；n=6时下界1/7约0.143，高于0.1，因而有限阈值不能通过。n_cal至少9只消除此下界，不保证通过；增加solver seed不增加独立校准实例。</w:t>
      </w:r>
    </w:p>
    <w:p>
      <w:r>
        <w:t>单次随机部署、三seed均值和多启动取最好具有不同风险与预算。新协议应先固定部署对象，再核拟合/校准隔离、可交换性、阈值损失单调性和端点条件。原CRC为相应条件下的边际期望风险控制，不能改称已选阈值的高概率保证。不得事后放宽阈值只展示有切换的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392"/>
        <w:gridCol w:w="3730"/>
      </w:tblGrid>
      <w:tr>
        <w:trPr>
          <w:cantSplit/>
          <w:tblHeader/>
        </w:trPr>
        <w:tc>
          <w:tcPr>
            <w:tcW w:type="dxa" w:w="1872"/>
            <w:vAlign w:val="center"/>
            <w:tcMar>
              <w:top w:w="90" w:type="dxa"/>
              <w:left w:w="100" w:type="dxa"/>
              <w:bottom w:w="90" w:type="dxa"/>
              <w:right w:w="100" w:type="dxa"/>
            </w:tcMar>
            <w:shd w:fill="E9F0F5"/>
          </w:tcPr>
          <w:p>
            <w:pPr>
              <w:keepNext/>
              <w:spacing w:line="276" w:lineRule="exact" w:after="0"/>
            </w:pPr>
            <w:r>
              <w:rPr>
                <w:b/>
                <w:sz w:val="19"/>
              </w:rPr>
              <w:t>学习对象</w:t>
            </w:r>
          </w:p>
        </w:tc>
        <w:tc>
          <w:tcPr>
            <w:tcW w:type="dxa" w:w="4392"/>
            <w:vAlign w:val="center"/>
            <w:tcMar>
              <w:top w:w="90" w:type="dxa"/>
              <w:left w:w="100" w:type="dxa"/>
              <w:bottom w:w="90" w:type="dxa"/>
              <w:right w:w="100" w:type="dxa"/>
            </w:tcMar>
            <w:shd w:fill="E9F0F5"/>
          </w:tcPr>
          <w:p>
            <w:pPr>
              <w:keepNext/>
              <w:spacing w:line="276" w:lineRule="exact" w:after="0"/>
            </w:pPr>
            <w:r>
              <w:rPr>
                <w:b/>
                <w:sz w:val="19"/>
              </w:rPr>
              <w:t>最小记录单元</w:t>
            </w:r>
          </w:p>
        </w:tc>
        <w:tc>
          <w:tcPr>
            <w:tcW w:type="dxa" w:w="3730"/>
            <w:vAlign w:val="center"/>
            <w:tcMar>
              <w:top w:w="90" w:type="dxa"/>
              <w:left w:w="100" w:type="dxa"/>
              <w:bottom w:w="90" w:type="dxa"/>
              <w:right w:w="100" w:type="dxa"/>
            </w:tcMar>
            <w:shd w:fill="E9F0F5"/>
          </w:tcPr>
          <w:p>
            <w:pPr>
              <w:keepNext/>
              <w:spacing w:line="276" w:lineRule="exact" w:after="0"/>
            </w:pPr>
            <w:r>
              <w:rPr>
                <w:b/>
                <w:sz w:val="19"/>
              </w:rPr>
              <w:t>现有缺口</w:t>
            </w:r>
          </w:p>
        </w:tc>
      </w:tr>
      <w:tr>
        <w:trPr>
          <w:cantSplit/>
        </w:trPr>
        <w:tc>
          <w:tcPr>
            <w:tcW w:type="dxa" w:w="1872"/>
            <w:vAlign w:val="center"/>
            <w:tcMar>
              <w:top w:w="90" w:type="dxa"/>
              <w:left w:w="100" w:type="dxa"/>
              <w:bottom w:w="90" w:type="dxa"/>
              <w:right w:w="100" w:type="dxa"/>
            </w:tcMar>
          </w:tcPr>
          <w:p>
            <w:pPr>
              <w:spacing w:line="276" w:lineRule="exact" w:after="0"/>
            </w:pPr>
            <w:r>
              <w:rPr>
                <w:sz w:val="19"/>
              </w:rPr>
              <w:t>实例选择</w:t>
            </w:r>
          </w:p>
        </w:tc>
        <w:tc>
          <w:tcPr>
            <w:tcW w:type="dxa" w:w="4392"/>
            <w:vAlign w:val="center"/>
            <w:tcMar>
              <w:top w:w="90" w:type="dxa"/>
              <w:left w:w="100" w:type="dxa"/>
              <w:bottom w:w="90" w:type="dxa"/>
              <w:right w:w="100" w:type="dxa"/>
            </w:tcMar>
          </w:tcPr>
          <w:p>
            <w:pPr>
              <w:spacing w:line="276" w:lineRule="exact" w:after="0"/>
            </w:pPr>
            <w:r>
              <w:rPr>
                <w:sz w:val="19"/>
              </w:rPr>
              <w:t>任务、可用特征、同预算算法结果</w:t>
            </w:r>
          </w:p>
        </w:tc>
        <w:tc>
          <w:tcPr>
            <w:tcW w:type="dxa" w:w="3730"/>
            <w:vAlign w:val="center"/>
            <w:tcMar>
              <w:top w:w="90" w:type="dxa"/>
              <w:left w:w="100" w:type="dxa"/>
              <w:bottom w:w="90" w:type="dxa"/>
              <w:right w:w="100" w:type="dxa"/>
            </w:tcMar>
          </w:tcPr>
          <w:p>
            <w:pPr>
              <w:spacing w:line="276" w:lineRule="exact" w:after="0"/>
            </w:pPr>
            <w:r>
              <w:rPr>
                <w:sz w:val="19"/>
              </w:rPr>
              <w:t>强库互补、特征时点和干净确认</w:t>
            </w:r>
          </w:p>
        </w:tc>
      </w:tr>
      <w:tr>
        <w:trPr>
          <w:cantSplit/>
        </w:trPr>
        <w:tc>
          <w:tcPr>
            <w:tcW w:type="dxa" w:w="1872"/>
            <w:vAlign w:val="center"/>
            <w:tcMar>
              <w:top w:w="90" w:type="dxa"/>
              <w:left w:w="100" w:type="dxa"/>
              <w:bottom w:w="90" w:type="dxa"/>
              <w:right w:w="100" w:type="dxa"/>
            </w:tcMar>
          </w:tcPr>
          <w:p>
            <w:pPr>
              <w:spacing w:line="276" w:lineRule="exact" w:after="0"/>
            </w:pPr>
            <w:r>
              <w:rPr>
                <w:sz w:val="19"/>
              </w:rPr>
              <w:t>构造或改进策略</w:t>
            </w:r>
          </w:p>
        </w:tc>
        <w:tc>
          <w:tcPr>
            <w:tcW w:type="dxa" w:w="4392"/>
            <w:vAlign w:val="center"/>
            <w:tcMar>
              <w:top w:w="90" w:type="dxa"/>
              <w:left w:w="100" w:type="dxa"/>
              <w:bottom w:w="90" w:type="dxa"/>
              <w:right w:w="100" w:type="dxa"/>
            </w:tcMar>
          </w:tcPr>
          <w:p>
            <w:pPr>
              <w:spacing w:line="276" w:lineRule="exact" w:after="0"/>
            </w:pPr>
            <w:r>
              <w:rPr>
                <w:sz w:val="19"/>
              </w:rPr>
              <w:t>状态、合法动作、动作、后继、奖励、终点</w:t>
            </w:r>
          </w:p>
        </w:tc>
        <w:tc>
          <w:tcPr>
            <w:tcW w:type="dxa" w:w="3730"/>
            <w:vAlign w:val="center"/>
            <w:tcMar>
              <w:top w:w="90" w:type="dxa"/>
              <w:left w:w="100" w:type="dxa"/>
              <w:bottom w:w="90" w:type="dxa"/>
              <w:right w:w="100" w:type="dxa"/>
            </w:tcMar>
          </w:tcPr>
          <w:p>
            <w:pPr>
              <w:spacing w:line="276" w:lineRule="exact" w:after="0"/>
            </w:pPr>
            <w:r>
              <w:rPr>
                <w:sz w:val="19"/>
              </w:rPr>
              <w:t>终局路线不能恢复原solver搜索动作</w:t>
            </w:r>
          </w:p>
        </w:tc>
      </w:tr>
      <w:tr>
        <w:trPr>
          <w:cantSplit/>
        </w:trPr>
        <w:tc>
          <w:tcPr>
            <w:tcW w:type="dxa" w:w="1872"/>
            <w:vAlign w:val="center"/>
            <w:tcMar>
              <w:top w:w="90" w:type="dxa"/>
              <w:left w:w="100" w:type="dxa"/>
              <w:bottom w:w="90" w:type="dxa"/>
              <w:right w:w="100" w:type="dxa"/>
            </w:tcMar>
          </w:tcPr>
          <w:p>
            <w:pPr>
              <w:spacing w:line="276" w:lineRule="exact" w:after="0"/>
            </w:pPr>
            <w:r>
              <w:rPr>
                <w:sz w:val="19"/>
              </w:rPr>
              <w:t>程序编辑</w:t>
            </w:r>
          </w:p>
        </w:tc>
        <w:tc>
          <w:tcPr>
            <w:tcW w:type="dxa" w:w="4392"/>
            <w:vAlign w:val="center"/>
            <w:tcMar>
              <w:top w:w="90" w:type="dxa"/>
              <w:left w:w="100" w:type="dxa"/>
              <w:bottom w:w="90" w:type="dxa"/>
              <w:right w:w="100" w:type="dxa"/>
            </w:tcMar>
          </w:tcPr>
          <w:p>
            <w:pPr>
              <w:spacing w:line="276" w:lineRule="exact" w:after="0"/>
            </w:pPr>
            <w:r>
              <w:rPr>
                <w:sz w:val="19"/>
              </w:rPr>
              <w:t>合同、父代、补丁、见证、收益、谱系</w:t>
            </w:r>
          </w:p>
        </w:tc>
        <w:tc>
          <w:tcPr>
            <w:tcW w:type="dxa" w:w="3730"/>
            <w:vAlign w:val="center"/>
            <w:tcMar>
              <w:top w:w="90" w:type="dxa"/>
              <w:left w:w="100" w:type="dxa"/>
              <w:bottom w:w="90" w:type="dxa"/>
              <w:right w:w="100" w:type="dxa"/>
            </w:tcMar>
          </w:tcPr>
          <w:p>
            <w:pPr>
              <w:spacing w:line="276" w:lineRule="exact" w:after="0"/>
            </w:pPr>
            <w:r>
              <w:rPr>
                <w:sz w:val="19"/>
              </w:rPr>
              <w:t>独立家系和偏好稳定性</w:t>
            </w:r>
          </w:p>
        </w:tc>
      </w:tr>
      <w:tr>
        <w:trPr>
          <w:cantSplit/>
        </w:trPr>
        <w:tc>
          <w:tcPr>
            <w:tcW w:type="dxa" w:w="1872"/>
            <w:vAlign w:val="center"/>
            <w:tcMar>
              <w:top w:w="90" w:type="dxa"/>
              <w:left w:w="100" w:type="dxa"/>
              <w:bottom w:w="90" w:type="dxa"/>
              <w:right w:w="100" w:type="dxa"/>
            </w:tcMar>
          </w:tcPr>
          <w:p>
            <w:pPr>
              <w:spacing w:line="276" w:lineRule="exact" w:after="0"/>
            </w:pPr>
            <w:r>
              <w:rPr>
                <w:sz w:val="19"/>
              </w:rPr>
              <w:t>语义与交互</w:t>
            </w:r>
          </w:p>
        </w:tc>
        <w:tc>
          <w:tcPr>
            <w:tcW w:type="dxa" w:w="4392"/>
            <w:vAlign w:val="center"/>
            <w:tcMar>
              <w:top w:w="90" w:type="dxa"/>
              <w:left w:w="100" w:type="dxa"/>
              <w:bottom w:w="90" w:type="dxa"/>
              <w:right w:w="100" w:type="dxa"/>
            </w:tcMar>
          </w:tcPr>
          <w:p>
            <w:pPr>
              <w:spacing w:line="276" w:lineRule="exact" w:after="0"/>
            </w:pPr>
            <w:r>
              <w:rPr>
                <w:sz w:val="19"/>
              </w:rPr>
              <w:t>原意、任务版本、修改、确认和错误见证</w:t>
            </w:r>
          </w:p>
        </w:tc>
        <w:tc>
          <w:tcPr>
            <w:tcW w:type="dxa" w:w="3730"/>
            <w:vAlign w:val="center"/>
            <w:tcMar>
              <w:top w:w="90" w:type="dxa"/>
              <w:left w:w="100" w:type="dxa"/>
              <w:bottom w:w="90" w:type="dxa"/>
              <w:right w:w="100" w:type="dxa"/>
            </w:tcMar>
          </w:tcPr>
          <w:p>
            <w:pPr>
              <w:spacing w:line="276" w:lineRule="exact" w:after="0"/>
            </w:pPr>
            <w:r>
              <w:rPr>
                <w:sz w:val="19"/>
              </w:rPr>
              <w:t>人工金标、真实参与者及表达族留出</w:t>
            </w:r>
          </w:p>
        </w:tc>
      </w:tr>
      <w:tr>
        <w:trPr>
          <w:cantSplit/>
        </w:trPr>
        <w:tc>
          <w:tcPr>
            <w:tcW w:type="dxa" w:w="1872"/>
            <w:vAlign w:val="center"/>
            <w:tcMar>
              <w:top w:w="90" w:type="dxa"/>
              <w:left w:w="100" w:type="dxa"/>
              <w:bottom w:w="90" w:type="dxa"/>
              <w:right w:w="100" w:type="dxa"/>
            </w:tcMar>
          </w:tcPr>
          <w:p>
            <w:pPr>
              <w:spacing w:line="276" w:lineRule="exact" w:after="0"/>
            </w:pPr>
            <w:r>
              <w:rPr>
                <w:sz w:val="19"/>
              </w:rPr>
              <w:t>世界模型</w:t>
            </w:r>
          </w:p>
        </w:tc>
        <w:tc>
          <w:tcPr>
            <w:tcW w:type="dxa" w:w="4392"/>
            <w:vAlign w:val="center"/>
            <w:tcMar>
              <w:top w:w="90" w:type="dxa"/>
              <w:left w:w="100" w:type="dxa"/>
              <w:bottom w:w="90" w:type="dxa"/>
              <w:right w:w="100" w:type="dxa"/>
            </w:tcMar>
          </w:tcPr>
          <w:p>
            <w:pPr>
              <w:spacing w:line="276" w:lineRule="exact" w:after="0"/>
            </w:pPr>
            <w:r>
              <w:rPr>
                <w:sz w:val="19"/>
              </w:rPr>
              <w:t>状态、控制、环境变化、后继和不确定性</w:t>
            </w:r>
          </w:p>
        </w:tc>
        <w:tc>
          <w:tcPr>
            <w:tcW w:type="dxa" w:w="3730"/>
            <w:vAlign w:val="center"/>
            <w:tcMar>
              <w:top w:w="90" w:type="dxa"/>
              <w:left w:w="100" w:type="dxa"/>
              <w:bottom w:w="90" w:type="dxa"/>
              <w:right w:w="100" w:type="dxa"/>
            </w:tcMar>
          </w:tcPr>
          <w:p>
            <w:pPr>
              <w:spacing w:line="276" w:lineRule="exact" w:after="0"/>
            </w:pPr>
            <w:r>
              <w:rPr>
                <w:sz w:val="19"/>
              </w:rPr>
              <w:t>动作同步、行为覆盖与独立校准</w:t>
            </w:r>
          </w:p>
        </w:tc>
      </w:tr>
    </w:tbl>
    <w:p>
      <w:pPr>
        <w:spacing w:after="0" w:before="0" w:line="240" w:lineRule="auto"/>
      </w:pPr>
      <w:r>
        <w:rPr>
          <w:sz w:val="6"/>
        </w:rPr>
      </w:r>
    </w:p>
    <w:p>
      <w:pPr>
        <w:spacing w:before="100" w:after="0" w:line="240" w:lineRule="exact"/>
      </w:pPr>
      <w:r>
        <w:rPr>
          <w:color w:val="444444"/>
          <w:sz w:val="18"/>
        </w:rPr>
        <w:t>沿用《研究路线评议》第14、23节。原始CRC：https://arxiv.org/abs/2208.02814；ReCIRC：https://arxiv.org/html/2609.38112v1。公式是对已有实现的解释，本次未重跑。</w:t>
      </w:r>
    </w:p>
    <w:p>
      <w:bookmarkStart w:id="8000" w:name="part_7"/>
      <w:pPr>
        <w:pStyle w:val="Heading1"/>
      </w:pPr>
      <w:r>
        <w:t>七 分阶段实施与交付</w:t>
      </w:r>
      <w:bookmarkEnd w:id="8000"/>
    </w:p>
    <w:p>
      <w:pPr>
        <w:pStyle w:val="Heading2"/>
      </w:pPr>
      <w:r>
        <w:t>1  阶段零与一 任务和运行资格</w:t>
      </w:r>
    </w:p>
    <w:p>
      <w:pPr>
        <w:pStyle w:val="Heading3"/>
      </w:pPr>
      <w:r>
        <w:t>阶段零 接续已有结果并冻结范围</w:t>
      </w:r>
    </w:p>
    <w:p>
      <w:r>
        <w:t>输入是申报原文、最新研究意图、已有代码和原始结果。先完成“需求—升级实现—验收”清单，明确四类农业能力和五项成果；同时建立旧包身份、母组、候选谱系与数据暴露登记。报告、CSV、JSONL和源码哈希能互相对应后，再决定哪些结果可进入新论文。</w:t>
      </w:r>
    </w:p>
    <w:p>
      <w:r>
        <w:t>交付物为要求映射、资产清单、缺证清单和冻结协议初版。只有某批记录无法对应时才暂停该批主张，不因统一总账未完就否认其他已有成果。历史成本缺失不补造，新实验开始全量记账。</w:t>
      </w:r>
    </w:p>
    <w:p>
      <w:pPr>
        <w:pStyle w:val="Heading3"/>
      </w:pPr>
      <w:r>
        <w:t>阶段一 贯通内核并取得合同资格</w:t>
      </w:r>
    </w:p>
    <w:p>
      <w:r>
        <w:t>先用强固定点服务或果园方法贯通冻结输入、结果包、独立检查和回放。该合同一旦通过，立即接在线LLM理解与推荐，不等待完整库或行补给模型。行服务、方向状态、资源补给及覆盖扫掠并行适配，分别验收，共用注册、任务身份与运行记录。</w:t>
      </w:r>
    </w:p>
    <w:p>
      <w:pPr>
        <w:spacing w:after="100"/>
        <w:ind w:left="144" w:hanging="144"/>
      </w:pPr>
      <w:r>
        <w:t>• 小规模精确或穷举例与独立checker交叉验证；测试有解、无解、非法、超时、取消和恢复。</w:t>
      </w:r>
    </w:p>
    <w:p>
      <w:pPr>
        <w:spacing w:after="100"/>
        <w:ind w:left="144" w:hanging="144"/>
      </w:pPr>
      <w:r>
        <w:t>• 加入模式链不可拼接、单行超容量、回站不重置总时长、关闭作业穿越不计覆盖等反例。</w:t>
      </w:r>
    </w:p>
    <w:p>
      <w:pPr>
        <w:spacing w:after="100"/>
        <w:ind w:left="144" w:hanging="144"/>
      </w:pPr>
      <w:r>
        <w:t>• 检查最多K与恰K、任务经过与服务、车体碰撞与工具覆盖等易混语义。</w:t>
      </w:r>
    </w:p>
    <w:p>
      <w:pPr>
        <w:spacing w:after="100"/>
        <w:ind w:left="144" w:hanging="144"/>
      </w:pPr>
      <w:r>
        <w:t>• 固定当前代码、依赖和检查器版本；未经今日重跑的资产继续标历史验证。</w:t>
      </w:r>
    </w:p>
    <w:p>
      <w:pPr>
        <w:pStyle w:val="Heading3"/>
      </w:pPr>
      <w:r>
        <w:t>阶段门和并行工作</w:t>
      </w:r>
    </w:p>
    <w:p>
      <w:r>
        <w:t>阶段门按合同滚动检查：当前合同语义、目标与合法性可独立核对后，即可开展它的在线功能、标签和生成反馈。完整性能矩阵只约束相关统计比较，不是所有系统功能的前置。失败先修对应合同与适配器，其他已合格合同继续推进。</w:t>
      </w:r>
    </w:p>
    <w:p>
      <w:r>
        <w:t>可同时整理报告与申请素材、准备强基线和界面接线。地图大重构、分布式平台或新模型训练都不是启动科学比较的前置条件。</w:t>
      </w:r>
    </w:p>
    <w:p>
      <w:pPr>
        <w:pStyle w:val="Heading2"/>
      </w:pPr>
      <w:r>
        <w:t>2  阶段二与三 强库 在线LLM与真实生成</w:t>
      </w:r>
    </w:p>
    <w:p>
      <w:pPr>
        <w:pStyle w:val="Heading3"/>
      </w:pPr>
      <w:r>
        <w:t>阶段二 强库和实际推荐空间</w:t>
      </w:r>
    </w:p>
    <w:p>
      <w:r>
        <w:t>合同通过资格检查后，登记强传统方法、配置与简明参照，用共同runner生成实例—算法—预算矩阵。能力不合格成员事先门控，不能把排除不适用算法算作学习收益。冻结母组划分，保留独立的新场景。 方法与版本固定：当前PyVRP的ILS实现不能直接称为早期论文的HGS复现。</w:t>
      </w:r>
    </w:p>
    <w:p>
      <w:r>
        <w:t>比较训练侧SBS、同预算固定组合、简单规则和廉价监督选择器，另报VBS。分析差异来自终值、早期速度、合法率还是具体农业结构；所有特征、probe和后备费用计入。若固定强法已饱和，保留为默认，转向事先有作业依据的规模、时限或资源条件，而不删除强法。</w:t>
      </w:r>
    </w:p>
    <w:p>
      <w:pPr>
        <w:pStyle w:val="Heading3"/>
      </w:pPr>
      <w:r>
        <w:t>阶段三 接真实LLM并完成四格归因</w:t>
      </w:r>
    </w:p>
    <w:p>
      <w:r>
        <w:t>冻结一个生成模型版本、一个可编辑接口、父代权限、反馈格式和主要资源上限。复用已有真实生成收据、候选谱系和受约束恢复流程，补当前适配器到农业评估的实际接线。先证明真实请求产生的合格源码确实被目标任务执行，而非只运行离线夹具。</w:t>
      </w:r>
    </w:p>
    <w:p>
      <w:r>
        <w:t>在线链可从阶段一的首个合格合同开始，独立于离线扩库进度：完成语言理解、缺项处理、能力门控、候选编排与真实求解。离线候选准入后再注册，在线只调用已有ID。两条链按合同汇合，分别评价功能与性能。</w:t>
      </w:r>
    </w:p>
    <w:p>
      <w:r>
        <w:t>执行四格及Lcfg、Lret挑战，保留全部计划槽、生成失败、静态拒绝、超时、非法和缺失。若LLM仅产生有效但较弱程序，仍完成生成研究与课题原型，默认部署强传统成员。没有合格生成程序时，只能标生成链有记录，不能标生成算法已接入。</w:t>
      </w:r>
    </w:p>
    <w:p>
      <w:r>
        <w:t>学习与模型分支按各自最小实验并行准备，可先做数据字典、接口资格和强简单对照；它们不必等待四格阳性才存在，也不因一次固定池阴性全部暂停。正式扩大算力前须说明要解决的具体不足与独立确认条件。</w:t>
      </w:r>
    </w:p>
    <w:p>
      <w:pPr>
        <w:pStyle w:val="Heading3"/>
      </w:pPr>
      <w:r>
        <w:t>资源与退出规则</w:t>
      </w:r>
    </w:p>
    <w:p>
      <w:r>
        <w:t>使用现有已授权模型账户与调用路径，不在本方案中新增购买或切换计费接口。资源上限由开发侧实际测量后冻结；当失败集中于合同、解析或执行基础设施时先修复，不能把无约束重试称为科学搜索。阶段产物同时进入研究报告与可复现包。</w:t>
      </w:r>
    </w:p>
    <w:p>
      <w:pPr>
        <w:pStyle w:val="Heading2"/>
      </w:pPr>
      <w:r>
        <w:t>3  阶段四与五 机制验证与成果形成</w:t>
      </w:r>
    </w:p>
    <w:p>
      <w:pPr>
        <w:pStyle w:val="Heading3"/>
      </w:pPr>
      <w:r>
        <w:t>阶段四 先同池 再完整发现</w:t>
      </w:r>
    </w:p>
    <w:p>
      <w:r>
        <w:t>先用固定候选池做低成本的选库机制比较，保持选择器、库规模、信息和费用一致。测实际质量、合法率、误选损失、被选频次、库稳定性、尾部退化和开销。找到具体机制差异后，再做同预算完整发现重启；若提出原池尚无的新能力假设，也须独立登记与有限验证。</w:t>
      </w:r>
    </w:p>
    <w:p>
      <w:r>
        <w:t>闭环中只更改研究机制，其他生成模型、父代、允许组件和实例权限不变。每次重新发现与冻结，外层只评价；开发期试过的机制版本和资源也入账。结果转负时停止相应高成本扩展，不回头使用终测继续调到获胜。</w:t>
      </w:r>
    </w:p>
    <w:p>
      <w:pPr>
        <w:pStyle w:val="Heading3"/>
      </w:pPr>
      <w:r>
        <w:t>阶段五 使主张与证据相称</w:t>
      </w:r>
    </w:p>
    <w:p>
      <w:r>
        <w:t>农业论文围绕完整工作目标、物理相关变量、强方法和可部署收益组织。通用方法论文则须让同一机制在有实质差异的合同上重现，已有BPP、VRPTW/CVRP可提供框架和反例，旧测试不能自动当新盲测。</w:t>
      </w:r>
    </w:p>
    <w:p>
      <w:r>
        <w:t>根据开发侧方差与预定实际价值确定独立母实例和发现重复；报告全分母、成本范围、母组不确定性和失败边界。主比较缺失时先解决可比较口径，不能靠删除缺失让表格完整。拟主张实机可用，就增加相称的执行证据；只有计算验证就明确范围。</w:t>
      </w:r>
    </w:p>
    <w:p>
      <w:pPr>
        <w:pStyle w:val="Heading3"/>
      </w:pPr>
      <w:r>
        <w:t>依赖与可并行关系</w:t>
      </w:r>
    </w:p>
    <w:p>
      <w:pPr>
        <w:spacing w:after="100"/>
        <w:ind w:left="144" w:hanging="144"/>
      </w:pPr>
      <w:r>
        <w:t>• 需求映射、证据索引、报告骨架与申请准备可从阶段零开始并行。</w:t>
      </w:r>
    </w:p>
    <w:p>
      <w:pPr>
        <w:spacing w:after="100"/>
        <w:ind w:left="144" w:hanging="144"/>
      </w:pPr>
      <w:r>
        <w:t>• 合同资格先于标签、信用和性能结论；强库及矩阵先于四格归因。</w:t>
      </w:r>
    </w:p>
    <w:p>
      <w:pPr>
        <w:spacing w:after="100"/>
        <w:ind w:left="144" w:hanging="144"/>
      </w:pPr>
      <w:r>
        <w:t>• 在线LLM功能与界面接线可和离线生成准备并行，共用同一任务版本。</w:t>
      </w:r>
    </w:p>
    <w:p>
      <w:pPr>
        <w:spacing w:after="100"/>
        <w:ind w:left="144" w:hanging="144"/>
      </w:pPr>
      <w:r>
        <w:t>• 同池机制比较先于解释闭环增益；外层冻结先于正式确认。</w:t>
      </w:r>
    </w:p>
    <w:p>
      <w:r>
        <w:t>阶段按照通过证据推进，不为尚未测量的调用延迟、失败率和计算资源编造工期。每个阶段结束更新剩余工作、实际成本与风险，再决定下一步投入。课题已有可交付成果及时收拢，论文探索不能无限推迟正式交付。</w:t>
      </w:r>
    </w:p>
    <w:p>
      <w:pPr>
        <w:pStyle w:val="Heading2"/>
      </w:pPr>
      <w:r>
        <w:t>4  论文组织与贡献边界</w:t>
      </w:r>
    </w:p>
    <w:p>
      <w:r>
        <w:t>更近的路线是农业技术研究：围绕一项明确作业，证明正确建模、强算法与推荐如何改善完整农业目标。更高难度的通用方法路线还需要已经验证的新机制及跨合同证据。平台更漂亮、文献更多、重复运行更多，都不能直接补足核心贡献。</w:t>
      </w:r>
    </w:p>
    <w:p>
      <w:pPr>
        <w:pStyle w:val="Heading3"/>
      </w:pPr>
      <w:r>
        <w:t>农业方向需要补的主证据链</w:t>
      </w:r>
    </w:p>
    <w:p>
      <w:r>
        <w:t>当前点服务、导航与运动组件是真实资产，但完整行服务、回补和覆盖联合任务尚缺证据。优先完成一条农业主合同，解释方向、地头、资源与站位怎样影响算法专长；再在有来源差异的新母场景验证。若只有半合成条件，结论就限定于这些条件。</w:t>
      </w:r>
    </w:p>
    <w:p>
      <w:r>
        <w:t>CEA官方强调技术增量，农业算法选择已有先例；Soil2Cover显示计算研究可围绕压实与路径联合形成明确农业价值。其他覆盖研究又采用真实田块和导航实验。它们的证据结构可借鉴，不能把某篇实例数、最高提升或实机数量变成所有论文的门槛。[R17至R20]</w:t>
      </w:r>
    </w:p>
    <w:p>
      <w:pPr>
        <w:pStyle w:val="Heading3"/>
      </w:pPr>
      <w:r>
        <w:t>通用方法方向需要更强归因</w:t>
      </w:r>
    </w:p>
    <w:p>
      <w:r>
        <w:t>证明优势来自具体信用或反馈机制，而非更强底层搜索、更多评测、免费的父代、测试泄漏或选择器更换。面对Hydra、实际成员贡献、EoH-S与LACE等近邻，先给出准确方法差异，再用固定池与完整发现两层实验验证。至少让所声称的机制跨越实质不同的任务语义，而不只换地图。</w:t>
      </w:r>
    </w:p>
    <w:p>
      <w:pPr>
        <w:pStyle w:val="Heading3"/>
      </w:pPr>
      <w:r>
        <w:t>按结果选择论文主张</w:t>
      </w:r>
    </w:p>
    <w:p>
      <w:pPr>
        <w:spacing w:after="100"/>
        <w:ind w:left="144" w:hanging="144"/>
      </w:pPr>
      <w:r>
        <w:t>• 单个新程序普遍更强：写单算法发现收益，不能自动写互补库成功。</w:t>
      </w:r>
    </w:p>
    <w:p>
      <w:pPr>
        <w:spacing w:after="100"/>
        <w:ind w:left="144" w:hanging="144"/>
      </w:pPr>
      <w:r>
        <w:t>• 推荐有效而LLM无额外收益：写可部署推荐，保留生成阴性比较。</w:t>
      </w:r>
    </w:p>
    <w:p>
      <w:pPr>
        <w:spacing w:after="100"/>
        <w:ind w:left="144" w:hanging="144"/>
      </w:pPr>
      <w:r>
        <w:t>• VBS提高但S不提高：写可观测性、成本或失效边界，需要充分机制证据。</w:t>
      </w:r>
    </w:p>
    <w:p>
      <w:pPr>
        <w:spacing w:after="100"/>
        <w:ind w:left="144" w:hanging="144"/>
      </w:pPr>
      <w:r>
        <w:t>• 新信用改善独立发现与部署：再论证具体方法增量，并完整对照近邻。</w:t>
      </w:r>
    </w:p>
    <w:p>
      <w:r>
        <w:t>投稿时先判断回答的是农业技术、运输系统还是通用算法问题，再查当时的范围与要求。VRP或LLM关键词不天然适合任何期刊。没有可信的录用概率、顶刊完成百分比或保证成功的固定工期。</w:t>
      </w:r>
    </w:p>
    <w:p>
      <w:pPr>
        <w:pStyle w:val="Heading2"/>
      </w:pPr>
      <w:r>
        <w:t>5  交付验收与研究增量</w:t>
      </w:r>
    </w:p>
    <w:p>
      <w:r>
        <w:t>结题验收针对可交付能力与成果，论文评价针对可支持的新知识。两套证据共用工程与数据，但不得互相替代。下表作为最终交接检查表，实际学校材料要求仍需在提交前核实。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58"/>
        <w:gridCol w:w="4291"/>
        <w:gridCol w:w="3845"/>
      </w:tblGrid>
      <w:tr>
        <w:trPr>
          <w:cantSplit/>
          <w:tblHeader/>
        </w:trPr>
        <w:tc>
          <w:tcPr>
            <w:tcW w:type="dxa" w:w="1858"/>
            <w:vAlign w:val="center"/>
            <w:tcMar>
              <w:top w:w="90" w:type="dxa"/>
              <w:left w:w="100" w:type="dxa"/>
              <w:bottom w:w="90" w:type="dxa"/>
              <w:right w:w="100" w:type="dxa"/>
            </w:tcMar>
            <w:shd w:fill="E9F0F5"/>
          </w:tcPr>
          <w:p>
            <w:pPr>
              <w:keepNext/>
              <w:spacing w:line="276" w:lineRule="exact" w:after="0"/>
            </w:pPr>
            <w:r>
              <w:rPr>
                <w:b/>
                <w:sz w:val="19"/>
              </w:rPr>
              <w:t>交付</w:t>
            </w:r>
          </w:p>
        </w:tc>
        <w:tc>
          <w:tcPr>
            <w:tcW w:type="dxa" w:w="4291"/>
            <w:vAlign w:val="center"/>
            <w:tcMar>
              <w:top w:w="90" w:type="dxa"/>
              <w:left w:w="100" w:type="dxa"/>
              <w:bottom w:w="90" w:type="dxa"/>
              <w:right w:w="100" w:type="dxa"/>
            </w:tcMar>
            <w:shd w:fill="E9F0F5"/>
          </w:tcPr>
          <w:p>
            <w:pPr>
              <w:keepNext/>
              <w:spacing w:line="276" w:lineRule="exact" w:after="0"/>
            </w:pPr>
            <w:r>
              <w:rPr>
                <w:b/>
                <w:sz w:val="19"/>
              </w:rPr>
              <w:t>完成证据</w:t>
            </w:r>
          </w:p>
        </w:tc>
        <w:tc>
          <w:tcPr>
            <w:tcW w:type="dxa" w:w="3845"/>
            <w:vAlign w:val="center"/>
            <w:tcMar>
              <w:top w:w="90" w:type="dxa"/>
              <w:left w:w="100" w:type="dxa"/>
              <w:bottom w:w="90" w:type="dxa"/>
              <w:right w:w="100" w:type="dxa"/>
            </w:tcMar>
            <w:shd w:fill="E9F0F5"/>
          </w:tcPr>
          <w:p>
            <w:pPr>
              <w:keepNext/>
              <w:spacing w:line="276" w:lineRule="exact" w:after="0"/>
            </w:pPr>
            <w:r>
              <w:rPr>
                <w:b/>
                <w:sz w:val="19"/>
              </w:rPr>
              <w:t>与论文的关系</w:t>
            </w:r>
          </w:p>
        </w:tc>
      </w:tr>
      <w:tr>
        <w:trPr>
          <w:cantSplit/>
        </w:trPr>
        <w:tc>
          <w:tcPr>
            <w:tcW w:type="dxa" w:w="1858"/>
            <w:vAlign w:val="center"/>
            <w:tcMar>
              <w:top w:w="90" w:type="dxa"/>
              <w:left w:w="100" w:type="dxa"/>
              <w:bottom w:w="90" w:type="dxa"/>
              <w:right w:w="100" w:type="dxa"/>
            </w:tcMar>
          </w:tcPr>
          <w:p>
            <w:pPr>
              <w:spacing w:line="276" w:lineRule="exact" w:after="0"/>
            </w:pPr>
            <w:r>
              <w:rPr>
                <w:sz w:val="19"/>
              </w:rPr>
              <w:t>算法库</w:t>
            </w:r>
          </w:p>
        </w:tc>
        <w:tc>
          <w:tcPr>
            <w:tcW w:type="dxa" w:w="4291"/>
            <w:vAlign w:val="center"/>
            <w:tcMar>
              <w:top w:w="90" w:type="dxa"/>
              <w:left w:w="100" w:type="dxa"/>
              <w:bottom w:w="90" w:type="dxa"/>
              <w:right w:w="100" w:type="dxa"/>
            </w:tcMar>
          </w:tcPr>
          <w:p>
            <w:pPr>
              <w:spacing w:line="276" w:lineRule="exact" w:after="0"/>
            </w:pPr>
            <w:r>
              <w:rPr>
                <w:sz w:val="19"/>
              </w:rPr>
              <w:t>版本化注册表、来源许可、能力测试、成功与失败案例、可复现调用。</w:t>
            </w:r>
          </w:p>
        </w:tc>
        <w:tc>
          <w:tcPr>
            <w:tcW w:type="dxa" w:w="3845"/>
            <w:vAlign w:val="center"/>
            <w:tcMar>
              <w:top w:w="90" w:type="dxa"/>
              <w:left w:w="100" w:type="dxa"/>
              <w:bottom w:w="90" w:type="dxa"/>
              <w:right w:w="100" w:type="dxa"/>
            </w:tcMar>
          </w:tcPr>
          <w:p>
            <w:pPr>
              <w:spacing w:line="276" w:lineRule="exact" w:after="0"/>
            </w:pPr>
            <w:r>
              <w:rPr>
                <w:sz w:val="19"/>
              </w:rPr>
              <w:t>提供强传统与生成候选；数量不等于创新。</w:t>
            </w:r>
          </w:p>
        </w:tc>
      </w:tr>
      <w:tr>
        <w:trPr>
          <w:cantSplit/>
        </w:trPr>
        <w:tc>
          <w:tcPr>
            <w:tcW w:type="dxa" w:w="1858"/>
            <w:vAlign w:val="center"/>
            <w:tcMar>
              <w:top w:w="90" w:type="dxa"/>
              <w:left w:w="100" w:type="dxa"/>
              <w:bottom w:w="90" w:type="dxa"/>
              <w:right w:w="100" w:type="dxa"/>
            </w:tcMar>
          </w:tcPr>
          <w:p>
            <w:pPr>
              <w:spacing w:line="276" w:lineRule="exact" w:after="0"/>
            </w:pPr>
            <w:r>
              <w:rPr>
                <w:sz w:val="19"/>
              </w:rPr>
              <w:t>大模型在环原型</w:t>
            </w:r>
          </w:p>
        </w:tc>
        <w:tc>
          <w:tcPr>
            <w:tcW w:type="dxa" w:w="4291"/>
            <w:vAlign w:val="center"/>
            <w:tcMar>
              <w:top w:w="90" w:type="dxa"/>
              <w:left w:w="100" w:type="dxa"/>
              <w:bottom w:w="90" w:type="dxa"/>
              <w:right w:w="100" w:type="dxa"/>
            </w:tcMar>
          </w:tcPr>
          <w:p>
            <w:pPr>
              <w:spacing w:line="276" w:lineRule="exact" w:after="0"/>
            </w:pPr>
            <w:r>
              <w:rPr>
                <w:sz w:val="19"/>
              </w:rPr>
              <w:t>语言任务→约束→候选ID→真实运行→独立检查→实测比较。</w:t>
            </w:r>
          </w:p>
        </w:tc>
        <w:tc>
          <w:tcPr>
            <w:tcW w:type="dxa" w:w="3845"/>
            <w:vAlign w:val="center"/>
            <w:tcMar>
              <w:top w:w="90" w:type="dxa"/>
              <w:left w:w="100" w:type="dxa"/>
              <w:bottom w:w="90" w:type="dxa"/>
              <w:right w:w="100" w:type="dxa"/>
            </w:tcMar>
          </w:tcPr>
          <w:p>
            <w:pPr>
              <w:spacing w:line="276" w:lineRule="exact" w:after="0"/>
            </w:pPr>
            <w:r>
              <w:rPr>
                <w:sz w:val="19"/>
              </w:rPr>
              <w:t>分别评价理解、编排、性能选择与生成贡献。</w:t>
            </w:r>
          </w:p>
        </w:tc>
      </w:tr>
      <w:tr>
        <w:trPr>
          <w:cantSplit/>
        </w:trPr>
        <w:tc>
          <w:tcPr>
            <w:tcW w:type="dxa" w:w="1858"/>
            <w:vAlign w:val="center"/>
            <w:tcMar>
              <w:top w:w="90" w:type="dxa"/>
              <w:left w:w="100" w:type="dxa"/>
              <w:bottom w:w="90" w:type="dxa"/>
              <w:right w:w="100" w:type="dxa"/>
            </w:tcMar>
          </w:tcPr>
          <w:p>
            <w:pPr>
              <w:spacing w:line="276" w:lineRule="exact" w:after="0"/>
            </w:pPr>
            <w:r>
              <w:rPr>
                <w:sz w:val="19"/>
              </w:rPr>
              <w:t>农业案例</w:t>
            </w:r>
          </w:p>
        </w:tc>
        <w:tc>
          <w:tcPr>
            <w:tcW w:type="dxa" w:w="4291"/>
            <w:vAlign w:val="center"/>
            <w:tcMar>
              <w:top w:w="90" w:type="dxa"/>
              <w:left w:w="100" w:type="dxa"/>
              <w:bottom w:w="90" w:type="dxa"/>
              <w:right w:w="100" w:type="dxa"/>
            </w:tcMar>
          </w:tcPr>
          <w:p>
            <w:pPr>
              <w:spacing w:line="276" w:lineRule="exact" w:after="0"/>
            </w:pPr>
            <w:r>
              <w:rPr>
                <w:sz w:val="19"/>
              </w:rPr>
              <w:t>运输、巡检避障、多点、覆盖能力有对应输入、结果和验算。</w:t>
            </w:r>
          </w:p>
        </w:tc>
        <w:tc>
          <w:tcPr>
            <w:tcW w:type="dxa" w:w="3845"/>
            <w:vAlign w:val="center"/>
            <w:tcMar>
              <w:top w:w="90" w:type="dxa"/>
              <w:left w:w="100" w:type="dxa"/>
              <w:bottom w:w="90" w:type="dxa"/>
              <w:right w:w="100" w:type="dxa"/>
            </w:tcMar>
          </w:tcPr>
          <w:p>
            <w:pPr>
              <w:spacing w:line="276" w:lineRule="exact" w:after="0"/>
            </w:pPr>
            <w:r>
              <w:rPr>
                <w:sz w:val="19"/>
              </w:rPr>
              <w:t>主文聚焦一个科学问题，其余作系统覆盖与外部检查。</w:t>
            </w:r>
          </w:p>
        </w:tc>
      </w:tr>
      <w:tr>
        <w:trPr>
          <w:cantSplit/>
        </w:trPr>
        <w:tc>
          <w:tcPr>
            <w:tcW w:type="dxa" w:w="1858"/>
            <w:vAlign w:val="center"/>
            <w:tcMar>
              <w:top w:w="90" w:type="dxa"/>
              <w:left w:w="100" w:type="dxa"/>
              <w:bottom w:w="90" w:type="dxa"/>
              <w:right w:w="100" w:type="dxa"/>
            </w:tcMar>
          </w:tcPr>
          <w:p>
            <w:pPr>
              <w:spacing w:line="276" w:lineRule="exact" w:after="0"/>
            </w:pPr>
            <w:r>
              <w:rPr>
                <w:sz w:val="19"/>
              </w:rPr>
              <w:t>自动设计主线</w:t>
            </w:r>
          </w:p>
        </w:tc>
        <w:tc>
          <w:tcPr>
            <w:tcW w:type="dxa" w:w="4291"/>
            <w:vAlign w:val="center"/>
            <w:tcMar>
              <w:top w:w="90" w:type="dxa"/>
              <w:left w:w="100" w:type="dxa"/>
              <w:bottom w:w="90" w:type="dxa"/>
              <w:right w:w="100" w:type="dxa"/>
            </w:tcMar>
          </w:tcPr>
          <w:p>
            <w:pPr>
              <w:spacing w:line="276" w:lineRule="exact" w:after="0"/>
            </w:pPr>
            <w:r>
              <w:rPr>
                <w:sz w:val="19"/>
              </w:rPr>
              <w:t>真实请求、父代/反馈、候选、演化更新、多问题执行与导出。</w:t>
            </w:r>
          </w:p>
        </w:tc>
        <w:tc>
          <w:tcPr>
            <w:tcW w:type="dxa" w:w="3845"/>
            <w:vAlign w:val="center"/>
            <w:tcMar>
              <w:top w:w="90" w:type="dxa"/>
              <w:left w:w="100" w:type="dxa"/>
              <w:bottom w:w="90" w:type="dxa"/>
              <w:right w:w="100" w:type="dxa"/>
            </w:tcMar>
          </w:tcPr>
          <w:p>
            <w:pPr>
              <w:spacing w:line="276" w:lineRule="exact" w:after="0"/>
            </w:pPr>
            <w:r>
              <w:rPr>
                <w:sz w:val="19"/>
              </w:rPr>
              <w:t>有效生成、单体胜出、互补及机制创新分别判断。</w:t>
            </w:r>
          </w:p>
        </w:tc>
      </w:tr>
      <w:tr>
        <w:trPr>
          <w:cantSplit/>
        </w:trPr>
        <w:tc>
          <w:tcPr>
            <w:tcW w:type="dxa" w:w="1858"/>
            <w:vAlign w:val="center"/>
            <w:tcMar>
              <w:top w:w="90" w:type="dxa"/>
              <w:left w:w="100" w:type="dxa"/>
              <w:bottom w:w="90" w:type="dxa"/>
              <w:right w:w="100" w:type="dxa"/>
            </w:tcMar>
          </w:tcPr>
          <w:p>
            <w:pPr>
              <w:spacing w:line="276" w:lineRule="exact" w:after="0"/>
            </w:pPr>
            <w:r>
              <w:rPr>
                <w:sz w:val="19"/>
              </w:rPr>
              <w:t>同名研究报告</w:t>
            </w:r>
          </w:p>
        </w:tc>
        <w:tc>
          <w:tcPr>
            <w:tcW w:type="dxa" w:w="4291"/>
            <w:vAlign w:val="center"/>
            <w:tcMar>
              <w:top w:w="90" w:type="dxa"/>
              <w:left w:w="100" w:type="dxa"/>
              <w:bottom w:w="90" w:type="dxa"/>
              <w:right w:w="100" w:type="dxa"/>
            </w:tcMar>
          </w:tcPr>
          <w:p>
            <w:pPr>
              <w:spacing w:line="276" w:lineRule="exact" w:after="0"/>
            </w:pPr>
            <w:r>
              <w:rPr>
                <w:sz w:val="19"/>
              </w:rPr>
              <w:t>要求映射、方法、全部主比较、失败、局限、原始证据索引。</w:t>
            </w:r>
          </w:p>
        </w:tc>
        <w:tc>
          <w:tcPr>
            <w:tcW w:type="dxa" w:w="3845"/>
            <w:vAlign w:val="center"/>
            <w:tcMar>
              <w:top w:w="90" w:type="dxa"/>
              <w:left w:w="100" w:type="dxa"/>
              <w:bottom w:w="90" w:type="dxa"/>
              <w:right w:w="100" w:type="dxa"/>
            </w:tcMar>
          </w:tcPr>
          <w:p>
            <w:pPr>
              <w:spacing w:line="276" w:lineRule="exact" w:after="0"/>
            </w:pPr>
            <w:r>
              <w:rPr>
                <w:sz w:val="19"/>
              </w:rPr>
              <w:t>真实阴性和未完成项不隐藏。</w:t>
            </w:r>
          </w:p>
        </w:tc>
      </w:tr>
      <w:tr>
        <w:trPr>
          <w:cantSplit/>
        </w:trPr>
        <w:tc>
          <w:tcPr>
            <w:tcW w:type="dxa" w:w="1858"/>
            <w:vAlign w:val="center"/>
            <w:tcMar>
              <w:top w:w="90" w:type="dxa"/>
              <w:left w:w="100" w:type="dxa"/>
              <w:bottom w:w="90" w:type="dxa"/>
              <w:right w:w="100" w:type="dxa"/>
            </w:tcMar>
          </w:tcPr>
          <w:p>
            <w:pPr>
              <w:spacing w:line="276" w:lineRule="exact" w:after="0"/>
            </w:pPr>
            <w:r>
              <w:rPr>
                <w:sz w:val="19"/>
              </w:rPr>
              <w:t>软著与专利申请</w:t>
            </w:r>
          </w:p>
        </w:tc>
        <w:tc>
          <w:tcPr>
            <w:tcW w:type="dxa" w:w="4291"/>
            <w:vAlign w:val="center"/>
            <w:tcMar>
              <w:top w:w="90" w:type="dxa"/>
              <w:left w:w="100" w:type="dxa"/>
              <w:bottom w:w="90" w:type="dxa"/>
              <w:right w:w="100" w:type="dxa"/>
            </w:tcMar>
          </w:tcPr>
          <w:p>
            <w:pPr>
              <w:spacing w:line="276" w:lineRule="exact" w:after="0"/>
            </w:pPr>
            <w:r>
              <w:rPr>
                <w:sz w:val="19"/>
              </w:rPr>
              <w:t>定版材料、作者/权属核对、提交凭证及状态。</w:t>
            </w:r>
          </w:p>
        </w:tc>
        <w:tc>
          <w:tcPr>
            <w:tcW w:type="dxa" w:w="3845"/>
            <w:vAlign w:val="center"/>
            <w:tcMar>
              <w:top w:w="90" w:type="dxa"/>
              <w:left w:w="100" w:type="dxa"/>
              <w:bottom w:w="90" w:type="dxa"/>
              <w:right w:w="100" w:type="dxa"/>
            </w:tcMar>
          </w:tcPr>
          <w:p>
            <w:pPr>
              <w:spacing w:line="276" w:lineRule="exact" w:after="0"/>
            </w:pPr>
            <w:r>
              <w:rPr>
                <w:sz w:val="19"/>
              </w:rPr>
              <w:t>申请不等于授权；技术主张需有依据。</w:t>
            </w:r>
          </w:p>
        </w:tc>
      </w:tr>
    </w:tbl>
    <w:p>
      <w:pPr>
        <w:spacing w:after="0" w:before="0" w:line="240" w:lineRule="auto"/>
      </w:pPr>
      <w:r>
        <w:rPr>
          <w:sz w:val="6"/>
        </w:rPr>
      </w:r>
    </w:p>
    <w:p>
      <w:pPr>
        <w:pStyle w:val="Heading3"/>
      </w:pPr>
      <w:r>
        <w:t>交接包应能回答的五个问题</w:t>
      </w:r>
    </w:p>
    <w:p>
      <w:pPr>
        <w:spacing w:after="100"/>
        <w:ind w:left="144" w:hanging="144"/>
      </w:pPr>
      <w:r>
        <w:t>• 这是什么版本的任务、程序、数据与评测器？</w:t>
      </w:r>
    </w:p>
    <w:p>
      <w:pPr>
        <w:spacing w:after="100"/>
        <w:ind w:left="144" w:hanging="144"/>
      </w:pPr>
      <w:r>
        <w:t>• 输入来自哪里，哪部分是真实、合成或未知？</w:t>
      </w:r>
    </w:p>
    <w:p>
      <w:pPr>
        <w:spacing w:after="100"/>
        <w:ind w:left="144" w:hanging="144"/>
      </w:pPr>
      <w:r>
        <w:t>• 实际跑了哪些计划机会，哪些失败或缺失？</w:t>
      </w:r>
    </w:p>
    <w:p>
      <w:pPr>
        <w:spacing w:after="100"/>
        <w:ind w:left="144" w:hanging="144"/>
      </w:pPr>
      <w:r>
        <w:t>• 推荐和生成各自带来什么，付出了什么成本？</w:t>
      </w:r>
    </w:p>
    <w:p>
      <w:pPr>
        <w:spacing w:after="100"/>
        <w:ind w:left="144" w:hanging="144"/>
      </w:pPr>
      <w:r>
        <w:t>• 用同样原件与命令能否重放，哪些结论仍待验证？</w:t>
      </w:r>
    </w:p>
    <w:p>
      <w:r>
        <w:t>两项申报目标都是申请，不是保证授权；材料准备、提交、受理及后续状态分别登记。本轮仅制定研究计划。后续整理技术材料、第三方来源与现有技术，由导师及专业人员评估；未提交不记完成，不预判法律可专利性。交接包保留原件、协议、失败与复现入口，静态示例不标实时求解。</w:t>
      </w:r>
    </w:p>
    <w:p>
      <w:bookmarkStart w:id="9000" w:name="part_8"/>
      <w:pPr>
        <w:pStyle w:val="Heading1"/>
      </w:pPr>
      <w:r>
        <w:t>附录 来源覆盖与参考依据</w:t>
      </w:r>
      <w:bookmarkEnd w:id="9000"/>
    </w:p>
    <w:p>
      <w:pPr>
        <w:pStyle w:val="Heading2"/>
      </w:pPr>
      <w:r>
        <w:t>1  来源覆盖与使用边界</w:t>
      </w:r>
    </w:p>
    <w:p>
      <w:r>
        <w:t>本方案以三份已有定稿为整合来源。项目事实采用最新《URP研究计划》已核口径；技术选型采用《URP技术方案》；各探索的机制、最小实验及复现入口来自《研究路线评议》。本次不联网、不重读论文库、不运行科研实验。下列覆盖是上轮已记录的阅读范围，不是本次新增阅读。</w:t>
      </w:r>
    </w:p>
    <w:p>
      <w:r>
        <w:t>规范索引565项，包括549篇论文与16部教材笔记，来自574份来源的别名归并。已全文阅读551/565份规范笔记，即535/549篇论文笔记和16/16份教材笔记；不等于原论文PDF逐篇全文重读或教材整书重读。另摘读549篇比较卡的“方法、限制、项目关联”，已读16主题综述与4专题。原论文仅回查少数决定性页面。</w:t>
      </w:r>
    </w:p>
    <w:p>
      <w:r>
        <w:t>仍未全文读完的14篇规范笔记：P274、P297、P318、P380、P447、P448、P451、P455、P472、P487、P496、P521、P527、P535。保留原清单，不由本次整合自动触发补读。</w:t>
      </w:r>
    </w:p>
    <w:p>
      <w:r>
        <w:t>覆盖来自分块回执：M01—M04为120/134，M05—M08为136/136，M09—M12为178/178，M13—M16为117/117；旧公共登记尚未统一逐ID回填。M01—M04表内117篇，另有P245、P254、P258全文回执，合计120，不再叠加第一阶段25篇。</w:t>
      </w:r>
    </w:p>
    <w:p>
      <w:r>
        <w:t>另有324份待核研究正文，完整读15、部分读2、309未完整读；此前52份入口、综述和报告另计。历史归档198个嵌套成员、4个7z、2个rar未枚举，167个gzip单流未解压。因此不称全部研究文本或历史原稿已读完。</w:t>
      </w:r>
    </w:p>
    <w:p>
      <w:pPr>
        <w:pStyle w:val="Heading3"/>
      </w:pPr>
      <w:r>
        <w:t>已更正的事实继续沿用</w:t>
      </w:r>
    </w:p>
    <w:p>
      <w:r>
        <w:t>新20条EOH对公开EoH为4胜4平12负、多30箱；IID严格18/20、技术补齐19/20，完整20例主比较仍缺。60槽是生成机会，非独立发现；有限固定池、DAG选择及训练偏好各自保留依赖结构。CALM附录特定基线对应疑点不用于优势论证；不外推否定整篇工作。</w:t>
      </w:r>
    </w:p>
    <w:p>
      <w:r>
        <w:t>文献、源码、数据在库，历史实验有账本，当前版本运行合格和田间有效是不同证据层级。版本敏感的软件参数与许可在实施时锁定；本文沿用已有核验结果，不把链接存在写成已经安装或复现。</w:t>
      </w:r>
    </w:p>
    <w:p>
      <w:pPr>
        <w:pStyle w:val="Heading2"/>
      </w:pPr>
      <w:r>
        <w:t>2  全主题落实索引</w:t>
      </w:r>
    </w:p>
    <w:p>
      <w:r>
        <w:t>本表给出原16主题在统一方案中的位置。“采用”表示拟采用原则或合格组件，不代表已安装、复现或证明增益；“条件探索”均保留最小实验与退出标准。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70"/>
      </w:tblGrid>
      <w:tr>
        <w:trPr>
          <w:cantSplit/>
          <w:tblHeader/>
        </w:trPr>
        <w:tc>
          <w:tcPr>
            <w:tcW w:type="dxa" w:w="3024"/>
            <w:vAlign w:val="center"/>
            <w:tcMar>
              <w:top w:w="90" w:type="dxa"/>
              <w:left w:w="100" w:type="dxa"/>
              <w:bottom w:w="90" w:type="dxa"/>
              <w:right w:w="100" w:type="dxa"/>
            </w:tcMar>
            <w:shd w:fill="E9F0F5"/>
          </w:tcPr>
          <w:p>
            <w:pPr>
              <w:keepNext/>
              <w:spacing w:line="276" w:lineRule="exact" w:after="0"/>
            </w:pPr>
            <w:r>
              <w:rPr>
                <w:b/>
                <w:sz w:val="19"/>
              </w:rPr>
              <w:t>主题</w:t>
            </w:r>
          </w:p>
        </w:tc>
        <w:tc>
          <w:tcPr>
            <w:tcW w:type="dxa" w:w="6970"/>
            <w:vAlign w:val="center"/>
            <w:tcMar>
              <w:top w:w="90" w:type="dxa"/>
              <w:left w:w="100" w:type="dxa"/>
              <w:bottom w:w="90" w:type="dxa"/>
              <w:right w:w="100" w:type="dxa"/>
            </w:tcMar>
            <w:shd w:fill="E9F0F5"/>
          </w:tcPr>
          <w:p>
            <w:pPr>
              <w:keepNext/>
              <w:spacing w:line="276" w:lineRule="exact" w:after="0"/>
            </w:pPr>
            <w:r>
              <w:rPr>
                <w:b/>
                <w:sz w:val="19"/>
              </w:rPr>
              <w:t>方案中的位置与下一步</w:t>
            </w:r>
          </w:p>
        </w:tc>
      </w:tr>
      <w:tr>
        <w:trPr>
          <w:cantSplit/>
        </w:trPr>
        <w:tc>
          <w:tcPr>
            <w:tcW w:type="dxa" w:w="3024"/>
            <w:vAlign w:val="center"/>
            <w:tcMar>
              <w:top w:w="90" w:type="dxa"/>
              <w:left w:w="100" w:type="dxa"/>
              <w:bottom w:w="90" w:type="dxa"/>
              <w:right w:w="100" w:type="dxa"/>
            </w:tcMar>
          </w:tcPr>
          <w:p>
            <w:pPr>
              <w:spacing w:line="276" w:lineRule="exact" w:after="0"/>
            </w:pPr>
            <w:r>
              <w:rPr>
                <w:sz w:val="19"/>
              </w:rPr>
              <w:t>M01 自动算法设计</w:t>
            </w:r>
          </w:p>
        </w:tc>
        <w:tc>
          <w:tcPr>
            <w:tcW w:type="dxa" w:w="6970"/>
            <w:vAlign w:val="center"/>
            <w:tcMar>
              <w:top w:w="90" w:type="dxa"/>
              <w:left w:w="100" w:type="dxa"/>
              <w:bottom w:w="90" w:type="dxa"/>
              <w:right w:w="100" w:type="dxa"/>
            </w:tcMar>
          </w:tcPr>
          <w:p>
            <w:pPr>
              <w:spacing w:line="276" w:lineRule="exact" w:after="0"/>
            </w:pPr>
            <w:r>
              <w:rPr>
                <w:sz w:val="19"/>
              </w:rPr>
              <w:t>冻结生成器、窄接口、真实反馈；生成修复与进化实验。</w:t>
            </w:r>
          </w:p>
        </w:tc>
      </w:tr>
      <w:tr>
        <w:trPr>
          <w:cantSplit/>
        </w:trPr>
        <w:tc>
          <w:tcPr>
            <w:tcW w:type="dxa" w:w="3024"/>
            <w:vAlign w:val="center"/>
            <w:tcMar>
              <w:top w:w="90" w:type="dxa"/>
              <w:left w:w="100" w:type="dxa"/>
              <w:bottom w:w="90" w:type="dxa"/>
              <w:right w:w="100" w:type="dxa"/>
            </w:tcMar>
          </w:tcPr>
          <w:p>
            <w:pPr>
              <w:spacing w:line="276" w:lineRule="exact" w:after="0"/>
            </w:pPr>
            <w:r>
              <w:rPr>
                <w:sz w:val="19"/>
              </w:rPr>
              <w:t>M02 库生成与推荐</w:t>
            </w:r>
          </w:p>
        </w:tc>
        <w:tc>
          <w:tcPr>
            <w:tcW w:type="dxa" w:w="6970"/>
            <w:vAlign w:val="center"/>
            <w:tcMar>
              <w:top w:w="90" w:type="dxa"/>
              <w:left w:w="100" w:type="dxa"/>
              <w:bottom w:w="90" w:type="dxa"/>
              <w:right w:w="100" w:type="dxa"/>
            </w:tcMar>
          </w:tcPr>
          <w:p>
            <w:pPr>
              <w:spacing w:line="276" w:lineRule="exact" w:after="0"/>
            </w:pPr>
            <w:r>
              <w:rPr>
                <w:sz w:val="19"/>
              </w:rPr>
              <w:t>四格、Lcfg/Lret、同池信用与独立发现。</w:t>
            </w:r>
          </w:p>
        </w:tc>
      </w:tr>
      <w:tr>
        <w:trPr>
          <w:cantSplit/>
        </w:trPr>
        <w:tc>
          <w:tcPr>
            <w:tcW w:type="dxa" w:w="3024"/>
            <w:vAlign w:val="center"/>
            <w:tcMar>
              <w:top w:w="90" w:type="dxa"/>
              <w:left w:w="100" w:type="dxa"/>
              <w:bottom w:w="90" w:type="dxa"/>
              <w:right w:w="100" w:type="dxa"/>
            </w:tcMar>
          </w:tcPr>
          <w:p>
            <w:pPr>
              <w:spacing w:line="276" w:lineRule="exact" w:after="0"/>
            </w:pPr>
            <w:r>
              <w:rPr>
                <w:sz w:val="19"/>
              </w:rPr>
              <w:t>M03 agent自改进</w:t>
            </w:r>
          </w:p>
        </w:tc>
        <w:tc>
          <w:tcPr>
            <w:tcW w:type="dxa" w:w="6970"/>
            <w:vAlign w:val="center"/>
            <w:tcMar>
              <w:top w:w="90" w:type="dxa"/>
              <w:left w:w="100" w:type="dxa"/>
              <w:bottom w:w="90" w:type="dxa"/>
              <w:right w:w="100" w:type="dxa"/>
            </w:tcMar>
          </w:tcPr>
          <w:p>
            <w:pPr>
              <w:spacing w:line="276" w:lineRule="exact" w:after="0"/>
            </w:pPr>
            <w:r>
              <w:rPr>
                <w:sz w:val="19"/>
              </w:rPr>
              <w:t>谱系、失败记忆、固定工具下的harness决策；不扩权或自改验算器。</w:t>
            </w:r>
          </w:p>
        </w:tc>
      </w:tr>
      <w:tr>
        <w:trPr>
          <w:cantSplit/>
        </w:trPr>
        <w:tc>
          <w:tcPr>
            <w:tcW w:type="dxa" w:w="3024"/>
            <w:vAlign w:val="center"/>
            <w:tcMar>
              <w:top w:w="90" w:type="dxa"/>
              <w:left w:w="100" w:type="dxa"/>
              <w:bottom w:w="90" w:type="dxa"/>
              <w:right w:w="100" w:type="dxa"/>
            </w:tcMar>
          </w:tcPr>
          <w:p>
            <w:pPr>
              <w:spacing w:line="276" w:lineRule="exact" w:after="0"/>
            </w:pPr>
            <w:r>
              <w:rPr>
                <w:sz w:val="19"/>
              </w:rPr>
              <w:t>M04 算法选择与动态配置</w:t>
            </w:r>
          </w:p>
        </w:tc>
        <w:tc>
          <w:tcPr>
            <w:tcW w:type="dxa" w:w="6970"/>
            <w:vAlign w:val="center"/>
            <w:tcMar>
              <w:top w:w="90" w:type="dxa"/>
              <w:left w:w="100" w:type="dxa"/>
              <w:bottom w:w="90" w:type="dxa"/>
              <w:right w:w="100" w:type="dxa"/>
            </w:tcMar>
          </w:tcPr>
          <w:p>
            <w:pPr>
              <w:spacing w:line="276" w:lineRule="exact" w:after="0"/>
            </w:pPr>
            <w:r>
              <w:rPr>
                <w:sz w:val="19"/>
              </w:rPr>
              <w:t>廉价监督选择先行；运行进展有价值时研究预算控制。</w:t>
            </w:r>
          </w:p>
        </w:tc>
      </w:tr>
      <w:tr>
        <w:trPr>
          <w:cantSplit/>
        </w:trPr>
        <w:tc>
          <w:tcPr>
            <w:tcW w:type="dxa" w:w="3024"/>
            <w:vAlign w:val="center"/>
            <w:tcMar>
              <w:top w:w="90" w:type="dxa"/>
              <w:left w:w="100" w:type="dxa"/>
              <w:bottom w:w="90" w:type="dxa"/>
              <w:right w:w="100" w:type="dxa"/>
            </w:tcMar>
          </w:tcPr>
          <w:p>
            <w:pPr>
              <w:spacing w:line="276" w:lineRule="exact" w:after="0"/>
            </w:pPr>
            <w:r>
              <w:rPr>
                <w:sz w:val="19"/>
              </w:rPr>
              <w:t>M05 校准与拒判</w:t>
            </w:r>
          </w:p>
        </w:tc>
        <w:tc>
          <w:tcPr>
            <w:tcW w:type="dxa" w:w="6970"/>
            <w:vAlign w:val="center"/>
            <w:tcMar>
              <w:top w:w="90" w:type="dxa"/>
              <w:left w:w="100" w:type="dxa"/>
              <w:bottom w:w="90" w:type="dxa"/>
              <w:right w:w="100" w:type="dxa"/>
            </w:tcMar>
          </w:tcPr>
          <w:p>
            <w:pPr>
              <w:spacing w:line="276" w:lineRule="exact" w:after="0"/>
            </w:pPr>
            <w:r>
              <w:rPr>
                <w:sz w:val="19"/>
              </w:rPr>
              <w:t>对齐部署事件、校准单位及风险覆盖；CRC阴性保留。</w:t>
            </w:r>
          </w:p>
        </w:tc>
      </w:tr>
      <w:tr>
        <w:trPr>
          <w:cantSplit/>
        </w:trPr>
        <w:tc>
          <w:tcPr>
            <w:tcW w:type="dxa" w:w="3024"/>
            <w:vAlign w:val="center"/>
            <w:tcMar>
              <w:top w:w="90" w:type="dxa"/>
              <w:left w:w="100" w:type="dxa"/>
              <w:bottom w:w="90" w:type="dxa"/>
              <w:right w:w="100" w:type="dxa"/>
            </w:tcMar>
          </w:tcPr>
          <w:p>
            <w:pPr>
              <w:spacing w:line="276" w:lineRule="exact" w:after="0"/>
            </w:pPr>
            <w:r>
              <w:rPr>
                <w:sz w:val="19"/>
              </w:rPr>
              <w:t>M06 预算与反馈学习</w:t>
            </w:r>
          </w:p>
        </w:tc>
        <w:tc>
          <w:tcPr>
            <w:tcW w:type="dxa" w:w="6970"/>
            <w:vAlign w:val="center"/>
            <w:tcMar>
              <w:top w:w="90" w:type="dxa"/>
              <w:left w:w="100" w:type="dxa"/>
              <w:bottom w:w="90" w:type="dxa"/>
              <w:right w:w="100" w:type="dxa"/>
            </w:tcMar>
          </w:tcPr>
          <w:p>
            <w:pPr>
              <w:spacing w:line="276" w:lineRule="exact" w:after="0"/>
            </w:pPr>
            <w:r>
              <w:rPr>
                <w:sz w:val="19"/>
              </w:rPr>
              <w:t>固定调度/停滞规则、bandit、序贯RL按增量比较。</w:t>
            </w:r>
          </w:p>
        </w:tc>
      </w:tr>
      <w:tr>
        <w:trPr>
          <w:cantSplit/>
        </w:trPr>
        <w:tc>
          <w:tcPr>
            <w:tcW w:type="dxa" w:w="3024"/>
            <w:vAlign w:val="center"/>
            <w:tcMar>
              <w:top w:w="90" w:type="dxa"/>
              <w:left w:w="100" w:type="dxa"/>
              <w:bottom w:w="90" w:type="dxa"/>
              <w:right w:w="100" w:type="dxa"/>
            </w:tcMar>
          </w:tcPr>
          <w:p>
            <w:pPr>
              <w:spacing w:line="276" w:lineRule="exact" w:after="0"/>
            </w:pPr>
            <w:r>
              <w:rPr>
                <w:sz w:val="19"/>
              </w:rPr>
              <w:t>M07 共演化与泛化</w:t>
            </w:r>
          </w:p>
        </w:tc>
        <w:tc>
          <w:tcPr>
            <w:tcW w:type="dxa" w:w="6970"/>
            <w:vAlign w:val="center"/>
            <w:tcMar>
              <w:top w:w="90" w:type="dxa"/>
              <w:left w:w="100" w:type="dxa"/>
              <w:bottom w:w="90" w:type="dxa"/>
              <w:right w:w="100" w:type="dxa"/>
            </w:tcMar>
          </w:tcPr>
          <w:p>
            <w:pPr>
              <w:spacing w:line="276" w:lineRule="exact" w:after="0"/>
            </w:pPr>
            <w:r>
              <w:rPr>
                <w:sz w:val="19"/>
              </w:rPr>
              <w:t>母组、分布变化、独立发现；生成困难实例只在开发侧。</w:t>
            </w:r>
          </w:p>
        </w:tc>
      </w:tr>
      <w:tr>
        <w:trPr>
          <w:cantSplit/>
        </w:trPr>
        <w:tc>
          <w:tcPr>
            <w:tcW w:type="dxa" w:w="3024"/>
            <w:vAlign w:val="center"/>
            <w:tcMar>
              <w:top w:w="90" w:type="dxa"/>
              <w:left w:w="100" w:type="dxa"/>
              <w:bottom w:w="90" w:type="dxa"/>
              <w:right w:w="100" w:type="dxa"/>
            </w:tcMar>
          </w:tcPr>
          <w:p>
            <w:pPr>
              <w:spacing w:line="276" w:lineRule="exact" w:after="0"/>
            </w:pPr>
            <w:r>
              <w:rPr>
                <w:sz w:val="19"/>
              </w:rPr>
              <w:t>M08 统计与程序验证</w:t>
            </w:r>
          </w:p>
        </w:tc>
        <w:tc>
          <w:tcPr>
            <w:tcW w:type="dxa" w:w="6970"/>
            <w:vAlign w:val="center"/>
            <w:tcMar>
              <w:top w:w="90" w:type="dxa"/>
              <w:left w:w="100" w:type="dxa"/>
              <w:bottom w:w="90" w:type="dxa"/>
              <w:right w:w="100" w:type="dxa"/>
            </w:tcMar>
          </w:tcPr>
          <w:p>
            <w:pPr>
              <w:spacing w:line="276" w:lineRule="exact" w:after="0"/>
            </w:pPr>
            <w:r>
              <w:rPr>
                <w:sz w:val="19"/>
              </w:rPr>
              <w:t>独立checker、全分母、全成本、原意金标准。</w:t>
            </w:r>
          </w:p>
        </w:tc>
      </w:tr>
      <w:tr>
        <w:trPr>
          <w:cantSplit/>
        </w:trPr>
        <w:tc>
          <w:tcPr>
            <w:tcW w:type="dxa" w:w="3024"/>
            <w:vAlign w:val="center"/>
            <w:tcMar>
              <w:top w:w="90" w:type="dxa"/>
              <w:left w:w="100" w:type="dxa"/>
              <w:bottom w:w="90" w:type="dxa"/>
              <w:right w:w="100" w:type="dxa"/>
            </w:tcMar>
          </w:tcPr>
          <w:p>
            <w:pPr>
              <w:spacing w:line="276" w:lineRule="exact" w:after="0"/>
            </w:pPr>
            <w:r>
              <w:rPr>
                <w:sz w:val="19"/>
              </w:rPr>
              <w:t>M09 学习式路由</w:t>
            </w:r>
          </w:p>
        </w:tc>
        <w:tc>
          <w:tcPr>
            <w:tcW w:type="dxa" w:w="6970"/>
            <w:vAlign w:val="center"/>
            <w:tcMar>
              <w:top w:w="90" w:type="dxa"/>
              <w:left w:w="100" w:type="dxa"/>
              <w:bottom w:w="90" w:type="dxa"/>
              <w:right w:w="100" w:type="dxa"/>
            </w:tcMar>
          </w:tcPr>
          <w:p>
            <w:pPr>
              <w:spacing w:line="276" w:lineRule="exact" w:after="0"/>
            </w:pPr>
            <w:r>
              <w:rPr>
                <w:sz w:val="19"/>
              </w:rPr>
              <w:t>NDS/RRNCO/GFACS等分构造、改进与控制；先过合同资格。</w:t>
            </w:r>
          </w:p>
        </w:tc>
      </w:tr>
      <w:tr>
        <w:trPr>
          <w:cantSplit/>
        </w:trPr>
        <w:tc>
          <w:tcPr>
            <w:tcW w:type="dxa" w:w="3024"/>
            <w:vAlign w:val="center"/>
            <w:tcMar>
              <w:top w:w="90" w:type="dxa"/>
              <w:left w:w="100" w:type="dxa"/>
              <w:bottom w:w="90" w:type="dxa"/>
              <w:right w:w="100" w:type="dxa"/>
            </w:tcMar>
          </w:tcPr>
          <w:p>
            <w:pPr>
              <w:spacing w:line="276" w:lineRule="exact" w:after="0"/>
            </w:pPr>
            <w:r>
              <w:rPr>
                <w:sz w:val="19"/>
              </w:rPr>
              <w:t>M10 经典路由与搜索</w:t>
            </w:r>
          </w:p>
        </w:tc>
        <w:tc>
          <w:tcPr>
            <w:tcW w:type="dxa" w:w="6970"/>
            <w:vAlign w:val="center"/>
            <w:tcMar>
              <w:top w:w="90" w:type="dxa"/>
              <w:left w:w="100" w:type="dxa"/>
              <w:bottom w:w="90" w:type="dxa"/>
              <w:right w:w="100" w:type="dxa"/>
            </w:tcMar>
          </w:tcPr>
          <w:p>
            <w:pPr>
              <w:spacing w:line="276" w:lineRule="exact" w:after="0"/>
            </w:pPr>
            <w:r>
              <w:rPr>
                <w:sz w:val="19"/>
              </w:rPr>
              <w:t>PyVRP/强局搜、模式搜索与精确小例；排除目标错配。</w:t>
            </w:r>
          </w:p>
        </w:tc>
      </w:tr>
      <w:tr>
        <w:trPr>
          <w:cantSplit/>
        </w:trPr>
        <w:tc>
          <w:tcPr>
            <w:tcW w:type="dxa" w:w="3024"/>
            <w:vAlign w:val="center"/>
            <w:tcMar>
              <w:top w:w="90" w:type="dxa"/>
              <w:left w:w="100" w:type="dxa"/>
              <w:bottom w:w="90" w:type="dxa"/>
              <w:right w:w="100" w:type="dxa"/>
            </w:tcMar>
          </w:tcPr>
          <w:p>
            <w:pPr>
              <w:spacing w:line="276" w:lineRule="exact" w:after="0"/>
            </w:pPr>
            <w:r>
              <w:rPr>
                <w:sz w:val="19"/>
              </w:rPr>
              <w:t>M11 农业作业与覆盖</w:t>
            </w:r>
          </w:p>
        </w:tc>
        <w:tc>
          <w:tcPr>
            <w:tcW w:type="dxa" w:w="6970"/>
            <w:vAlign w:val="center"/>
            <w:tcMar>
              <w:top w:w="90" w:type="dxa"/>
              <w:left w:w="100" w:type="dxa"/>
              <w:bottom w:w="90" w:type="dxa"/>
              <w:right w:w="100" w:type="dxa"/>
            </w:tcMar>
          </w:tcPr>
          <w:p>
            <w:pPr>
              <w:spacing w:line="276" w:lineRule="exact" w:after="0"/>
            </w:pPr>
            <w:r>
              <w:rPr>
                <w:sz w:val="19"/>
              </w:rPr>
              <w:t>点、行、面、补给分合同；Fields2Cover等做强对照。</w:t>
            </w:r>
          </w:p>
        </w:tc>
      </w:tr>
      <w:tr>
        <w:trPr>
          <w:cantSplit/>
        </w:trPr>
        <w:tc>
          <w:tcPr>
            <w:tcW w:type="dxa" w:w="3024"/>
            <w:vAlign w:val="center"/>
            <w:tcMar>
              <w:top w:w="90" w:type="dxa"/>
              <w:left w:w="100" w:type="dxa"/>
              <w:bottom w:w="90" w:type="dxa"/>
              <w:right w:w="100" w:type="dxa"/>
            </w:tcMar>
          </w:tcPr>
          <w:p>
            <w:pPr>
              <w:spacing w:line="276" w:lineRule="exact" w:after="0"/>
            </w:pPr>
            <w:r>
              <w:rPr>
                <w:sz w:val="19"/>
              </w:rPr>
              <w:t>M12 运动与执行</w:t>
            </w:r>
          </w:p>
        </w:tc>
        <w:tc>
          <w:tcPr>
            <w:tcW w:type="dxa" w:w="6970"/>
            <w:vAlign w:val="center"/>
            <w:tcMar>
              <w:top w:w="90" w:type="dxa"/>
              <w:left w:w="100" w:type="dxa"/>
              <w:bottom w:w="90" w:type="dxa"/>
              <w:right w:w="100" w:type="dxa"/>
            </w:tcMar>
          </w:tcPr>
          <w:p>
            <w:pPr>
              <w:spacing w:line="276" w:lineRule="exact" w:after="0"/>
            </w:pPr>
            <w:r>
              <w:rPr>
                <w:sz w:val="19"/>
              </w:rPr>
              <w:t>姿态、足迹、曲率、局部避障；图合法与现场有效分开。</w:t>
            </w:r>
          </w:p>
        </w:tc>
      </w:tr>
      <w:tr>
        <w:trPr>
          <w:cantSplit/>
        </w:trPr>
        <w:tc>
          <w:tcPr>
            <w:tcW w:type="dxa" w:w="3024"/>
            <w:vAlign w:val="center"/>
            <w:tcMar>
              <w:top w:w="90" w:type="dxa"/>
              <w:left w:w="100" w:type="dxa"/>
              <w:bottom w:w="90" w:type="dxa"/>
              <w:right w:w="100" w:type="dxa"/>
            </w:tcMar>
          </w:tcPr>
          <w:p>
            <w:pPr>
              <w:spacing w:line="276" w:lineRule="exact" w:after="0"/>
            </w:pPr>
            <w:r>
              <w:rPr>
                <w:sz w:val="19"/>
              </w:rPr>
              <w:t>M13 进化与数学基础</w:t>
            </w:r>
          </w:p>
        </w:tc>
        <w:tc>
          <w:tcPr>
            <w:tcW w:type="dxa" w:w="6970"/>
            <w:vAlign w:val="center"/>
            <w:tcMar>
              <w:top w:w="90" w:type="dxa"/>
              <w:left w:w="100" w:type="dxa"/>
              <w:bottom w:w="90" w:type="dxa"/>
              <w:right w:w="100" w:type="dxa"/>
            </w:tcMar>
          </w:tcPr>
          <w:p>
            <w:pPr>
              <w:spacing w:line="276" w:lineRule="exact" w:after="0"/>
            </w:pPr>
            <w:r>
              <w:rPr>
                <w:sz w:val="19"/>
              </w:rPr>
              <w:t>保留更新、近似、预算和统计；理论主张贴合真实假设。</w:t>
            </w:r>
          </w:p>
        </w:tc>
      </w:tr>
      <w:tr>
        <w:trPr>
          <w:cantSplit/>
        </w:trPr>
        <w:tc>
          <w:tcPr>
            <w:tcW w:type="dxa" w:w="3024"/>
            <w:vAlign w:val="center"/>
            <w:tcMar>
              <w:top w:w="90" w:type="dxa"/>
              <w:left w:w="100" w:type="dxa"/>
              <w:bottom w:w="90" w:type="dxa"/>
              <w:right w:w="100" w:type="dxa"/>
            </w:tcMar>
          </w:tcPr>
          <w:p>
            <w:pPr>
              <w:spacing w:line="276" w:lineRule="exact" w:after="0"/>
            </w:pPr>
            <w:r>
              <w:rPr>
                <w:sz w:val="19"/>
              </w:rPr>
              <w:t>M14 代码模型与后训练</w:t>
            </w:r>
          </w:p>
        </w:tc>
        <w:tc>
          <w:tcPr>
            <w:tcW w:type="dxa" w:w="6970"/>
            <w:vAlign w:val="center"/>
            <w:tcMar>
              <w:top w:w="90" w:type="dxa"/>
              <w:left w:w="100" w:type="dxa"/>
              <w:bottom w:w="90" w:type="dxa"/>
              <w:right w:w="100" w:type="dxa"/>
            </w:tcMar>
          </w:tcPr>
          <w:p>
            <w:pPr>
              <w:spacing w:line="276" w:lineRule="exact" w:after="0"/>
            </w:pPr>
            <w:r>
              <w:rPr>
                <w:sz w:val="19"/>
              </w:rPr>
              <w:t>冻结/检索/追加搜索/SFT或DPO公平比较，开放权重先验训练资格。</w:t>
            </w:r>
          </w:p>
        </w:tc>
      </w:tr>
      <w:tr>
        <w:trPr>
          <w:cantSplit/>
        </w:trPr>
        <w:tc>
          <w:tcPr>
            <w:tcW w:type="dxa" w:w="3024"/>
            <w:vAlign w:val="center"/>
            <w:tcMar>
              <w:top w:w="90" w:type="dxa"/>
              <w:left w:w="100" w:type="dxa"/>
              <w:bottom w:w="90" w:type="dxa"/>
              <w:right w:w="100" w:type="dxa"/>
            </w:tcMar>
          </w:tcPr>
          <w:p>
            <w:pPr>
              <w:spacing w:line="276" w:lineRule="exact" w:after="0"/>
            </w:pPr>
            <w:r>
              <w:rPr>
                <w:sz w:val="19"/>
              </w:rPr>
              <w:t>M15 架构与强化学习</w:t>
            </w:r>
          </w:p>
        </w:tc>
        <w:tc>
          <w:tcPr>
            <w:tcW w:type="dxa" w:w="6970"/>
            <w:vAlign w:val="center"/>
            <w:tcMar>
              <w:top w:w="90" w:type="dxa"/>
              <w:left w:w="100" w:type="dxa"/>
              <w:bottom w:w="90" w:type="dxa"/>
              <w:right w:w="100" w:type="dxa"/>
            </w:tcMar>
          </w:tcPr>
          <w:p>
            <w:pPr>
              <w:spacing w:line="276" w:lineRule="exact" w:after="0"/>
            </w:pPr>
            <w:r>
              <w:rPr>
                <w:sz w:val="19"/>
              </w:rPr>
              <w:t>路线RL、预算RL、权重RL分立；NAS资产只支持对应复现。</w:t>
            </w:r>
          </w:p>
        </w:tc>
      </w:tr>
      <w:tr>
        <w:trPr>
          <w:cantSplit/>
        </w:trPr>
        <w:tc>
          <w:tcPr>
            <w:tcW w:type="dxa" w:w="3024"/>
            <w:vAlign w:val="center"/>
            <w:tcMar>
              <w:top w:w="90" w:type="dxa"/>
              <w:left w:w="100" w:type="dxa"/>
              <w:bottom w:w="90" w:type="dxa"/>
              <w:right w:w="100" w:type="dxa"/>
            </w:tcMar>
          </w:tcPr>
          <w:p>
            <w:pPr>
              <w:spacing w:line="276" w:lineRule="exact" w:after="0"/>
            </w:pPr>
            <w:r>
              <w:rPr>
                <w:sz w:val="19"/>
              </w:rPr>
              <w:t>M16 程序合成与运筹建模</w:t>
            </w:r>
          </w:p>
        </w:tc>
        <w:tc>
          <w:tcPr>
            <w:tcW w:type="dxa" w:w="6970"/>
            <w:vAlign w:val="center"/>
            <w:tcMar>
              <w:top w:w="90" w:type="dxa"/>
              <w:left w:w="100" w:type="dxa"/>
              <w:bottom w:w="90" w:type="dxa"/>
              <w:right w:w="100" w:type="dxa"/>
            </w:tcMar>
          </w:tcPr>
          <w:p>
            <w:pPr>
              <w:spacing w:line="276" w:lineRule="exact" w:after="0"/>
            </w:pPr>
            <w:r>
              <w:rPr>
                <w:sz w:val="19"/>
              </w:rPr>
              <w:t>结构化合同、受限工具、能力门控及反例修复。</w:t>
            </w:r>
          </w:p>
        </w:tc>
      </w:tr>
    </w:tbl>
    <w:p>
      <w:pPr>
        <w:spacing w:after="0" w:before="0" w:line="240" w:lineRule="auto"/>
      </w:pPr>
      <w:r>
        <w:rPr>
          <w:sz w:val="6"/>
        </w:rPr>
      </w:r>
    </w:p>
    <w:p>
      <w:pPr>
        <w:pStyle w:val="Heading2"/>
      </w:pPr>
      <w:r>
        <w:t>3  课题与项目原件来源</w:t>
      </w:r>
    </w:p>
    <w:p>
      <w:r>
        <w:t>以下保留原项目相对路径和原始来源身份，供已有交接包检索。文件存在不代表新的方法已执行；本方案所有新实验均为建议。</w:t>
      </w:r>
    </w:p>
    <w:p>
      <w:pPr>
        <w:pStyle w:val="Heading3"/>
      </w:pPr>
      <w:r>
        <w:t>课题要求</w:t>
      </w:r>
    </w:p>
    <w:p>
      <w:r>
        <w:t>[R1] materials/项目/立项申报书_20260315.docx。第三至四节：算法库、LLM场景理解与约束提取、候选推荐、实际调用和农业案例；第五节：仿真为主；第六节：五项成果。</w:t>
      </w:r>
    </w:p>
    <w:p>
      <w:r>
        <w:t>[R2] materials/学习/LLM自动算法设计入门指南.docx及同名PDF。PDF第20至22页，第六章“实践项目建议”；第21页P3、P5、P6。</w:t>
      </w:r>
    </w:p>
    <w:p>
      <w:r>
        <w:t>[R3] materials/项目/实施方案_20260908.pdf。后续实施取舍依据，不替代正式课题的全部能力要求。</w:t>
      </w:r>
    </w:p>
    <w:p>
      <w:pPr>
        <w:pStyle w:val="Heading3"/>
      </w:pPr>
      <w:r>
        <w:t>当前保存实验与原件核查</w:t>
      </w:r>
    </w:p>
    <w:p>
      <w:r>
        <w:t>[R4] 当前URP只读核查日期2026年10月11日。关键实物如下：</w:t>
      </w:r>
    </w:p>
    <w:p>
      <w:pPr>
        <w:spacing w:after="100"/>
        <w:ind w:left="144" w:hanging="144"/>
      </w:pPr>
      <w:r>
        <w:t>• data/bpp/records/MODEL.json、REPORT_ZH.md及analysis/confirmation_per_stream.csv、risk_per_stream.csv：冻结SBS、确认与风险重算。</w:t>
      </w:r>
    </w:p>
    <w:p>
      <w:pPr>
        <w:spacing w:after="100"/>
        <w:ind w:left="144" w:hanging="144"/>
      </w:pPr>
      <w:r>
        <w:t>• experiments/results/装箱演化/原132_P2公开评分56至60_最终增量与封账.zip：生成ledger、真实CLI回执、60槽结果；新序列确认.zip内RESULT_SUMMARY.json及CONFIRMATION_ANALYSIS_FINAL_STRICT_AND_TECHNICAL.json：新数据与缺失口径。</w:t>
      </w:r>
    </w:p>
    <w:p>
      <w:pPr>
        <w:spacing w:after="100"/>
        <w:ind w:left="144" w:hanging="144"/>
      </w:pPr>
      <w:r>
        <w:t>• experiments/results/路线选择/新64几何前瞻选择器.zip：protocol/input_manifest.json、raw/train_results.jsonl、raw/test_results.jsonl；相应完整双基线中文报告。</w:t>
      </w:r>
    </w:p>
    <w:p>
      <w:pPr>
        <w:spacing w:after="100"/>
        <w:ind w:left="144" w:hanging="144"/>
      </w:pPr>
      <w:r>
        <w:t>• experiments/reports/农业路径/124块NL算法多seed复验.txt及对应原始包：124母实例、1488槽与重复来源。</w:t>
      </w:r>
    </w:p>
    <w:p>
      <w:pPr>
        <w:spacing w:after="100"/>
        <w:ind w:left="144" w:hanging="144"/>
      </w:pPr>
      <w:r>
        <w:t>• experiments/results/服务与运动/四路实验_P102容量空间.zip、Dubins固定航向排序.zip及turn_modes结果；experiments/results/组件/orchard_navigation/results/main/raw.jsonl、replay.jsonl。</w:t>
      </w:r>
    </w:p>
    <w:p>
      <w:r>
        <w:t>当前工程边界：src/research/README.md、src/backend/backend/server.py；农业适配限制：experiments/results/组件/vehicle_routing/initialization_ablation_v1/adapter.py。原件中的历史状态和后续独立审计分别保留。</w:t>
      </w:r>
    </w:p>
    <w:p>
      <w:r>
        <w:t>[R21] 文献定位：literature/index.csv；literature/资料/来源合并.json；literature/笔记/下16主题的主题综述、比较表及逐篇笔记。覆盖依据：2026年10月11日阅读登记与M01至M16分块回执。规范未读以本方案覆盖附录列出的14个ID为准。</w:t>
      </w:r>
    </w:p>
    <w:p>
      <w:pPr>
        <w:pStyle w:val="Heading2"/>
      </w:pPr>
      <w:r>
        <w:t>4  方法与工程来源</w:t>
      </w:r>
    </w:p>
    <w:p>
      <w:r>
        <w:t>以下为本方案主要方法判断的原始论文或官方工程入口。版本敏感实现应在实际复现时固定提交；参考入口可读取不等于已在URP安装或运行。</w:t>
      </w:r>
    </w:p>
    <w:p>
      <w:r>
        <w:t>[R5] Romera-Paredes等，FunSearch，Nature 2024。LLM程序发现、独立评估与未见任务验证。</w:t>
        <w:br/>
      </w:r>
      <w:hyperlink r:id="rId22">
        <w:r>
          <w:rPr>
            <w:color w:val="204B70"/>
            <w:sz w:val="18"/>
          </w:rPr>
          <w:t>论文</w:t>
        </w:r>
      </w:hyperlink>
    </w:p>
    <w:p>
      <w:r>
        <w:t>[R6] EoH论文与官方实现；ReEvo，NeurIPS 2024。思想和代码演化、反思式生成反馈。</w:t>
        <w:br/>
      </w:r>
      <w:hyperlink r:id="rId23">
        <w:r>
          <w:rPr>
            <w:color w:val="204B70"/>
            <w:sz w:val="18"/>
          </w:rPr>
          <w:t>论文</w:t>
        </w:r>
      </w:hyperlink>
      <w:r>
        <w:br/>
      </w:r>
      <w:hyperlink r:id="rId24">
        <w:r>
          <w:rPr>
            <w:color w:val="204B70"/>
            <w:sz w:val="18"/>
          </w:rPr>
          <w:t>源码</w:t>
        </w:r>
      </w:hyperlink>
      <w:r>
        <w:br/>
      </w:r>
      <w:hyperlink r:id="rId25">
        <w:r>
          <w:rPr>
            <w:color w:val="204B70"/>
            <w:sz w:val="18"/>
          </w:rPr>
          <w:t>论文</w:t>
        </w:r>
      </w:hyperlink>
    </w:p>
    <w:p>
      <w:r>
        <w:t>[R7] Bischl等，ASlib，Artificial Intelligence 2016。统一算法选择场景、性能与特征费用。</w:t>
        <w:br/>
      </w:r>
      <w:hyperlink r:id="rId26">
        <w:r>
          <w:rPr>
            <w:color w:val="204B70"/>
            <w:sz w:val="18"/>
          </w:rPr>
          <w:t>论文</w:t>
        </w:r>
      </w:hyperlink>
      <w:r>
        <w:br/>
      </w:r>
      <w:hyperlink r:id="rId27">
        <w:r>
          <w:rPr>
            <w:color w:val="204B70"/>
            <w:sz w:val="18"/>
          </w:rPr>
          <w:t>论文</w:t>
        </w:r>
      </w:hyperlink>
    </w:p>
    <w:p>
      <w:r>
        <w:t>[R8] AutoFolio、irace与LLM4AD官方工程。分别用于选择、配置和生成评估适配。</w:t>
        <w:br/>
      </w:r>
      <w:hyperlink r:id="rId28">
        <w:r>
          <w:rPr>
            <w:color w:val="204B70"/>
            <w:sz w:val="18"/>
          </w:rPr>
          <w:t>源码</w:t>
        </w:r>
      </w:hyperlink>
      <w:r>
        <w:br/>
      </w:r>
      <w:hyperlink r:id="rId29">
        <w:r>
          <w:rPr>
            <w:color w:val="204B70"/>
            <w:sz w:val="18"/>
          </w:rPr>
          <w:t>官方来源</w:t>
        </w:r>
      </w:hyperlink>
      <w:r>
        <w:br/>
      </w:r>
      <w:hyperlink r:id="rId30">
        <w:r>
          <w:rPr>
            <w:color w:val="204B70"/>
            <w:sz w:val="18"/>
          </w:rPr>
          <w:t>源码</w:t>
        </w:r>
      </w:hyperlink>
    </w:p>
    <w:p>
      <w:r>
        <w:t>[R9] Xu、Hoos、Leyton-Brown，Hydra，2010；SATzilla成员贡献研究，2012。互补配置与实际选择，成员省略后重新训练。</w:t>
        <w:br/>
      </w:r>
      <w:hyperlink r:id="rId31">
        <w:r>
          <w:rPr>
            <w:color w:val="204B70"/>
            <w:sz w:val="18"/>
          </w:rPr>
          <w:t>官方来源</w:t>
        </w:r>
      </w:hyperlink>
      <w:r>
        <w:br/>
      </w:r>
      <w:hyperlink r:id="rId32">
        <w:r>
          <w:rPr>
            <w:color w:val="204B70"/>
            <w:sz w:val="18"/>
          </w:rPr>
          <w:t>官方来源</w:t>
        </w:r>
      </w:hyperlink>
      <w:r>
        <w:t xml:space="preserve"> </w:t>
      </w:r>
      <w:hyperlink r:id="rId33">
        <w:r>
          <w:rPr>
            <w:color w:val="204B70"/>
            <w:sz w:val="18"/>
          </w:rPr>
          <w:t>Hydra作者资源</w:t>
        </w:r>
      </w:hyperlink>
      <w:r>
        <w:t>；</w:t>
      </w:r>
      <w:hyperlink r:id="rId34">
        <w:r>
          <w:rPr>
            <w:color w:val="204B70"/>
            <w:sz w:val="18"/>
          </w:rPr>
          <w:t>SATzilla作者资源</w:t>
        </w:r>
      </w:hyperlink>
      <w:r>
        <w:t>。</w:t>
      </w:r>
    </w:p>
    <w:p>
      <w:r>
        <w:t>[R10] EoH-S正式论文。互补启发式集合与CPI。</w:t>
        <w:br/>
      </w:r>
      <w:hyperlink r:id="rId35">
        <w:r>
          <w:rPr>
            <w:color w:val="204B70"/>
            <w:sz w:val="18"/>
          </w:rPr>
          <w:t>论文</w:t>
        </w:r>
      </w:hyperlink>
    </w:p>
    <w:p>
      <w:r>
        <w:t>[R11] LACE，Nature Machine Intelligence 2026及官方源码；本方案采用其合同、组合和rank-MILP近邻定位，具体实现边界以固定源码审计为据。</w:t>
        <w:br/>
      </w:r>
      <w:hyperlink r:id="rId36">
        <w:r>
          <w:rPr>
            <w:color w:val="204B70"/>
            <w:sz w:val="18"/>
          </w:rPr>
          <w:t>论文</w:t>
        </w:r>
      </w:hyperlink>
      <w:r>
        <w:br/>
      </w:r>
      <w:hyperlink r:id="rId37">
        <w:r>
          <w:rPr>
            <w:color w:val="204B70"/>
            <w:sz w:val="18"/>
          </w:rPr>
          <w:t>源码</w:t>
        </w:r>
      </w:hyperlink>
      <w:r>
        <w:t xml:space="preserve"> </w:t>
      </w:r>
      <w:hyperlink r:id="rId38">
        <w:r>
          <w:rPr>
            <w:color w:val="204B70"/>
            <w:sz w:val="18"/>
          </w:rPr>
          <w:t>已核rank-MILP固定实现</w:t>
        </w:r>
      </w:hyperlink>
      <w:r>
        <w:t>。</w:t>
      </w:r>
    </w:p>
    <w:p>
      <w:r>
        <w:t>[R12] Fields2Cover与PyVRP官方工程。覆盖规划、车辆路线及补给能力需通过URP窄适配和独立验算。</w:t>
        <w:br/>
      </w:r>
      <w:hyperlink r:id="rId39">
        <w:r>
          <w:rPr>
            <w:color w:val="204B70"/>
            <w:sz w:val="18"/>
          </w:rPr>
          <w:t>源码</w:t>
        </w:r>
      </w:hyperlink>
      <w:r>
        <w:br/>
      </w:r>
      <w:hyperlink r:id="rId40">
        <w:r>
          <w:rPr>
            <w:color w:val="204B70"/>
            <w:sz w:val="18"/>
          </w:rPr>
          <w:t>源码</w:t>
        </w:r>
      </w:hyperlink>
    </w:p>
    <w:p>
      <w:pPr>
        <w:pStyle w:val="Heading2"/>
      </w:pPr>
      <w:r>
        <w:t>5  农业与交互来源</w:t>
      </w:r>
    </w:p>
    <w:p>
      <w:r>
        <w:t>[R13] Vidal，NEARP作者稿与行服务参考。方向与服务模式不等同完整农业补给，须独立适配。</w:t>
        <w:br/>
      </w:r>
      <w:hyperlink r:id="rId41">
        <w:r>
          <w:rPr>
            <w:color w:val="204B70"/>
            <w:sz w:val="18"/>
          </w:rPr>
          <w:t>官方来源</w:t>
        </w:r>
      </w:hyperlink>
    </w:p>
    <w:p>
      <w:r>
        <w:t>[R14] RL4CO与DACBench官方工程；IQL原论文。环境接口、动态配置及离线学习提供研究入口，不证明当前数据已经适配。</w:t>
        <w:br/>
      </w:r>
      <w:hyperlink r:id="rId42">
        <w:r>
          <w:rPr>
            <w:color w:val="204B70"/>
            <w:sz w:val="18"/>
          </w:rPr>
          <w:t>官方来源</w:t>
        </w:r>
      </w:hyperlink>
      <w:r>
        <w:br/>
      </w:r>
      <w:hyperlink r:id="rId43">
        <w:r>
          <w:rPr>
            <w:color w:val="204B70"/>
            <w:sz w:val="18"/>
          </w:rPr>
          <w:t>源码</w:t>
        </w:r>
      </w:hyperlink>
      <w:r>
        <w:br/>
      </w:r>
      <w:hyperlink r:id="rId44">
        <w:r>
          <w:rPr>
            <w:color w:val="204B70"/>
            <w:sz w:val="18"/>
          </w:rPr>
          <w:t>论文</w:t>
        </w:r>
      </w:hyperlink>
    </w:p>
    <w:p>
      <w:r>
        <w:t>[R15] OptiGuide官方工程，LLM-Modulo原论文，PICARD（EMNLP 2021）。分别借鉴真实反馈、验证权分离和受约束接口。</w:t>
        <w:br/>
      </w:r>
      <w:hyperlink r:id="rId45">
        <w:r>
          <w:rPr>
            <w:color w:val="204B70"/>
            <w:sz w:val="18"/>
          </w:rPr>
          <w:t>源码</w:t>
        </w:r>
      </w:hyperlink>
      <w:r>
        <w:br/>
      </w:r>
      <w:hyperlink r:id="rId46">
        <w:r>
          <w:rPr>
            <w:color w:val="204B70"/>
            <w:sz w:val="18"/>
          </w:rPr>
          <w:t>论文</w:t>
        </w:r>
      </w:hyperlink>
      <w:r>
        <w:br/>
      </w:r>
      <w:hyperlink r:id="rId47">
        <w:r>
          <w:rPr>
            <w:color w:val="204B70"/>
            <w:sz w:val="18"/>
          </w:rPr>
          <w:t>官方来源</w:t>
        </w:r>
      </w:hyperlink>
    </w:p>
    <w:p>
      <w:r>
        <w:t>[R16] RELLIS-3D与TartanDrive 2.0官方数据入口。</w:t>
        <w:br/>
      </w:r>
      <w:hyperlink r:id="rId48">
        <w:r>
          <w:rPr>
            <w:color w:val="204B70"/>
            <w:sz w:val="18"/>
          </w:rPr>
          <w:t>源码</w:t>
        </w:r>
      </w:hyperlink>
      <w:r>
        <w:br/>
      </w:r>
      <w:hyperlink r:id="rId49">
        <w:r>
          <w:rPr>
            <w:color w:val="204B70"/>
            <w:sz w:val="18"/>
          </w:rPr>
          <w:t>官方来源</w:t>
        </w:r>
      </w:hyperlink>
    </w:p>
    <w:p>
      <w:r>
        <w:t>[R17] CEA 2019农业路径与算法选择相关论文。农业加算法选择已有先例。</w:t>
        <w:br/>
      </w:r>
      <w:hyperlink r:id="rId50">
        <w:r>
          <w:rPr>
            <w:color w:val="204B70"/>
            <w:sz w:val="18"/>
          </w:rPr>
          <w:t>官方来源</w:t>
        </w:r>
      </w:hyperlink>
    </w:p>
    <w:p>
      <w:r>
        <w:t>[R18] JRM 2026农业SDVRP统一框架及算法/参数选择，DOI 10.20965/jrm.2026.p0413。</w:t>
        <w:br/>
      </w:r>
      <w:hyperlink r:id="rId51">
        <w:r>
          <w:rPr>
            <w:color w:val="204B70"/>
            <w:sz w:val="18"/>
          </w:rPr>
          <w:t>官方来源</w:t>
        </w:r>
      </w:hyperlink>
    </w:p>
    <w:p>
      <w:r>
        <w:t>[R19] Mier等，Soil2Cover，Precision Agriculture 2025。1000田块计算验证；最高改善不等于全体平均，不据其样本数规定URP门槛。</w:t>
        <w:br/>
      </w:r>
      <w:hyperlink r:id="rId52">
        <w:r>
          <w:rPr>
            <w:color w:val="204B70"/>
            <w:sz w:val="18"/>
          </w:rPr>
          <w:t>官方来源</w:t>
        </w:r>
      </w:hyperlink>
    </w:p>
    <w:p>
      <w:r>
        <w:t>[R20] CEA官方范围及2025覆盖规划论文；Precision Agriculture范围；TR-C官方范围。期刊适配按研究问题与实际证据判断。</w:t>
        <w:br/>
      </w:r>
      <w:hyperlink r:id="rId53">
        <w:r>
          <w:rPr>
            <w:color w:val="204B70"/>
            <w:sz w:val="18"/>
          </w:rPr>
          <w:t>官方来源</w:t>
        </w:r>
      </w:hyperlink>
      <w:r>
        <w:br/>
      </w:r>
      <w:hyperlink r:id="rId54">
        <w:r>
          <w:rPr>
            <w:color w:val="204B70"/>
            <w:sz w:val="18"/>
          </w:rPr>
          <w:t>官方来源</w:t>
        </w:r>
      </w:hyperlink>
      <w:r>
        <w:br/>
      </w:r>
      <w:hyperlink r:id="rId55">
        <w:r>
          <w:rPr>
            <w:color w:val="204B70"/>
            <w:sz w:val="18"/>
          </w:rPr>
          <w:t>官方来源</w:t>
        </w:r>
      </w:hyperlink>
      <w:r>
        <w:br/>
      </w:r>
      <w:hyperlink r:id="rId56">
        <w:r>
          <w:rPr>
            <w:color w:val="204B70"/>
            <w:sz w:val="18"/>
          </w:rPr>
          <w:t>官方来源</w:t>
        </w:r>
      </w:hyperlink>
    </w:p>
    <w:p>
      <w:r>
        <w:t>正文中的原始结果数字由当前文件核查支持；期刊样例用于比较证据结构，不是通用录用门槛。后续正式论文应依据最终采用的方法补齐完整书目信息、固定版本、数据与代码可用性说明。</w:t>
      </w:r>
    </w:p>
    <w:p>
      <w:pPr>
        <w:pStyle w:val="Heading2"/>
      </w:pPr>
      <w:r>
        <w:t>6  既有原文缺口与条件性应用</w:t>
      </w:r>
    </w:p>
    <w:p>
      <w:r>
        <w:t>沿用《研究路线评议》已核清单，按实际采用的研究分支安排补核；不在本次整合继续调查。原文缺口不等于已有方法或源码完全缺失。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2736"/>
        <w:gridCol w:w="3442"/>
      </w:tblGrid>
      <w:tr>
        <w:trPr>
          <w:cantSplit/>
          <w:tblHeader/>
        </w:trPr>
        <w:tc>
          <w:tcPr>
            <w:tcW w:type="dxa" w:w="3816"/>
            <w:vAlign w:val="center"/>
            <w:tcMar>
              <w:top w:w="90" w:type="dxa"/>
              <w:left w:w="100" w:type="dxa"/>
              <w:bottom w:w="90" w:type="dxa"/>
              <w:right w:w="100" w:type="dxa"/>
            </w:tcMar>
            <w:shd w:fill="E9F0F5"/>
          </w:tcPr>
          <w:p>
            <w:pPr>
              <w:keepNext/>
              <w:spacing w:line="276" w:lineRule="exact" w:after="0"/>
            </w:pPr>
            <w:r>
              <w:rPr>
                <w:b/>
                <w:sz w:val="19"/>
              </w:rPr>
              <w:t>来源</w:t>
            </w:r>
          </w:p>
        </w:tc>
        <w:tc>
          <w:tcPr>
            <w:tcW w:type="dxa" w:w="2736"/>
            <w:vAlign w:val="center"/>
            <w:tcMar>
              <w:top w:w="90" w:type="dxa"/>
              <w:left w:w="100" w:type="dxa"/>
              <w:bottom w:w="90" w:type="dxa"/>
              <w:right w:w="100" w:type="dxa"/>
            </w:tcMar>
            <w:shd w:fill="E9F0F5"/>
          </w:tcPr>
          <w:p>
            <w:pPr>
              <w:keepNext/>
              <w:spacing w:line="276" w:lineRule="exact" w:after="0"/>
            </w:pPr>
            <w:r>
              <w:rPr>
                <w:b/>
                <w:sz w:val="19"/>
              </w:rPr>
              <w:t>原记录状态</w:t>
            </w:r>
          </w:p>
        </w:tc>
        <w:tc>
          <w:tcPr>
            <w:tcW w:type="dxa" w:w="3442"/>
            <w:vAlign w:val="center"/>
            <w:tcMar>
              <w:top w:w="90" w:type="dxa"/>
              <w:left w:w="100" w:type="dxa"/>
              <w:bottom w:w="90" w:type="dxa"/>
              <w:right w:w="100" w:type="dxa"/>
            </w:tcMar>
            <w:shd w:fill="E9F0F5"/>
          </w:tcPr>
          <w:p>
            <w:pPr>
              <w:keepNext/>
              <w:spacing w:line="276" w:lineRule="exact" w:after="0"/>
            </w:pPr>
            <w:r>
              <w:rPr>
                <w:b/>
                <w:sz w:val="19"/>
              </w:rPr>
              <w:t>何时需要</w:t>
            </w:r>
          </w:p>
        </w:tc>
      </w:tr>
      <w:tr>
        <w:trPr>
          <w:cantSplit/>
        </w:trPr>
        <w:tc>
          <w:tcPr>
            <w:tcW w:type="dxa" w:w="3816"/>
            <w:vAlign w:val="center"/>
            <w:tcMar>
              <w:top w:w="90" w:type="dxa"/>
              <w:left w:w="100" w:type="dxa"/>
              <w:bottom w:w="90" w:type="dxa"/>
              <w:right w:w="100" w:type="dxa"/>
            </w:tcMar>
          </w:tcPr>
          <w:p>
            <w:pPr>
              <w:spacing w:line="276" w:lineRule="exact" w:after="0"/>
            </w:pPr>
            <w:r>
              <w:rPr>
                <w:sz w:val="19"/>
              </w:rPr>
              <w:t>Accorsi等 VRP机器学习计算测试指南</w:t>
              <w:br/>
              <w:t>DOI 10.1016/j.orl.2022.01.018</w:t>
            </w:r>
          </w:p>
        </w:tc>
        <w:tc>
          <w:tcPr>
            <w:tcW w:type="dxa" w:w="2736"/>
            <w:vAlign w:val="center"/>
            <w:tcMar>
              <w:top w:w="90" w:type="dxa"/>
              <w:left w:w="100" w:type="dxa"/>
              <w:bottom w:w="90" w:type="dxa"/>
              <w:right w:w="100" w:type="dxa"/>
            </w:tcMar>
          </w:tcPr>
          <w:p>
            <w:pPr>
              <w:spacing w:line="276" w:lineRule="exact" w:after="0"/>
            </w:pPr>
            <w:r>
              <w:rPr>
                <w:sz w:val="19"/>
              </w:rPr>
              <w:t>未发现独立原文，已有官方与开放入口</w:t>
            </w:r>
          </w:p>
        </w:tc>
        <w:tc>
          <w:tcPr>
            <w:tcW w:type="dxa" w:w="3442"/>
            <w:vAlign w:val="center"/>
            <w:tcMar>
              <w:top w:w="90" w:type="dxa"/>
              <w:left w:w="100" w:type="dxa"/>
              <w:bottom w:w="90" w:type="dxa"/>
              <w:right w:w="100" w:type="dxa"/>
            </w:tcMar>
          </w:tcPr>
          <w:p>
            <w:pPr>
              <w:spacing w:line="276" w:lineRule="exact" w:after="0"/>
            </w:pPr>
            <w:r>
              <w:rPr>
                <w:sz w:val="19"/>
              </w:rPr>
              <w:t>冻结强OR基线、完整计时和统计协议时</w:t>
            </w:r>
          </w:p>
        </w:tc>
      </w:tr>
      <w:tr>
        <w:trPr>
          <w:cantSplit/>
        </w:trPr>
        <w:tc>
          <w:tcPr>
            <w:tcW w:type="dxa" w:w="3816"/>
            <w:vAlign w:val="center"/>
            <w:tcMar>
              <w:top w:w="90" w:type="dxa"/>
              <w:left w:w="100" w:type="dxa"/>
              <w:bottom w:w="90" w:type="dxa"/>
              <w:right w:w="100" w:type="dxa"/>
            </w:tcMar>
          </w:tcPr>
          <w:p>
            <w:pPr>
              <w:spacing w:line="276" w:lineRule="exact" w:after="0"/>
            </w:pPr>
            <w:r>
              <w:rPr>
                <w:sz w:val="19"/>
              </w:rPr>
              <w:t>LACE</w:t>
              <w:br/>
              <w:t>DOI 10.1038/s42256-026-01307-8</w:t>
            </w:r>
          </w:p>
        </w:tc>
        <w:tc>
          <w:tcPr>
            <w:tcW w:type="dxa" w:w="2736"/>
            <w:vAlign w:val="center"/>
            <w:tcMar>
              <w:top w:w="90" w:type="dxa"/>
              <w:left w:w="100" w:type="dxa"/>
              <w:bottom w:w="90" w:type="dxa"/>
              <w:right w:w="100" w:type="dxa"/>
            </w:tcMar>
          </w:tcPr>
          <w:p>
            <w:pPr>
              <w:spacing w:line="276" w:lineRule="exact" w:after="0"/>
            </w:pPr>
            <w:r>
              <w:rPr>
                <w:sz w:val="19"/>
              </w:rPr>
              <w:t>主文未在库；摘要与固定代码已核</w:t>
            </w:r>
          </w:p>
        </w:tc>
        <w:tc>
          <w:tcPr>
            <w:tcW w:type="dxa" w:w="3442"/>
            <w:vAlign w:val="center"/>
            <w:tcMar>
              <w:top w:w="90" w:type="dxa"/>
              <w:left w:w="100" w:type="dxa"/>
              <w:bottom w:w="90" w:type="dxa"/>
              <w:right w:w="100" w:type="dxa"/>
            </w:tcMar>
          </w:tcPr>
          <w:p>
            <w:pPr>
              <w:spacing w:line="276" w:lineRule="exact" w:after="0"/>
            </w:pPr>
            <w:r>
              <w:rPr>
                <w:sz w:val="19"/>
              </w:rPr>
              <w:t>精确论证互补生成机制与新颖性时</w:t>
            </w:r>
          </w:p>
        </w:tc>
      </w:tr>
      <w:tr>
        <w:trPr>
          <w:cantSplit/>
        </w:trPr>
        <w:tc>
          <w:tcPr>
            <w:tcW w:type="dxa" w:w="3816"/>
            <w:vAlign w:val="center"/>
            <w:tcMar>
              <w:top w:w="90" w:type="dxa"/>
              <w:left w:w="100" w:type="dxa"/>
              <w:bottom w:w="90" w:type="dxa"/>
              <w:right w:w="100" w:type="dxa"/>
            </w:tcMar>
          </w:tcPr>
          <w:p>
            <w:pPr>
              <w:spacing w:line="276" w:lineRule="exact" w:after="0"/>
            </w:pPr>
            <w:r>
              <w:rPr>
                <w:sz w:val="19"/>
              </w:rPr>
              <w:t>粮食收获路线与指标</w:t>
              <w:br/>
              <w:t>DOI 10.3390/agronomy12051151</w:t>
            </w:r>
          </w:p>
        </w:tc>
        <w:tc>
          <w:tcPr>
            <w:tcW w:type="dxa" w:w="2736"/>
            <w:vAlign w:val="center"/>
            <w:tcMar>
              <w:top w:w="90" w:type="dxa"/>
              <w:left w:w="100" w:type="dxa"/>
              <w:bottom w:w="90" w:type="dxa"/>
              <w:right w:w="100" w:type="dxa"/>
            </w:tcMar>
          </w:tcPr>
          <w:p>
            <w:pPr>
              <w:spacing w:line="276" w:lineRule="exact" w:after="0"/>
            </w:pPr>
            <w:r>
              <w:rPr>
                <w:sz w:val="19"/>
              </w:rPr>
              <w:t>原库仅引用，已有开放原文入口</w:t>
            </w:r>
          </w:p>
        </w:tc>
        <w:tc>
          <w:tcPr>
            <w:tcW w:type="dxa" w:w="3442"/>
            <w:vAlign w:val="center"/>
            <w:tcMar>
              <w:top w:w="90" w:type="dxa"/>
              <w:left w:w="100" w:type="dxa"/>
              <w:bottom w:w="90" w:type="dxa"/>
              <w:right w:w="100" w:type="dxa"/>
            </w:tcMar>
          </w:tcPr>
          <w:p>
            <w:pPr>
              <w:spacing w:line="276" w:lineRule="exact" w:after="0"/>
            </w:pPr>
            <w:r>
              <w:rPr>
                <w:sz w:val="19"/>
              </w:rPr>
              <w:t>行作业和资源成本合同确定时</w:t>
            </w:r>
          </w:p>
        </w:tc>
      </w:tr>
      <w:tr>
        <w:trPr>
          <w:cantSplit/>
        </w:trPr>
        <w:tc>
          <w:tcPr>
            <w:tcW w:type="dxa" w:w="3816"/>
            <w:vAlign w:val="center"/>
            <w:tcMar>
              <w:top w:w="90" w:type="dxa"/>
              <w:left w:w="100" w:type="dxa"/>
              <w:bottom w:w="90" w:type="dxa"/>
              <w:right w:w="100" w:type="dxa"/>
            </w:tcMar>
          </w:tcPr>
          <w:p>
            <w:pPr>
              <w:spacing w:line="276" w:lineRule="exact" w:after="0"/>
            </w:pPr>
            <w:r>
              <w:rPr>
                <w:sz w:val="19"/>
              </w:rPr>
              <w:t>草莓收获辅助系统</w:t>
              <w:br/>
              <w:t>DOI 10.1002/rob.22106</w:t>
            </w:r>
          </w:p>
        </w:tc>
        <w:tc>
          <w:tcPr>
            <w:tcW w:type="dxa" w:w="2736"/>
            <w:vAlign w:val="center"/>
            <w:tcMar>
              <w:top w:w="90" w:type="dxa"/>
              <w:left w:w="100" w:type="dxa"/>
              <w:bottom w:w="90" w:type="dxa"/>
              <w:right w:w="100" w:type="dxa"/>
            </w:tcMar>
          </w:tcPr>
          <w:p>
            <w:pPr>
              <w:spacing w:line="276" w:lineRule="exact" w:after="0"/>
            </w:pPr>
            <w:r>
              <w:rPr>
                <w:sz w:val="19"/>
              </w:rPr>
              <w:t>未找到匹配原文，有开放全文入口</w:t>
            </w:r>
          </w:p>
        </w:tc>
        <w:tc>
          <w:tcPr>
            <w:tcW w:type="dxa" w:w="3442"/>
            <w:vAlign w:val="center"/>
            <w:tcMar>
              <w:top w:w="90" w:type="dxa"/>
              <w:left w:w="100" w:type="dxa"/>
              <w:bottom w:w="90" w:type="dxa"/>
              <w:right w:w="100" w:type="dxa"/>
            </w:tcMar>
          </w:tcPr>
          <w:p>
            <w:pPr>
              <w:spacing w:line="276" w:lineRule="exact" w:after="0"/>
            </w:pPr>
            <w:r>
              <w:rPr>
                <w:sz w:val="19"/>
              </w:rPr>
              <w:t>启动动态收获请求或现场指标研究时</w:t>
            </w:r>
          </w:p>
        </w:tc>
      </w:tr>
      <w:tr>
        <w:trPr>
          <w:cantSplit/>
        </w:trPr>
        <w:tc>
          <w:tcPr>
            <w:tcW w:type="dxa" w:w="3816"/>
            <w:vAlign w:val="center"/>
            <w:tcMar>
              <w:top w:w="90" w:type="dxa"/>
              <w:left w:w="100" w:type="dxa"/>
              <w:bottom w:w="90" w:type="dxa"/>
              <w:right w:w="100" w:type="dxa"/>
            </w:tcMar>
          </w:tcPr>
          <w:p>
            <w:pPr>
              <w:spacing w:line="276" w:lineRule="exact" w:after="0"/>
            </w:pPr>
            <w:r>
              <w:rPr>
                <w:sz w:val="19"/>
              </w:rPr>
              <w:t>喷雾车与补给车同步</w:t>
              <w:br/>
              <w:t>DOI 10.1016/j.cor.2023.106454</w:t>
            </w:r>
          </w:p>
        </w:tc>
        <w:tc>
          <w:tcPr>
            <w:tcW w:type="dxa" w:w="2736"/>
            <w:vAlign w:val="center"/>
            <w:tcMar>
              <w:top w:w="90" w:type="dxa"/>
              <w:left w:w="100" w:type="dxa"/>
              <w:bottom w:w="90" w:type="dxa"/>
              <w:right w:w="100" w:type="dxa"/>
            </w:tcMar>
          </w:tcPr>
          <w:p>
            <w:pPr>
              <w:spacing w:line="276" w:lineRule="exact" w:after="0"/>
            </w:pPr>
            <w:r>
              <w:rPr>
                <w:sz w:val="19"/>
              </w:rPr>
              <w:t>未找到独立原文，前稿身份不自动合并</w:t>
            </w:r>
          </w:p>
        </w:tc>
        <w:tc>
          <w:tcPr>
            <w:tcW w:type="dxa" w:w="3442"/>
            <w:vAlign w:val="center"/>
            <w:tcMar>
              <w:top w:w="90" w:type="dxa"/>
              <w:left w:w="100" w:type="dxa"/>
              <w:bottom w:w="90" w:type="dxa"/>
              <w:right w:w="100" w:type="dxa"/>
            </w:tcMar>
          </w:tcPr>
          <w:p>
            <w:pPr>
              <w:spacing w:line="276" w:lineRule="exact" w:after="0"/>
            </w:pPr>
            <w:r>
              <w:rPr>
                <w:sz w:val="19"/>
              </w:rPr>
              <w:t>移动补给与会合分支，不是固定仓库补满前置</w:t>
            </w:r>
          </w:p>
        </w:tc>
      </w:tr>
      <w:tr>
        <w:trPr>
          <w:cantSplit/>
        </w:trPr>
        <w:tc>
          <w:tcPr>
            <w:tcW w:type="dxa" w:w="3816"/>
            <w:vAlign w:val="center"/>
            <w:tcMar>
              <w:top w:w="90" w:type="dxa"/>
              <w:left w:w="100" w:type="dxa"/>
              <w:bottom w:w="90" w:type="dxa"/>
              <w:right w:w="100" w:type="dxa"/>
            </w:tcMar>
          </w:tcPr>
          <w:p>
            <w:pPr>
              <w:spacing w:line="276" w:lineRule="exact" w:after="0"/>
            </w:pPr>
            <w:r>
              <w:rPr>
                <w:sz w:val="19"/>
              </w:rPr>
              <w:t>可拆卸农具协作车队</w:t>
              <w:br/>
              <w:t>DOI 10.1016/j.cor.2025.107252</w:t>
            </w:r>
          </w:p>
        </w:tc>
        <w:tc>
          <w:tcPr>
            <w:tcW w:type="dxa" w:w="2736"/>
            <w:vAlign w:val="center"/>
            <w:tcMar>
              <w:top w:w="90" w:type="dxa"/>
              <w:left w:w="100" w:type="dxa"/>
              <w:bottom w:w="90" w:type="dxa"/>
              <w:right w:w="100" w:type="dxa"/>
            </w:tcMar>
          </w:tcPr>
          <w:p>
            <w:pPr>
              <w:spacing w:line="276" w:lineRule="exact" w:after="0"/>
            </w:pPr>
            <w:r>
              <w:rPr>
                <w:sz w:val="19"/>
              </w:rPr>
              <w:t>未在库，有开放正式版入口</w:t>
            </w:r>
          </w:p>
        </w:tc>
        <w:tc>
          <w:tcPr>
            <w:tcW w:type="dxa" w:w="3442"/>
            <w:vAlign w:val="center"/>
            <w:tcMar>
              <w:top w:w="90" w:type="dxa"/>
              <w:left w:w="100" w:type="dxa"/>
              <w:bottom w:w="90" w:type="dxa"/>
              <w:right w:w="100" w:type="dxa"/>
            </w:tcMar>
          </w:tcPr>
          <w:p>
            <w:pPr>
              <w:spacing w:line="276" w:lineRule="exact" w:after="0"/>
            </w:pPr>
            <w:r>
              <w:rPr>
                <w:sz w:val="19"/>
              </w:rPr>
              <w:t>农具交换、合作车队或公平性研究时</w:t>
            </w:r>
          </w:p>
        </w:tc>
      </w:tr>
      <w:tr>
        <w:trPr>
          <w:cantSplit/>
        </w:trPr>
        <w:tc>
          <w:tcPr>
            <w:tcW w:type="dxa" w:w="3816"/>
            <w:vAlign w:val="center"/>
            <w:tcMar>
              <w:top w:w="90" w:type="dxa"/>
              <w:left w:w="100" w:type="dxa"/>
              <w:bottom w:w="90" w:type="dxa"/>
              <w:right w:w="100" w:type="dxa"/>
            </w:tcMar>
          </w:tcPr>
          <w:p>
            <w:pPr>
              <w:spacing w:line="276" w:lineRule="exact" w:after="0"/>
            </w:pPr>
            <w:r>
              <w:rPr>
                <w:sz w:val="19"/>
              </w:rPr>
              <w:t>农业覆盖评价基准</w:t>
              <w:br/>
              <w:t>DOI 10.1016/j.biosystemseng.2020.08.007</w:t>
            </w:r>
          </w:p>
        </w:tc>
        <w:tc>
          <w:tcPr>
            <w:tcW w:type="dxa" w:w="2736"/>
            <w:vAlign w:val="center"/>
            <w:tcMar>
              <w:top w:w="90" w:type="dxa"/>
              <w:left w:w="100" w:type="dxa"/>
              <w:bottom w:w="90" w:type="dxa"/>
              <w:right w:w="100" w:type="dxa"/>
            </w:tcMar>
          </w:tcPr>
          <w:p>
            <w:pPr>
              <w:spacing w:line="276" w:lineRule="exact" w:after="0"/>
            </w:pPr>
            <w:r>
              <w:rPr>
                <w:sz w:val="19"/>
              </w:rPr>
              <w:t>有引用未找到独立原文</w:t>
            </w:r>
          </w:p>
        </w:tc>
        <w:tc>
          <w:tcPr>
            <w:tcW w:type="dxa" w:w="3442"/>
            <w:vAlign w:val="center"/>
            <w:tcMar>
              <w:top w:w="90" w:type="dxa"/>
              <w:left w:w="100" w:type="dxa"/>
              <w:bottom w:w="90" w:type="dxa"/>
              <w:right w:w="100" w:type="dxa"/>
            </w:tcMar>
          </w:tcPr>
          <w:p>
            <w:pPr>
              <w:spacing w:line="276" w:lineRule="exact" w:after="0"/>
            </w:pPr>
            <w:r>
              <w:rPr>
                <w:sz w:val="19"/>
              </w:rPr>
              <w:t>现有Fields2Benchmark协议不足时</w:t>
            </w:r>
          </w:p>
        </w:tc>
      </w:tr>
      <w:tr>
        <w:trPr>
          <w:cantSplit/>
        </w:trPr>
        <w:tc>
          <w:tcPr>
            <w:tcW w:type="dxa" w:w="3816"/>
            <w:vAlign w:val="center"/>
            <w:tcMar>
              <w:top w:w="90" w:type="dxa"/>
              <w:left w:w="100" w:type="dxa"/>
              <w:bottom w:w="90" w:type="dxa"/>
              <w:right w:w="100" w:type="dxa"/>
            </w:tcMar>
          </w:tcPr>
          <w:p>
            <w:pPr>
              <w:spacing w:line="276" w:lineRule="exact" w:after="0"/>
            </w:pPr>
            <w:r>
              <w:rPr>
                <w:sz w:val="19"/>
              </w:rPr>
              <w:t>DAR DPO</w:t>
              <w:br/>
              <w:t>arXiv 2507.10614v2</w:t>
            </w:r>
          </w:p>
        </w:tc>
        <w:tc>
          <w:tcPr>
            <w:tcW w:type="dxa" w:w="2736"/>
            <w:vAlign w:val="center"/>
            <w:tcMar>
              <w:top w:w="90" w:type="dxa"/>
              <w:left w:w="100" w:type="dxa"/>
              <w:bottom w:w="90" w:type="dxa"/>
              <w:right w:w="100" w:type="dxa"/>
            </w:tcMar>
          </w:tcPr>
          <w:p>
            <w:pPr>
              <w:spacing w:line="276" w:lineRule="exact" w:after="0"/>
            </w:pPr>
            <w:r>
              <w:rPr>
                <w:sz w:val="19"/>
              </w:rPr>
              <w:t>有题名引用，未找到独立原文</w:t>
            </w:r>
          </w:p>
        </w:tc>
        <w:tc>
          <w:tcPr>
            <w:tcW w:type="dxa" w:w="3442"/>
            <w:vAlign w:val="center"/>
            <w:tcMar>
              <w:top w:w="90" w:type="dxa"/>
              <w:left w:w="100" w:type="dxa"/>
              <w:bottom w:w="90" w:type="dxa"/>
              <w:right w:w="100" w:type="dxa"/>
            </w:tcMar>
          </w:tcPr>
          <w:p>
            <w:pPr>
              <w:spacing w:line="276" w:lineRule="exact" w:after="0"/>
            </w:pPr>
            <w:r>
              <w:rPr>
                <w:sz w:val="19"/>
              </w:rPr>
              <w:t>正式使用程序档案开展偏好训练时</w:t>
            </w:r>
          </w:p>
        </w:tc>
      </w:tr>
    </w:tbl>
    <w:p>
      <w:pPr>
        <w:spacing w:after="0" w:before="0" w:line="240" w:lineRule="auto"/>
      </w:pPr>
      <w:r>
        <w:rPr>
          <w:sz w:val="6"/>
        </w:rPr>
      </w:r>
    </w:p>
    <w:p>
      <w:r>
        <w:t>P042 EvoTune指定v4、P446农业算法选择、P202 Fields2Benchmark、P203 Fields2Cover、P102车具容量续航、P511服务同步、P474 Soil2Cover均已有原文或相应资产，不重复列为新缺口。农业算法选择、补给、合同验证和行序学习已有直接先例，应转化为对照与验收。</w:t>
      </w:r>
    </w:p>
    <w:p>
      <w:r>
        <w:t>对应入口如下，均沿用原稿，不表示本次新增核验。已有EvoTune、农业选择、覆盖、车具和土壤目标来源另列，以便直接转为实验对照。</w:t>
      </w:r>
    </w:p>
    <w:p>
      <w:pPr>
        <w:spacing w:before="100" w:after="0" w:line="240" w:lineRule="exact"/>
      </w:pPr>
      <w:r>
        <w:rPr>
          <w:color w:val="444444"/>
          <w:sz w:val="18"/>
        </w:rPr>
        <w:t>VRP测试指南官方/开放稿：</w:t>
      </w:r>
      <w:hyperlink r:id="rId57">
        <w:r>
          <w:rPr>
            <w:color w:val="204B70"/>
            <w:sz w:val="18"/>
          </w:rPr>
          <w:t>入口1</w:t>
        </w:r>
      </w:hyperlink>
      <w:r>
        <w:rPr>
          <w:color w:val="444444"/>
          <w:sz w:val="18"/>
        </w:rPr>
        <w:t xml:space="preserve"> </w:t>
      </w:r>
      <w:hyperlink r:id="rId58">
        <w:r>
          <w:rPr>
            <w:color w:val="204B70"/>
            <w:sz w:val="18"/>
          </w:rPr>
          <w:t>入口2</w:t>
        </w:r>
      </w:hyperlink>
    </w:p>
    <w:p>
      <w:pPr>
        <w:spacing w:before="100" w:after="0" w:line="240" w:lineRule="exact"/>
      </w:pPr>
      <w:r>
        <w:rPr>
          <w:color w:val="444444"/>
          <w:sz w:val="18"/>
        </w:rPr>
        <w:t>LACE正式页与源码：</w:t>
      </w:r>
      <w:hyperlink r:id="rId36">
        <w:r>
          <w:rPr>
            <w:color w:val="204B70"/>
            <w:sz w:val="18"/>
          </w:rPr>
          <w:t>入口1</w:t>
        </w:r>
      </w:hyperlink>
      <w:r>
        <w:rPr>
          <w:color w:val="444444"/>
          <w:sz w:val="18"/>
        </w:rPr>
        <w:t xml:space="preserve"> </w:t>
      </w:r>
      <w:hyperlink r:id="rId37">
        <w:r>
          <w:rPr>
            <w:color w:val="204B70"/>
            <w:sz w:val="18"/>
          </w:rPr>
          <w:t>入口2</w:t>
        </w:r>
      </w:hyperlink>
    </w:p>
    <w:p>
      <w:pPr>
        <w:spacing w:before="100" w:after="0" w:line="240" w:lineRule="exact"/>
      </w:pPr>
      <w:r>
        <w:rPr>
          <w:color w:val="444444"/>
          <w:sz w:val="18"/>
        </w:rPr>
        <w:t>粮食收获开放原文：</w:t>
      </w:r>
      <w:hyperlink r:id="rId59">
        <w:r>
          <w:rPr>
            <w:color w:val="204B70"/>
            <w:sz w:val="18"/>
          </w:rPr>
          <w:t>入口1</w:t>
        </w:r>
      </w:hyperlink>
    </w:p>
    <w:p>
      <w:pPr>
        <w:spacing w:before="100" w:after="0" w:line="240" w:lineRule="exact"/>
      </w:pPr>
      <w:r>
        <w:rPr>
          <w:color w:val="444444"/>
          <w:sz w:val="18"/>
        </w:rPr>
        <w:t>草莓收获辅助正式页与开放全文：</w:t>
      </w:r>
      <w:hyperlink r:id="rId60">
        <w:r>
          <w:rPr>
            <w:color w:val="204B70"/>
            <w:sz w:val="18"/>
          </w:rPr>
          <w:t>入口1</w:t>
        </w:r>
      </w:hyperlink>
      <w:r>
        <w:rPr>
          <w:color w:val="444444"/>
          <w:sz w:val="18"/>
        </w:rPr>
        <w:t xml:space="preserve"> </w:t>
      </w:r>
      <w:hyperlink r:id="rId61">
        <w:r>
          <w:rPr>
            <w:color w:val="204B70"/>
            <w:sz w:val="18"/>
          </w:rPr>
          <w:t>入口2</w:t>
        </w:r>
      </w:hyperlink>
    </w:p>
    <w:p>
      <w:pPr>
        <w:spacing w:before="100" w:after="0" w:line="240" w:lineRule="exact"/>
      </w:pPr>
      <w:r>
        <w:rPr>
          <w:color w:val="444444"/>
          <w:sz w:val="18"/>
        </w:rPr>
        <w:t>移动补给正式页：</w:t>
      </w:r>
      <w:hyperlink r:id="rId62">
        <w:r>
          <w:rPr>
            <w:color w:val="204B70"/>
            <w:sz w:val="18"/>
          </w:rPr>
          <w:t>入口1</w:t>
        </w:r>
      </w:hyperlink>
    </w:p>
    <w:p>
      <w:pPr>
        <w:spacing w:before="100" w:after="0" w:line="240" w:lineRule="exact"/>
      </w:pPr>
      <w:r>
        <w:rPr>
          <w:color w:val="444444"/>
          <w:sz w:val="18"/>
        </w:rPr>
        <w:t>合作农具车队正式页与开放全文：</w:t>
      </w:r>
      <w:hyperlink r:id="rId63">
        <w:r>
          <w:rPr>
            <w:color w:val="204B70"/>
            <w:sz w:val="18"/>
          </w:rPr>
          <w:t>入口1</w:t>
        </w:r>
      </w:hyperlink>
      <w:r>
        <w:rPr>
          <w:color w:val="444444"/>
          <w:sz w:val="18"/>
        </w:rPr>
        <w:t xml:space="preserve"> </w:t>
      </w:r>
      <w:hyperlink r:id="rId64">
        <w:r>
          <w:rPr>
            <w:color w:val="204B70"/>
            <w:sz w:val="18"/>
          </w:rPr>
          <w:t>入口2</w:t>
        </w:r>
      </w:hyperlink>
    </w:p>
    <w:p>
      <w:pPr>
        <w:spacing w:before="100" w:after="0" w:line="240" w:lineRule="exact"/>
      </w:pPr>
      <w:r>
        <w:rPr>
          <w:color w:val="444444"/>
          <w:sz w:val="18"/>
        </w:rPr>
        <w:t>覆盖基准题录：</w:t>
      </w:r>
      <w:hyperlink r:id="rId65">
        <w:r>
          <w:rPr>
            <w:color w:val="204B70"/>
            <w:sz w:val="18"/>
          </w:rPr>
          <w:t>入口1</w:t>
        </w:r>
      </w:hyperlink>
    </w:p>
    <w:p>
      <w:pPr>
        <w:spacing w:before="100" w:after="0" w:line="240" w:lineRule="exact"/>
      </w:pPr>
      <w:r>
        <w:rPr>
          <w:color w:val="444444"/>
          <w:sz w:val="18"/>
        </w:rPr>
        <w:t>DAR DPO指定版本：</w:t>
      </w:r>
      <w:hyperlink r:id="rId66">
        <w:r>
          <w:rPr>
            <w:color w:val="204B70"/>
            <w:sz w:val="18"/>
          </w:rPr>
          <w:t>入口1</w:t>
        </w:r>
      </w:hyperlink>
    </w:p>
    <w:p>
      <w:pPr>
        <w:spacing w:before="100" w:after="0" w:line="240" w:lineRule="exact"/>
      </w:pPr>
      <w:r>
        <w:rPr>
          <w:b/>
          <w:color w:val="444444"/>
          <w:sz w:val="18"/>
        </w:rPr>
        <w:t>Routing algorithm selection for field coverage planning based on field shape and fleet size</w:t>
      </w:r>
      <w:r>
        <w:rPr>
          <w:color w:val="444444"/>
          <w:sz w:val="18"/>
        </w:rPr>
        <w:t>。Seyyedhasani、Dvorak、Roemmele，Computers and Electronics in Agriculture 156，523–529，2019。DOI：10.1016/j.compag.2018.12.002。</w:t>
      </w:r>
      <w:hyperlink r:id="rId67">
        <w:r>
          <w:rPr>
            <w:color w:val="204B70"/>
            <w:sz w:val="18"/>
          </w:rPr>
          <w:t>作者机构记录</w:t>
        </w:r>
      </w:hyperlink>
      <w:r>
        <w:rPr>
          <w:color w:val="444444"/>
          <w:sz w:val="18"/>
        </w:rPr>
        <w:t>。原文和笔记在库；本轮在线核摘要，未另核开放全文。</w:t>
      </w:r>
    </w:p>
    <w:p>
      <w:pPr>
        <w:spacing w:before="100" w:after="0" w:line="240" w:lineRule="exact"/>
      </w:pPr>
      <w:r>
        <w:rPr>
          <w:b/>
          <w:color w:val="444444"/>
          <w:sz w:val="18"/>
        </w:rPr>
        <w:t>Fields2Benchmark: An Open-Source Benchmark for Coverage Path Planning Methods in Agriculture</w:t>
      </w:r>
      <w:r>
        <w:rPr>
          <w:color w:val="444444"/>
          <w:sz w:val="18"/>
        </w:rPr>
        <w:t>，Mier等，2025。DOI：10.1016/j.atech.2025.101156。</w:t>
      </w:r>
      <w:hyperlink r:id="rId68">
        <w:r>
          <w:rPr>
            <w:color w:val="204B70"/>
            <w:sz w:val="18"/>
          </w:rPr>
          <w:t>作者原文</w:t>
        </w:r>
      </w:hyperlink>
      <w:r>
        <w:rPr>
          <w:color w:val="444444"/>
          <w:sz w:val="18"/>
        </w:rPr>
        <w:t>、</w:t>
      </w:r>
      <w:hyperlink r:id="rId15">
        <w:r>
          <w:rPr>
            <w:color w:val="204B70"/>
            <w:sz w:val="18"/>
          </w:rPr>
          <w:t>田界数据</w:t>
        </w:r>
      </w:hyperlink>
      <w:r>
        <w:rPr>
          <w:color w:val="444444"/>
          <w:sz w:val="18"/>
        </w:rPr>
        <w:t>。P202原文、笔记及350田块wkt.zip已在库；读任务／指标与局限，核和NL124交叠，补覆盖验收。</w:t>
      </w:r>
    </w:p>
    <w:p>
      <w:pPr>
        <w:spacing w:before="100" w:after="0" w:line="240" w:lineRule="exact"/>
      </w:pPr>
      <w:r>
        <w:rPr>
          <w:b/>
          <w:color w:val="444444"/>
          <w:sz w:val="18"/>
        </w:rPr>
        <w:t>Fields2Cover: An Open-Source Coverage Path Planning Library for Unmanned Agricultural Vehicles</w:t>
      </w:r>
      <w:r>
        <w:rPr>
          <w:color w:val="444444"/>
          <w:sz w:val="18"/>
        </w:rPr>
        <w:t>，Mier等，2023。DOI：10.1109/LRA.2023.3248439。</w:t>
      </w:r>
      <w:hyperlink r:id="rId69">
        <w:r>
          <w:rPr>
            <w:color w:val="204B70"/>
            <w:sz w:val="18"/>
          </w:rPr>
          <w:t>开放作者稿</w:t>
        </w:r>
      </w:hyperlink>
      <w:r>
        <w:rPr>
          <w:color w:val="444444"/>
          <w:sz w:val="18"/>
        </w:rPr>
        <w:t>、</w:t>
      </w:r>
      <w:hyperlink r:id="rId39">
        <w:r>
          <w:rPr>
            <w:color w:val="204B70"/>
            <w:sz w:val="18"/>
          </w:rPr>
          <w:t>官方工程</w:t>
        </w:r>
      </w:hyperlink>
      <w:r>
        <w:rPr>
          <w:color w:val="444444"/>
          <w:sz w:val="18"/>
        </w:rPr>
        <w:t>。P203原文、笔记和代码已在库；读完整流程，固定车宽／幅宽、地头、行与Dubins版本，统一覆盖指标及整机几何回查。</w:t>
      </w:r>
    </w:p>
    <w:p>
      <w:pPr>
        <w:spacing w:before="100" w:after="0" w:line="240" w:lineRule="exact"/>
      </w:pPr>
      <w:r>
        <w:rPr>
          <w:b/>
          <w:color w:val="444444"/>
          <w:sz w:val="18"/>
        </w:rPr>
        <w:t>Capacitated Agriculture Fleet Vehicle Routing with Implements and Limited Autonomy: A model and a two-phase solution approach</w:t>
      </w:r>
      <w:r>
        <w:rPr>
          <w:color w:val="444444"/>
          <w:sz w:val="18"/>
        </w:rPr>
        <w:t>。López-Sánchez等，ICRA 2025。DOI：10.1109/ICRA55743.2025.11127753。</w:t>
      </w:r>
      <w:hyperlink r:id="rId70">
        <w:r>
          <w:rPr>
            <w:color w:val="204B70"/>
            <w:sz w:val="18"/>
          </w:rPr>
          <w:t>作者机构入口</w:t>
        </w:r>
      </w:hyperlink>
      <w:r>
        <w:rPr>
          <w:color w:val="444444"/>
          <w:sz w:val="18"/>
        </w:rPr>
        <w:t>。HAL稿题名、作者和会议吻合，归档与主库哈希一致，稿内未印出版DOI。</w:t>
      </w:r>
    </w:p>
    <w:p>
      <w:pPr>
        <w:spacing w:before="100" w:after="0" w:line="240" w:lineRule="exact"/>
      </w:pPr>
      <w:r>
        <w:rPr>
          <w:b/>
          <w:color w:val="444444"/>
          <w:sz w:val="18"/>
        </w:rPr>
        <w:t>The Vehicle Routing Problem in Field Logistics Part II</w:t>
      </w:r>
      <w:r>
        <w:rPr>
          <w:color w:val="444444"/>
          <w:sz w:val="18"/>
        </w:rPr>
        <w:t>，Bochtis、Sørensen，2010。DOI：10.1016/j.biosystemseng.2009.10.006。</w:t>
      </w:r>
      <w:hyperlink r:id="rId71">
        <w:r>
          <w:rPr>
            <w:color w:val="204B70"/>
            <w:sz w:val="18"/>
          </w:rPr>
          <w:t>出版入口</w:t>
        </w:r>
      </w:hyperlink>
      <w:r>
        <w:rPr>
          <w:color w:val="444444"/>
          <w:sz w:val="18"/>
        </w:rPr>
        <w:t>。原文与笔记在库，开放全文未另核；读支持车辆时空请求，落实释放、位置、服务与等待账本，未确认对应项目实验。</w:t>
      </w:r>
    </w:p>
    <w:p>
      <w:pPr>
        <w:spacing w:before="100" w:after="0" w:line="240" w:lineRule="exact"/>
      </w:pPr>
      <w:r>
        <w:rPr>
          <w:b/>
          <w:color w:val="444444"/>
          <w:sz w:val="18"/>
        </w:rPr>
        <w:t>Soil2Cover: Coverage path planning minimizing soil compaction for sustainable agriculture</w:t>
      </w:r>
      <w:r>
        <w:rPr>
          <w:color w:val="444444"/>
          <w:sz w:val="18"/>
        </w:rPr>
        <w:t>，Mier等，Precision Agriculture 26，57，2025。DOI：10.1007/s11119-025-10250-4。</w:t>
      </w:r>
      <w:hyperlink r:id="rId72">
        <w:r>
          <w:rPr>
            <w:color w:val="204B70"/>
            <w:sz w:val="18"/>
          </w:rPr>
          <w:t>出版社入口</w:t>
        </w:r>
      </w:hyperlink>
      <w:r>
        <w:rPr>
          <w:color w:val="444444"/>
          <w:sz w:val="18"/>
        </w:rPr>
        <w:t>。原文与笔记在库；选土壤目标时读压实模型、通行次数与评价，区分代理优化和实测影响。未确认独立参考仓或项目压实优化实验。</w:t>
      </w:r>
    </w:p>
    <w:p>
      <w:pPr>
        <w:pStyle w:val="Heading2"/>
      </w:pPr>
      <w:r>
        <w:t>7  技术实现来源</w:t>
      </w:r>
    </w:p>
    <w:p>
      <w:r>
        <w:t>以下T编号对应技术章节；官方入口及版本判断沿用原技术方案截至2026年10月11日的核验。实施时锁定实际版本与许可。</w:t>
      </w:r>
    </w:p>
    <w:p>
      <w:pPr>
        <w:spacing w:after="100" w:line="260" w:lineRule="exact"/>
      </w:pPr>
      <w:r>
        <w:rPr>
          <w:sz w:val="18"/>
        </w:rPr>
        <w:t>[T1] OpenLayers 编辑能力：</w:t>
      </w:r>
      <w:hyperlink r:id="rId73">
        <w:r>
          <w:rPr>
            <w:color w:val="204B70"/>
            <w:sz w:val="18"/>
          </w:rPr>
          <w:t>Draw</w:t>
        </w:r>
      </w:hyperlink>
      <w:r>
        <w:rPr>
          <w:sz w:val="18"/>
        </w:rPr>
        <w:t>、</w:t>
      </w:r>
      <w:hyperlink r:id="rId74">
        <w:r>
          <w:rPr>
            <w:color w:val="204B70"/>
            <w:sz w:val="18"/>
          </w:rPr>
          <w:t>Modify</w:t>
        </w:r>
      </w:hyperlink>
      <w:r>
        <w:rPr>
          <w:sz w:val="18"/>
        </w:rPr>
        <w:t>、</w:t>
      </w:r>
      <w:hyperlink r:id="rId75">
        <w:r>
          <w:rPr>
            <w:color w:val="204B70"/>
            <w:sz w:val="18"/>
          </w:rPr>
          <w:t>Snap</w:t>
        </w:r>
      </w:hyperlink>
      <w:r>
        <w:rPr>
          <w:sz w:val="18"/>
        </w:rPr>
        <w:t>。</w:t>
      </w:r>
      <w:hyperlink r:id="rId76">
        <w:r>
          <w:rPr>
            <w:color w:val="204B70"/>
            <w:sz w:val="18"/>
          </w:rPr>
          <w:t>WebGL Vector 示例的非稳定 API 提示</w:t>
        </w:r>
      </w:hyperlink>
      <w:r>
        <w:rPr>
          <w:sz w:val="18"/>
        </w:rPr>
        <w:t>。</w:t>
      </w:r>
    </w:p>
    <w:p>
      <w:pPr>
        <w:spacing w:after="100" w:line="260" w:lineRule="exact"/>
      </w:pPr>
      <w:r>
        <w:rPr>
          <w:sz w:val="18"/>
        </w:rPr>
        <w:t>[T2] OpenLayers 坐标与栅格：</w:t>
      </w:r>
      <w:hyperlink r:id="rId77">
        <w:r>
          <w:rPr>
            <w:color w:val="204B70"/>
            <w:sz w:val="18"/>
          </w:rPr>
          <w:t>Projection 与内建 UTM 精度警告</w:t>
        </w:r>
      </w:hyperlink>
      <w:r>
        <w:rPr>
          <w:sz w:val="18"/>
        </w:rPr>
        <w:t>、</w:t>
      </w:r>
      <w:hyperlink r:id="rId78">
        <w:r>
          <w:rPr>
            <w:color w:val="204B70"/>
            <w:sz w:val="18"/>
          </w:rPr>
          <w:t>proj4 注册</w:t>
        </w:r>
      </w:hyperlink>
      <w:r>
        <w:rPr>
          <w:sz w:val="18"/>
        </w:rPr>
        <w:t>、</w:t>
      </w:r>
      <w:hyperlink r:id="rId79">
        <w:r>
          <w:rPr>
            <w:color w:val="204B70"/>
            <w:sz w:val="18"/>
          </w:rPr>
          <w:t>自定义平面示例</w:t>
        </w:r>
      </w:hyperlink>
      <w:r>
        <w:rPr>
          <w:sz w:val="18"/>
        </w:rPr>
        <w:t>、</w:t>
      </w:r>
      <w:hyperlink r:id="rId80">
        <w:r>
          <w:rPr>
            <w:color w:val="204B70"/>
            <w:sz w:val="18"/>
          </w:rPr>
          <w:t>GeoTIFF Source</w:t>
        </w:r>
      </w:hyperlink>
      <w:r>
        <w:rPr>
          <w:sz w:val="18"/>
        </w:rPr>
        <w:t>。</w:t>
      </w:r>
    </w:p>
    <w:p>
      <w:pPr>
        <w:spacing w:after="100" w:line="260" w:lineRule="exact"/>
      </w:pPr>
      <w:r>
        <w:rPr>
          <w:sz w:val="18"/>
        </w:rPr>
        <w:t>[T3] MapLibre：</w:t>
      </w:r>
      <w:hyperlink r:id="rId81">
        <w:r>
          <w:rPr>
            <w:color w:val="204B70"/>
            <w:sz w:val="18"/>
          </w:rPr>
          <w:t>投影定义</w:t>
        </w:r>
      </w:hyperlink>
      <w:r>
        <w:rPr>
          <w:sz w:val="18"/>
        </w:rPr>
        <w:t>、</w:t>
      </w:r>
      <w:hyperlink r:id="rId82">
        <w:r>
          <w:rPr>
            <w:color w:val="204B70"/>
            <w:sz w:val="18"/>
          </w:rPr>
          <w:t>大 GeoJSON 指南</w:t>
        </w:r>
      </w:hyperlink>
      <w:r>
        <w:rPr>
          <w:sz w:val="18"/>
        </w:rPr>
        <w:t>、</w:t>
      </w:r>
      <w:hyperlink r:id="rId83">
        <w:r>
          <w:rPr>
            <w:color w:val="204B70"/>
            <w:sz w:val="18"/>
          </w:rPr>
          <w:t>v6 迁移指南</w:t>
        </w:r>
      </w:hyperlink>
      <w:r>
        <w:rPr>
          <w:sz w:val="18"/>
        </w:rPr>
        <w:t>、</w:t>
      </w:r>
      <w:hyperlink r:id="rId84">
        <w:r>
          <w:rPr>
            <w:color w:val="204B70"/>
            <w:sz w:val="18"/>
          </w:rPr>
          <w:t>常用 COG 插件的 EPSG 3857 限制</w:t>
        </w:r>
      </w:hyperlink>
      <w:r>
        <w:rPr>
          <w:sz w:val="18"/>
        </w:rPr>
        <w:t>。</w:t>
      </w:r>
    </w:p>
    <w:p>
      <w:pPr>
        <w:spacing w:after="100" w:line="260" w:lineRule="exact"/>
      </w:pPr>
      <w:r>
        <w:rPr>
          <w:sz w:val="18"/>
        </w:rPr>
        <w:t>[T4] Terra Draw：</w:t>
      </w:r>
      <w:hyperlink r:id="rId85">
        <w:r>
          <w:rPr>
            <w:color w:val="204B70"/>
            <w:sz w:val="18"/>
          </w:rPr>
          <w:t>模式与验证</w:t>
        </w:r>
      </w:hyperlink>
      <w:r>
        <w:rPr>
          <w:sz w:val="18"/>
        </w:rPr>
        <w:t>、</w:t>
      </w:r>
      <w:hyperlink r:id="rId86">
        <w:r>
          <w:rPr>
            <w:color w:val="204B70"/>
            <w:sz w:val="18"/>
          </w:rPr>
          <w:t>两级历史与事件</w:t>
        </w:r>
      </w:hyperlink>
      <w:r>
        <w:rPr>
          <w:sz w:val="18"/>
        </w:rPr>
        <w:t>、</w:t>
      </w:r>
      <w:hyperlink r:id="rId87">
        <w:r>
          <w:rPr>
            <w:color w:val="204B70"/>
            <w:sz w:val="18"/>
          </w:rPr>
          <w:t>adapter 包依赖</w:t>
        </w:r>
      </w:hyperlink>
      <w:r>
        <w:rPr>
          <w:sz w:val="18"/>
        </w:rPr>
        <w:t>、</w:t>
      </w:r>
      <w:hyperlink r:id="rId88">
        <w:r>
          <w:rPr>
            <w:color w:val="204B70"/>
            <w:sz w:val="18"/>
          </w:rPr>
          <w:t>工具栏包依赖</w:t>
        </w:r>
      </w:hyperlink>
      <w:r>
        <w:rPr>
          <w:sz w:val="18"/>
        </w:rPr>
        <w:t>。</w:t>
      </w:r>
    </w:p>
    <w:p>
      <w:pPr>
        <w:spacing w:after="100" w:line="260" w:lineRule="exact"/>
      </w:pPr>
      <w:r>
        <w:rPr>
          <w:sz w:val="18"/>
        </w:rPr>
        <w:t>[T5] Geoman 与 Leaflet：</w:t>
      </w:r>
      <w:hyperlink r:id="rId89">
        <w:r>
          <w:rPr>
            <w:color w:val="204B70"/>
            <w:sz w:val="18"/>
          </w:rPr>
          <w:t>MapLibre Geoman 的 Free 和 Pro</w:t>
        </w:r>
      </w:hyperlink>
      <w:r>
        <w:rPr>
          <w:sz w:val="18"/>
        </w:rPr>
        <w:t>、</w:t>
      </w:r>
      <w:hyperlink r:id="rId90">
        <w:r>
          <w:rPr>
            <w:color w:val="204B70"/>
            <w:sz w:val="18"/>
          </w:rPr>
          <w:t>Leaflet 编辑模式</w:t>
        </w:r>
      </w:hyperlink>
      <w:r>
        <w:rPr>
          <w:sz w:val="18"/>
        </w:rPr>
        <w:t>、</w:t>
      </w:r>
      <w:hyperlink r:id="rId91">
        <w:r>
          <w:rPr>
            <w:color w:val="204B70"/>
            <w:sz w:val="18"/>
          </w:rPr>
          <w:t>Leaflet 本地平面教程</w:t>
        </w:r>
      </w:hyperlink>
      <w:r>
        <w:rPr>
          <w:sz w:val="18"/>
        </w:rPr>
        <w:t>。</w:t>
      </w:r>
    </w:p>
    <w:p>
      <w:pPr>
        <w:spacing w:after="100" w:line="260" w:lineRule="exact"/>
      </w:pPr>
      <w:r>
        <w:rPr>
          <w:sz w:val="18"/>
        </w:rPr>
        <w:t>[T6] deck.gl：</w:t>
      </w:r>
      <w:hyperlink r:id="rId92">
        <w:r>
          <w:rPr>
            <w:color w:val="204B70"/>
            <w:sz w:val="18"/>
          </w:rPr>
          <w:t>坐标系统</w:t>
        </w:r>
      </w:hyperlink>
      <w:r>
        <w:rPr>
          <w:sz w:val="18"/>
        </w:rPr>
        <w:t>、</w:t>
      </w:r>
      <w:hyperlink r:id="rId93">
        <w:r>
          <w:rPr>
            <w:color w:val="204B70"/>
            <w:sz w:val="18"/>
          </w:rPr>
          <w:t>性能指南</w:t>
        </w:r>
      </w:hyperlink>
      <w:r>
        <w:rPr>
          <w:sz w:val="18"/>
        </w:rPr>
        <w:t>、</w:t>
      </w:r>
      <w:hyperlink r:id="rId94">
        <w:r>
          <w:rPr>
            <w:color w:val="204B70"/>
            <w:sz w:val="18"/>
          </w:rPr>
          <w:t>社区 editable-layers 维护说明</w:t>
        </w:r>
      </w:hyperlink>
      <w:r>
        <w:rPr>
          <w:sz w:val="18"/>
        </w:rPr>
        <w:t>。</w:t>
      </w:r>
    </w:p>
    <w:p>
      <w:pPr>
        <w:spacing w:after="100" w:line="260" w:lineRule="exact"/>
      </w:pPr>
      <w:r>
        <w:rPr>
          <w:sz w:val="18"/>
        </w:rPr>
        <w:t>[T7] 三维与完整 GIS：</w:t>
      </w:r>
      <w:hyperlink r:id="rId95">
        <w:r>
          <w:rPr>
            <w:color w:val="204B70"/>
            <w:sz w:val="18"/>
          </w:rPr>
          <w:t>CesiumJS</w:t>
        </w:r>
      </w:hyperlink>
      <w:r>
        <w:rPr>
          <w:sz w:val="18"/>
        </w:rPr>
        <w:t>、</w:t>
      </w:r>
      <w:hyperlink r:id="rId96">
        <w:r>
          <w:rPr>
            <w:color w:val="204B70"/>
            <w:sz w:val="18"/>
          </w:rPr>
          <w:t>MapStore 架构</w:t>
        </w:r>
      </w:hyperlink>
      <w:r>
        <w:rPr>
          <w:sz w:val="18"/>
        </w:rPr>
        <w:t>。</w:t>
      </w:r>
    </w:p>
    <w:p>
      <w:pPr>
        <w:spacing w:after="100" w:line="260" w:lineRule="exact"/>
      </w:pPr>
      <w:r>
        <w:rPr>
          <w:sz w:val="18"/>
        </w:rPr>
        <w:t>[T8] 计算几何与坐标：</w:t>
      </w:r>
      <w:hyperlink r:id="rId97">
        <w:r>
          <w:rPr>
            <w:color w:val="204B70"/>
            <w:sz w:val="18"/>
          </w:rPr>
          <w:t>pyproj Transformer</w:t>
        </w:r>
      </w:hyperlink>
      <w:r>
        <w:rPr>
          <w:sz w:val="18"/>
        </w:rPr>
        <w:t>、</w:t>
      </w:r>
      <w:hyperlink r:id="rId98">
        <w:r>
          <w:rPr>
            <w:color w:val="204B70"/>
            <w:sz w:val="18"/>
          </w:rPr>
          <w:t>PROJ UTM</w:t>
        </w:r>
      </w:hyperlink>
      <w:r>
        <w:rPr>
          <w:sz w:val="18"/>
        </w:rPr>
        <w:t>、</w:t>
      </w:r>
      <w:hyperlink r:id="rId99">
        <w:r>
          <w:rPr>
            <w:color w:val="204B70"/>
            <w:sz w:val="18"/>
          </w:rPr>
          <w:t>PROJ 离线与网络格网</w:t>
        </w:r>
      </w:hyperlink>
      <w:r>
        <w:rPr>
          <w:sz w:val="18"/>
        </w:rPr>
        <w:t>、</w:t>
      </w:r>
      <w:hyperlink r:id="rId100">
        <w:r>
          <w:rPr>
            <w:color w:val="204B70"/>
            <w:sz w:val="18"/>
          </w:rPr>
          <w:t>Shapely 手册</w:t>
        </w:r>
      </w:hyperlink>
      <w:r>
        <w:rPr>
          <w:sz w:val="18"/>
        </w:rPr>
        <w:t>。</w:t>
      </w:r>
    </w:p>
    <w:p>
      <w:pPr>
        <w:spacing w:after="100" w:line="260" w:lineRule="exact"/>
      </w:pPr>
      <w:r>
        <w:rPr>
          <w:sz w:val="18"/>
        </w:rPr>
        <w:t>[T9] 标准和原始基准：</w:t>
      </w:r>
      <w:hyperlink r:id="rId101">
        <w:r>
          <w:rPr>
            <w:color w:val="204B70"/>
            <w:sz w:val="18"/>
          </w:rPr>
          <w:t>RFC 7946 GeoJSON</w:t>
        </w:r>
      </w:hyperlink>
      <w:r>
        <w:rPr>
          <w:sz w:val="18"/>
        </w:rPr>
        <w:t>、</w:t>
      </w:r>
      <w:hyperlink r:id="rId15">
        <w:r>
          <w:rPr>
            <w:color w:val="204B70"/>
            <w:sz w:val="18"/>
          </w:rPr>
          <w:t>Fields2Benchmark 发布页及各国来源许可</w:t>
        </w:r>
      </w:hyperlink>
      <w:r>
        <w:rPr>
          <w:sz w:val="18"/>
        </w:rPr>
        <w:t>。</w:t>
      </w:r>
    </w:p>
    <w:p>
      <w:pPr>
        <w:spacing w:after="100" w:line="260" w:lineRule="exact"/>
      </w:pPr>
      <w:r>
        <w:rPr>
          <w:sz w:val="18"/>
        </w:rPr>
        <w:t>[T10] 文件与栅格：</w:t>
      </w:r>
      <w:hyperlink r:id="rId102">
        <w:r>
          <w:rPr>
            <w:color w:val="204B70"/>
            <w:sz w:val="18"/>
          </w:rPr>
          <w:t>GeoPackage 1.4 标准</w:t>
        </w:r>
      </w:hyperlink>
      <w:r>
        <w:rPr>
          <w:sz w:val="18"/>
        </w:rPr>
        <w:t>、</w:t>
      </w:r>
      <w:hyperlink r:id="rId103">
        <w:r>
          <w:rPr>
            <w:color w:val="204B70"/>
            <w:sz w:val="18"/>
          </w:rPr>
          <w:t>GDAL COG</w:t>
        </w:r>
      </w:hyperlink>
      <w:r>
        <w:rPr>
          <w:sz w:val="18"/>
        </w:rPr>
        <w:t>、</w:t>
      </w:r>
      <w:hyperlink r:id="rId104">
        <w:r>
          <w:rPr>
            <w:color w:val="204B70"/>
            <w:sz w:val="18"/>
          </w:rPr>
          <w:t>Rasterio 按窗读取</w:t>
        </w:r>
      </w:hyperlink>
      <w:r>
        <w:rPr>
          <w:sz w:val="18"/>
        </w:rPr>
        <w:t>。</w:t>
      </w:r>
    </w:p>
    <w:p>
      <w:pPr>
        <w:spacing w:after="100" w:line="260" w:lineRule="exact"/>
      </w:pPr>
      <w:r>
        <w:rPr>
          <w:sz w:val="18"/>
        </w:rPr>
        <w:t>[T11] 离线底图：</w:t>
      </w:r>
      <w:hyperlink r:id="rId105">
        <w:r>
          <w:rPr>
            <w:color w:val="204B70"/>
            <w:sz w:val="18"/>
          </w:rPr>
          <w:t>PMTiles</w:t>
        </w:r>
      </w:hyperlink>
      <w:r>
        <w:rPr>
          <w:sz w:val="18"/>
        </w:rPr>
        <w:t>、</w:t>
      </w:r>
      <w:hyperlink r:id="rId106">
        <w:r>
          <w:rPr>
            <w:color w:val="204B70"/>
            <w:sz w:val="18"/>
          </w:rPr>
          <w:t>OSM 栅格政策</w:t>
        </w:r>
      </w:hyperlink>
      <w:r>
        <w:rPr>
          <w:sz w:val="18"/>
        </w:rPr>
        <w:t>、</w:t>
      </w:r>
      <w:hyperlink r:id="rId107">
        <w:r>
          <w:rPr>
            <w:color w:val="204B70"/>
            <w:sz w:val="18"/>
          </w:rPr>
          <w:t>OSM 矢量政策</w:t>
        </w:r>
      </w:hyperlink>
      <w:r>
        <w:rPr>
          <w:sz w:val="18"/>
        </w:rPr>
        <w:t>。</w:t>
      </w:r>
    </w:p>
    <w:p>
      <w:pPr>
        <w:spacing w:after="100" w:line="260" w:lineRule="exact"/>
      </w:pPr>
      <w:r>
        <w:rPr>
          <w:sz w:val="18"/>
        </w:rPr>
        <w:t>[T12] 采集与数据检查：</w:t>
      </w:r>
      <w:hyperlink r:id="rId108">
        <w:r>
          <w:rPr>
            <w:color w:val="204B70"/>
            <w:sz w:val="18"/>
          </w:rPr>
          <w:t>QGIS Georeferencer</w:t>
        </w:r>
      </w:hyperlink>
      <w:r>
        <w:rPr>
          <w:sz w:val="18"/>
        </w:rPr>
        <w:t>、</w:t>
      </w:r>
      <w:hyperlink r:id="rId109">
        <w:r>
          <w:rPr>
            <w:color w:val="204B70"/>
            <w:sz w:val="18"/>
          </w:rPr>
          <w:t>QField</w:t>
        </w:r>
      </w:hyperlink>
      <w:r>
        <w:rPr>
          <w:sz w:val="18"/>
        </w:rPr>
        <w:t>、</w:t>
      </w:r>
      <w:hyperlink r:id="rId110">
        <w:r>
          <w:rPr>
            <w:color w:val="204B70"/>
            <w:sz w:val="18"/>
          </w:rPr>
          <w:t>浏览器存储配额与清理</w:t>
        </w:r>
      </w:hyperlink>
      <w:r>
        <w:rPr>
          <w:sz w:val="18"/>
        </w:rPr>
        <w:t>。</w:t>
      </w:r>
    </w:p>
    <w:p>
      <w:pPr>
        <w:spacing w:after="100" w:line="260" w:lineRule="exact"/>
      </w:pPr>
      <w:r>
        <w:rPr>
          <w:sz w:val="18"/>
        </w:rPr>
        <w:t>[T13] 覆盖与点服务：</w:t>
      </w:r>
      <w:hyperlink r:id="rId39">
        <w:r>
          <w:rPr>
            <w:color w:val="204B70"/>
            <w:sz w:val="18"/>
          </w:rPr>
          <w:t>Fields2Cover</w:t>
        </w:r>
      </w:hyperlink>
      <w:r>
        <w:rPr>
          <w:sz w:val="18"/>
        </w:rPr>
        <w:t>、</w:t>
      </w:r>
      <w:hyperlink r:id="rId111">
        <w:r>
          <w:rPr>
            <w:color w:val="204B70"/>
            <w:sz w:val="18"/>
          </w:rPr>
          <w:t>Route 与 Path 类型</w:t>
        </w:r>
      </w:hyperlink>
      <w:r>
        <w:rPr>
          <w:sz w:val="18"/>
        </w:rPr>
        <w:t>、</w:t>
      </w:r>
      <w:hyperlink r:id="rId112">
        <w:r>
          <w:rPr>
            <w:color w:val="204B70"/>
            <w:sz w:val="18"/>
          </w:rPr>
          <w:t>PyVRP 发布记录</w:t>
        </w:r>
      </w:hyperlink>
      <w:r>
        <w:rPr>
          <w:sz w:val="18"/>
        </w:rPr>
        <w:t>。</w:t>
      </w:r>
    </w:p>
    <w:p>
      <w:pPr>
        <w:spacing w:after="100" w:line="260" w:lineRule="exact"/>
      </w:pPr>
      <w:r>
        <w:rPr>
          <w:sz w:val="18"/>
        </w:rPr>
        <w:t>[T14] 存储与桌面：</w:t>
      </w:r>
      <w:hyperlink r:id="rId113">
        <w:r>
          <w:rPr>
            <w:color w:val="204B70"/>
            <w:sz w:val="18"/>
          </w:rPr>
          <w:t>SQLite 适用范围</w:t>
        </w:r>
      </w:hyperlink>
      <w:r>
        <w:rPr>
          <w:sz w:val="18"/>
        </w:rPr>
        <w:t>、</w:t>
      </w:r>
      <w:hyperlink r:id="rId114">
        <w:r>
          <w:rPr>
            <w:color w:val="204B70"/>
            <w:sz w:val="18"/>
          </w:rPr>
          <w:t>WAL</w:t>
        </w:r>
      </w:hyperlink>
      <w:r>
        <w:rPr>
          <w:sz w:val="18"/>
        </w:rPr>
        <w:t>、</w:t>
      </w:r>
      <w:hyperlink r:id="rId115">
        <w:r>
          <w:rPr>
            <w:color w:val="204B70"/>
            <w:sz w:val="18"/>
          </w:rPr>
          <w:t>Tauri WebView</w:t>
        </w:r>
      </w:hyperlink>
      <w:r>
        <w:rPr>
          <w:sz w:val="18"/>
        </w:rPr>
        <w:t>、</w:t>
      </w:r>
      <w:hyperlink r:id="rId116">
        <w:r>
          <w:rPr>
            <w:color w:val="204B70"/>
            <w:sz w:val="18"/>
          </w:rPr>
          <w:t>Tauri Sidecar</w:t>
        </w:r>
      </w:hyperlink>
      <w:r>
        <w:rPr>
          <w:sz w:val="18"/>
        </w:rPr>
        <w:t>、</w:t>
      </w:r>
      <w:hyperlink r:id="rId117">
        <w:r>
          <w:rPr>
            <w:color w:val="204B70"/>
            <w:sz w:val="18"/>
          </w:rPr>
          <w:t>Electron 安全清单</w:t>
        </w:r>
      </w:hyperlink>
      <w:r>
        <w:rPr>
          <w:sz w:val="18"/>
        </w:rPr>
        <w:t>。</w:t>
      </w:r>
    </w:p>
    <w:p>
      <w:pPr>
        <w:spacing w:after="100" w:line="260" w:lineRule="exact"/>
      </w:pPr>
      <w:r>
        <w:rPr>
          <w:sz w:val="18"/>
        </w:rPr>
        <w:t>[T15] 外部观测器：</w:t>
      </w:r>
      <w:hyperlink r:id="rId118">
        <w:r>
          <w:rPr>
            <w:color w:val="204B70"/>
            <w:sz w:val="18"/>
          </w:rPr>
          <w:t>Rerun 地理数据能力</w:t>
        </w:r>
      </w:hyperlink>
      <w:r>
        <w:rPr>
          <w:sz w:val="18"/>
        </w:rPr>
        <w:t>、</w:t>
      </w:r>
      <w:hyperlink r:id="rId119">
        <w:r>
          <w:rPr>
            <w:color w:val="204B70"/>
            <w:sz w:val="18"/>
          </w:rPr>
          <w:t>Foxglove 2024 产品与开源调整</w:t>
        </w:r>
      </w:hyperlink>
      <w:r>
        <w:rPr>
          <w:sz w:val="18"/>
        </w:rPr>
        <w:t>。</w:t>
      </w:r>
    </w:p>
    <w:p>
      <w:pPr>
        <w:spacing w:after="100" w:line="260" w:lineRule="exact"/>
      </w:pPr>
      <w:r>
        <w:rPr>
          <w:sz w:val="18"/>
        </w:rPr>
        <w:t>[T16] 当前产品与存档：src/backend/backend/server.py、src/research/README.md；experiments/provenance/记录/综合/URP_实验项目.zip 内 URP/web/planner.html 与 planner.js。10月11日只读核查确认历史原型与当前React未统一接通。</w:t>
      </w:r>
    </w:p>
    <w:p>
      <w:pPr>
        <w:spacing w:after="100" w:line="260" w:lineRule="exact"/>
      </w:pPr>
      <w:r>
        <w:rPr>
          <w:sz w:val="18"/>
        </w:rPr>
        <w:t>[T17] 行与区域任务：</w:t>
      </w:r>
      <w:hyperlink r:id="rId120">
        <w:r>
          <w:rPr>
            <w:color w:val="204B70"/>
            <w:sz w:val="18"/>
          </w:rPr>
          <w:t>Open Navigation Coverage</w:t>
        </w:r>
      </w:hyperlink>
      <w:r>
        <w:rPr>
          <w:sz w:val="18"/>
        </w:rPr>
        <w:t>、</w:t>
      </w:r>
      <w:hyperlink r:id="rId41">
        <w:r>
          <w:rPr>
            <w:color w:val="204B70"/>
            <w:sz w:val="18"/>
          </w:rPr>
          <w:t>Vidal 等 NEARP 服务模式论文</w:t>
        </w:r>
      </w:hyperlink>
      <w:r>
        <w:rPr>
          <w:sz w:val="18"/>
        </w:rPr>
        <w:t>。</w:t>
      </w:r>
    </w:p>
    <w:p>
      <w:pPr>
        <w:spacing w:after="100" w:line="260" w:lineRule="exact"/>
      </w:pPr>
      <w:r>
        <w:rPr>
          <w:sz w:val="18"/>
        </w:rPr>
        <w:t>[T18] 规划约束：</w:t>
      </w:r>
      <w:hyperlink r:id="rId121">
        <w:r>
          <w:rPr>
            <w:color w:val="204B70"/>
            <w:sz w:val="18"/>
          </w:rPr>
          <w:t>OR-Tools Dimensions</w:t>
        </w:r>
      </w:hyperlink>
      <w:r>
        <w:rPr>
          <w:sz w:val="18"/>
        </w:rPr>
        <w:t>、</w:t>
      </w:r>
      <w:hyperlink r:id="rId122">
        <w:r>
          <w:rPr>
            <w:color w:val="204B70"/>
            <w:sz w:val="18"/>
          </w:rPr>
          <w:t>OMPL 状态与运动有效性</w:t>
        </w:r>
      </w:hyperlink>
      <w:r>
        <w:rPr>
          <w:sz w:val="18"/>
        </w:rPr>
        <w:t>。</w:t>
      </w:r>
    </w:p>
    <w:p>
      <w:pPr>
        <w:spacing w:after="100" w:line="260" w:lineRule="exact"/>
      </w:pPr>
      <w:r>
        <w:rPr>
          <w:sz w:val="18"/>
        </w:rPr>
        <w:t>[T19] API 与进程：</w:t>
      </w:r>
      <w:hyperlink r:id="rId123">
        <w:r>
          <w:rPr>
            <w:color w:val="204B70"/>
            <w:sz w:val="18"/>
          </w:rPr>
          <w:t>FastAPI 后台任务边界</w:t>
        </w:r>
      </w:hyperlink>
      <w:r>
        <w:rPr>
          <w:sz w:val="18"/>
        </w:rPr>
        <w:t>、</w:t>
      </w:r>
      <w:hyperlink r:id="rId124">
        <w:r>
          <w:rPr>
            <w:color w:val="204B70"/>
            <w:sz w:val="18"/>
          </w:rPr>
          <w:t>Pydantic 模型</w:t>
        </w:r>
      </w:hyperlink>
      <w:r>
        <w:rPr>
          <w:sz w:val="18"/>
        </w:rPr>
        <w:t>、</w:t>
      </w:r>
      <w:hyperlink r:id="rId125">
        <w:r>
          <w:rPr>
            <w:color w:val="204B70"/>
            <w:sz w:val="18"/>
          </w:rPr>
          <w:t>Python subprocess</w:t>
        </w:r>
      </w:hyperlink>
      <w:r>
        <w:rPr>
          <w:sz w:val="18"/>
        </w:rPr>
        <w:t>。</w:t>
      </w:r>
    </w:p>
    <w:p>
      <w:pPr>
        <w:spacing w:after="100" w:line="260" w:lineRule="exact"/>
      </w:pPr>
      <w:r>
        <w:rPr>
          <w:sz w:val="18"/>
        </w:rPr>
        <w:t>[T20] 执行隔离与资源：</w:t>
      </w:r>
      <w:hyperlink r:id="rId126">
        <w:r>
          <w:rPr>
            <w:color w:val="204B70"/>
            <w:sz w:val="18"/>
          </w:rPr>
          <w:t>Docker 安全</w:t>
        </w:r>
      </w:hyperlink>
      <w:r>
        <w:rPr>
          <w:sz w:val="18"/>
        </w:rPr>
        <w:t>、</w:t>
      </w:r>
      <w:hyperlink r:id="rId127">
        <w:r>
          <w:rPr>
            <w:color w:val="204B70"/>
            <w:sz w:val="18"/>
          </w:rPr>
          <w:t>Ray 逻辑资源</w:t>
        </w:r>
      </w:hyperlink>
      <w:r>
        <w:rPr>
          <w:sz w:val="18"/>
        </w:rPr>
        <w:t>。</w:t>
      </w:r>
    </w:p>
    <w:p>
      <w:pPr>
        <w:spacing w:after="100" w:line="260" w:lineRule="exact"/>
      </w:pPr>
      <w:r>
        <w:rPr>
          <w:sz w:val="18"/>
        </w:rPr>
        <w:t>[T21] 队列和分析：</w:t>
      </w:r>
      <w:hyperlink r:id="rId128">
        <w:r>
          <w:rPr>
            <w:color w:val="204B70"/>
            <w:sz w:val="18"/>
          </w:rPr>
          <w:t>Celery 任务</w:t>
        </w:r>
      </w:hyperlink>
      <w:r>
        <w:rPr>
          <w:sz w:val="18"/>
        </w:rPr>
        <w:t>、</w:t>
      </w:r>
      <w:hyperlink r:id="rId129">
        <w:r>
          <w:rPr>
            <w:color w:val="204B70"/>
            <w:sz w:val="18"/>
          </w:rPr>
          <w:t>worker 与取消</w:t>
        </w:r>
      </w:hyperlink>
      <w:r>
        <w:rPr>
          <w:sz w:val="18"/>
        </w:rPr>
        <w:t>、</w:t>
      </w:r>
      <w:hyperlink r:id="rId130">
        <w:r>
          <w:rPr>
            <w:color w:val="204B70"/>
            <w:sz w:val="18"/>
          </w:rPr>
          <w:t>Dask 最佳实践</w:t>
        </w:r>
      </w:hyperlink>
      <w:r>
        <w:rPr>
          <w:sz w:val="18"/>
        </w:rPr>
        <w:t>、</w:t>
      </w:r>
      <w:hyperlink r:id="rId131">
        <w:r>
          <w:rPr>
            <w:color w:val="204B70"/>
            <w:sz w:val="18"/>
          </w:rPr>
          <w:t>SQLite WAL 修复发布记录</w:t>
        </w:r>
      </w:hyperlink>
      <w:r>
        <w:rPr>
          <w:sz w:val="18"/>
        </w:rPr>
        <w:t>。</w:t>
      </w:r>
    </w:p>
    <w:p>
      <w:pPr>
        <w:spacing w:after="100" w:line="260" w:lineRule="exact"/>
      </w:pPr>
      <w:r>
        <w:rPr>
          <w:sz w:val="18"/>
        </w:rPr>
        <w:t>[T26] 联动视图：</w:t>
      </w:r>
      <w:hyperlink r:id="rId132">
        <w:r>
          <w:rPr>
            <w:color w:val="204B70"/>
            <w:sz w:val="18"/>
          </w:rPr>
          <w:t>React Flow</w:t>
        </w:r>
      </w:hyperlink>
      <w:r>
        <w:rPr>
          <w:sz w:val="18"/>
        </w:rPr>
        <w:t>、</w:t>
      </w:r>
      <w:hyperlink r:id="rId133">
        <w:r>
          <w:rPr>
            <w:color w:val="204B70"/>
            <w:sz w:val="18"/>
          </w:rPr>
          <w:t>ECharts 数据变换</w:t>
        </w:r>
      </w:hyperlink>
      <w:r>
        <w:rPr>
          <w:sz w:val="18"/>
        </w:rPr>
        <w:t>、</w:t>
      </w:r>
      <w:hyperlink r:id="rId134">
        <w:r>
          <w:rPr>
            <w:color w:val="204B70"/>
            <w:sz w:val="18"/>
          </w:rPr>
          <w:t>Vega-Lite 选择交互</w:t>
        </w:r>
      </w:hyperlink>
      <w:r>
        <w:rPr>
          <w:sz w:val="18"/>
        </w:rPr>
        <w:t>。已有图表可继续使用，无须为联动而换库。</w:t>
      </w:r>
    </w:p>
    <w:p>
      <w:pPr>
        <w:spacing w:after="100" w:line="260" w:lineRule="exact"/>
      </w:pPr>
      <w:r>
        <w:rPr>
          <w:sz w:val="18"/>
        </w:rPr>
        <w:t>[T28] 农业原始证据：experiments/reports/农业路径/124块NL算法多seed复验.txt；experiments/results/服务与运动/四路实验_P102容量空间.zip、Dubins固定航向排序.zip；src/research/src/urp_research/turn_modes/checker.py；experiments/results/组件/orchard_navigation/results/main/；所查回补适配器为 experiments/results/组件/vehicle_routing/initialization_ablation_v1/adapter.py。</w:t>
      </w:r>
    </w:p>
    <w:p>
      <w:pPr>
        <w:spacing w:after="100" w:line="260" w:lineRule="exact"/>
      </w:pPr>
      <w:r>
        <w:rPr>
          <w:sz w:val="18"/>
        </w:rPr>
        <w:t>[Tinteraction1] 交互修改合同补充依据既有《研究路线评议》第11与20节；原文链接：</w:t>
      </w:r>
      <w:hyperlink r:id="rId18">
        <w:r>
          <w:rPr>
            <w:color w:val="204B70"/>
            <w:sz w:val="18"/>
          </w:rPr>
          <w:t>INSPIRED</w:t>
        </w:r>
      </w:hyperlink>
      <w:r>
        <w:rPr>
          <w:sz w:val="18"/>
        </w:rPr>
        <w:t>、</w:t>
      </w:r>
      <w:hyperlink r:id="rId19">
        <w:r>
          <w:rPr>
            <w:color w:val="204B70"/>
            <w:sz w:val="18"/>
          </w:rPr>
          <w:t>机器人语言纠正</w:t>
        </w:r>
      </w:hyperlink>
      <w:r>
        <w:rPr>
          <w:sz w:val="18"/>
        </w:rPr>
        <w:t>、</w:t>
      </w:r>
      <w:hyperlink r:id="rId20">
        <w:r>
          <w:rPr>
            <w:color w:val="204B70"/>
            <w:sz w:val="18"/>
          </w:rPr>
          <w:t>ExTraCT</w:t>
        </w:r>
      </w:hyperlink>
      <w:r>
        <w:rPr>
          <w:sz w:val="18"/>
        </w:rPr>
        <w:t>。</w:t>
      </w:r>
    </w:p>
    <w:p>
      <w:pPr>
        <w:spacing w:after="100" w:line="260" w:lineRule="exact"/>
      </w:pPr>
      <w:r>
        <w:rPr>
          <w:sz w:val="18"/>
        </w:rPr>
        <w:t>[Tinteraction2] 逐来源坐标转换示例：</w:t>
      </w:r>
      <w:hyperlink r:id="rId135">
        <w:r>
          <w:rPr>
            <w:color w:val="204B70"/>
            <w:sz w:val="18"/>
          </w:rPr>
          <w:t>As You Wish地图</w:t>
        </w:r>
      </w:hyperlink>
      <w:r>
        <w:rPr>
          <w:sz w:val="18"/>
        </w:rPr>
        <w:t>与</w:t>
      </w:r>
      <w:hyperlink r:id="rId136">
        <w:r>
          <w:rPr>
            <w:color w:val="204B70"/>
            <w:sz w:val="18"/>
          </w:rPr>
          <w:t>同提交XML</w:t>
        </w:r>
      </w:hyperlink>
      <w:r>
        <w:rPr>
          <w:sz w:val="18"/>
        </w:rPr>
        <w:t>。</w:t>
      </w:r>
    </w:p>
    <w:p>
      <w:pPr>
        <w:pStyle w:val="Heading2"/>
      </w:pPr>
      <w:r>
        <w:t>8  探索方法来源</w:t>
      </w:r>
    </w:p>
    <w:p>
      <w:r>
        <w:t>ER编号对应探索章节，沿用既有评议来源和已核前次NDS入口。本次未重新核验链接或软件版本。</w:t>
      </w:r>
    </w:p>
    <w:p>
      <w:pPr>
        <w:spacing w:after="100" w:line="260" w:lineRule="exact"/>
      </w:pPr>
      <w:r>
        <w:rPr>
          <w:sz w:val="18"/>
        </w:rPr>
        <w:t xml:space="preserve">[ER01] </w:t>
      </w:r>
      <w:hyperlink r:id="rId137">
        <w:r>
          <w:rPr>
            <w:color w:val="204B70"/>
            <w:sz w:val="18"/>
          </w:rPr>
          <w:t>RRNCO</w:t>
        </w:r>
      </w:hyperlink>
      <w:r>
        <w:rPr>
          <w:sz w:val="18"/>
        </w:rPr>
        <w:t>。</w:t>
      </w:r>
    </w:p>
    <w:p>
      <w:pPr>
        <w:spacing w:after="100" w:line="260" w:lineRule="exact"/>
      </w:pPr>
      <w:r>
        <w:rPr>
          <w:sz w:val="18"/>
        </w:rPr>
        <w:t xml:space="preserve">[ER02] </w:t>
      </w:r>
      <w:hyperlink r:id="rId138">
        <w:r>
          <w:rPr>
            <w:color w:val="204B70"/>
            <w:sz w:val="18"/>
          </w:rPr>
          <w:t>CDQAC v3</w:t>
        </w:r>
      </w:hyperlink>
      <w:r>
        <w:rPr>
          <w:sz w:val="18"/>
        </w:rPr>
        <w:t>。</w:t>
      </w:r>
    </w:p>
    <w:p>
      <w:pPr>
        <w:spacing w:after="100" w:line="260" w:lineRule="exact"/>
      </w:pPr>
      <w:r>
        <w:rPr>
          <w:sz w:val="18"/>
        </w:rPr>
        <w:t xml:space="preserve">[ER03] </w:t>
      </w:r>
      <w:hyperlink r:id="rId139">
        <w:r>
          <w:rPr>
            <w:color w:val="204B70"/>
            <w:sz w:val="18"/>
          </w:rPr>
          <w:t>CDQAC离散IQL固定源码</w:t>
        </w:r>
      </w:hyperlink>
      <w:r>
        <w:rPr>
          <w:sz w:val="18"/>
        </w:rPr>
        <w:t>。</w:t>
      </w:r>
    </w:p>
    <w:p>
      <w:pPr>
        <w:spacing w:after="100" w:line="260" w:lineRule="exact"/>
      </w:pPr>
      <w:r>
        <w:rPr>
          <w:sz w:val="18"/>
        </w:rPr>
        <w:t xml:space="preserve">[ER04] </w:t>
      </w:r>
      <w:hyperlink r:id="rId140">
        <w:r>
          <w:rPr>
            <w:color w:val="204B70"/>
            <w:sz w:val="18"/>
          </w:rPr>
          <w:t>CDQAC轨迹buffer固定源码</w:t>
        </w:r>
      </w:hyperlink>
      <w:r>
        <w:rPr>
          <w:sz w:val="18"/>
        </w:rPr>
        <w:t>。</w:t>
      </w:r>
    </w:p>
    <w:p>
      <w:pPr>
        <w:spacing w:after="100" w:line="260" w:lineRule="exact"/>
      </w:pPr>
      <w:r>
        <w:rPr>
          <w:sz w:val="18"/>
        </w:rPr>
        <w:t xml:space="preserve">[ER05] </w:t>
      </w:r>
      <w:hyperlink r:id="rId141">
        <w:r>
          <w:rPr>
            <w:color w:val="204B70"/>
            <w:sz w:val="18"/>
          </w:rPr>
          <w:t>DR-ALNS</w:t>
        </w:r>
      </w:hyperlink>
      <w:r>
        <w:rPr>
          <w:sz w:val="18"/>
        </w:rPr>
        <w:t>。</w:t>
      </w:r>
    </w:p>
    <w:p>
      <w:pPr>
        <w:spacing w:after="100" w:line="260" w:lineRule="exact"/>
      </w:pPr>
      <w:r>
        <w:rPr>
          <w:sz w:val="18"/>
        </w:rPr>
        <w:t xml:space="preserve">[ER06] </w:t>
      </w:r>
      <w:hyperlink r:id="rId142">
        <w:r>
          <w:rPr>
            <w:color w:val="204B70"/>
            <w:sz w:val="18"/>
          </w:rPr>
          <w:t>Learning to Delegate</w:t>
        </w:r>
      </w:hyperlink>
      <w:r>
        <w:rPr>
          <w:sz w:val="18"/>
        </w:rPr>
        <w:t>。</w:t>
      </w:r>
    </w:p>
    <w:p>
      <w:pPr>
        <w:spacing w:after="100" w:line="260" w:lineRule="exact"/>
      </w:pPr>
      <w:r>
        <w:rPr>
          <w:sz w:val="18"/>
        </w:rPr>
        <w:t xml:space="preserve">[ER07] </w:t>
      </w:r>
      <w:hyperlink r:id="rId143">
        <w:r>
          <w:rPr>
            <w:color w:val="204B70"/>
            <w:sz w:val="18"/>
          </w:rPr>
          <w:t>MuEvo</w:t>
        </w:r>
      </w:hyperlink>
      <w:r>
        <w:rPr>
          <w:sz w:val="18"/>
        </w:rPr>
        <w:t>。</w:t>
      </w:r>
    </w:p>
    <w:p>
      <w:pPr>
        <w:spacing w:after="100" w:line="260" w:lineRule="exact"/>
      </w:pPr>
      <w:r>
        <w:rPr>
          <w:sz w:val="18"/>
        </w:rPr>
        <w:t xml:space="preserve">[ER08] </w:t>
      </w:r>
      <w:hyperlink r:id="rId144">
        <w:r>
          <w:rPr>
            <w:color w:val="204B70"/>
            <w:sz w:val="18"/>
          </w:rPr>
          <w:t>PolarBear</w:t>
        </w:r>
      </w:hyperlink>
      <w:r>
        <w:rPr>
          <w:sz w:val="18"/>
        </w:rPr>
        <w:t>。</w:t>
      </w:r>
    </w:p>
    <w:p>
      <w:pPr>
        <w:spacing w:after="100" w:line="260" w:lineRule="exact"/>
      </w:pPr>
      <w:r>
        <w:rPr>
          <w:sz w:val="18"/>
        </w:rPr>
        <w:t xml:space="preserve">[ER09] </w:t>
      </w:r>
      <w:hyperlink r:id="rId145">
        <w:r>
          <w:rPr>
            <w:color w:val="204B70"/>
            <w:sz w:val="18"/>
          </w:rPr>
          <w:t>EoH</w:t>
        </w:r>
      </w:hyperlink>
      <w:r>
        <w:rPr>
          <w:sz w:val="18"/>
        </w:rPr>
        <w:t>。</w:t>
      </w:r>
    </w:p>
    <w:p>
      <w:pPr>
        <w:spacing w:after="100" w:line="260" w:lineRule="exact"/>
      </w:pPr>
      <w:r>
        <w:rPr>
          <w:sz w:val="18"/>
        </w:rPr>
        <w:t xml:space="preserve">[ER10] </w:t>
      </w:r>
      <w:hyperlink r:id="rId146">
        <w:r>
          <w:rPr>
            <w:color w:val="204B70"/>
            <w:sz w:val="18"/>
          </w:rPr>
          <w:t>AlgoEvo v2</w:t>
        </w:r>
      </w:hyperlink>
      <w:r>
        <w:rPr>
          <w:sz w:val="18"/>
        </w:rPr>
        <w:t>。</w:t>
      </w:r>
    </w:p>
    <w:p>
      <w:pPr>
        <w:spacing w:after="100" w:line="260" w:lineRule="exact"/>
      </w:pPr>
      <w:r>
        <w:rPr>
          <w:sz w:val="18"/>
        </w:rPr>
        <w:t xml:space="preserve">[ER11] </w:t>
      </w:r>
      <w:hyperlink r:id="rId147">
        <w:r>
          <w:rPr>
            <w:color w:val="204B70"/>
            <w:sz w:val="18"/>
          </w:rPr>
          <w:t>AHD Agent v2</w:t>
        </w:r>
      </w:hyperlink>
      <w:r>
        <w:rPr>
          <w:sz w:val="18"/>
        </w:rPr>
        <w:t>。</w:t>
      </w:r>
    </w:p>
    <w:p>
      <w:pPr>
        <w:spacing w:after="100" w:line="260" w:lineRule="exact"/>
      </w:pPr>
      <w:r>
        <w:rPr>
          <w:sz w:val="18"/>
        </w:rPr>
        <w:t xml:space="preserve">[ER12] </w:t>
      </w:r>
      <w:hyperlink r:id="rId148">
        <w:r>
          <w:rPr>
            <w:color w:val="204B70"/>
            <w:sz w:val="18"/>
          </w:rPr>
          <w:t>ChopChop约束与计时固定源码</w:t>
        </w:r>
      </w:hyperlink>
      <w:r>
        <w:rPr>
          <w:sz w:val="18"/>
        </w:rPr>
        <w:t>。</w:t>
      </w:r>
    </w:p>
    <w:p>
      <w:pPr>
        <w:spacing w:after="100" w:line="260" w:lineRule="exact"/>
      </w:pPr>
      <w:r>
        <w:rPr>
          <w:sz w:val="18"/>
        </w:rPr>
        <w:t xml:space="preserve">[ER13] </w:t>
      </w:r>
      <w:hyperlink r:id="rId149">
        <w:r>
          <w:rPr>
            <w:color w:val="204B70"/>
            <w:sz w:val="18"/>
          </w:rPr>
          <w:t>LLM-CEGIS-Repair修复循环</w:t>
        </w:r>
      </w:hyperlink>
      <w:r>
        <w:rPr>
          <w:sz w:val="18"/>
        </w:rPr>
        <w:t>。</w:t>
      </w:r>
    </w:p>
    <w:p>
      <w:pPr>
        <w:spacing w:after="100" w:line="260" w:lineRule="exact"/>
      </w:pPr>
      <w:r>
        <w:rPr>
          <w:sz w:val="18"/>
        </w:rPr>
        <w:t xml:space="preserve">[ER14] </w:t>
      </w:r>
      <w:hyperlink r:id="rId150">
        <w:r>
          <w:rPr>
            <w:color w:val="204B70"/>
            <w:sz w:val="18"/>
          </w:rPr>
          <w:t>LLM-CEGIS-Repair Python判定</w:t>
        </w:r>
      </w:hyperlink>
      <w:r>
        <w:rPr>
          <w:sz w:val="18"/>
        </w:rPr>
        <w:t>。</w:t>
      </w:r>
    </w:p>
    <w:p>
      <w:pPr>
        <w:spacing w:after="100" w:line="260" w:lineRule="exact"/>
      </w:pPr>
      <w:r>
        <w:rPr>
          <w:sz w:val="18"/>
        </w:rPr>
        <w:t xml:space="preserve">[ER15] </w:t>
      </w:r>
      <w:hyperlink r:id="rId16">
        <w:r>
          <w:rPr>
            <w:color w:val="204B70"/>
            <w:sz w:val="18"/>
          </w:rPr>
          <w:t>HGS-CARP成本与转向固定源码</w:t>
        </w:r>
      </w:hyperlink>
      <w:r>
        <w:rPr>
          <w:sz w:val="18"/>
        </w:rPr>
        <w:t>。</w:t>
      </w:r>
    </w:p>
    <w:p>
      <w:pPr>
        <w:spacing w:after="100" w:line="260" w:lineRule="exact"/>
      </w:pPr>
      <w:r>
        <w:rPr>
          <w:sz w:val="18"/>
        </w:rPr>
        <w:t xml:space="preserve">[ER16] </w:t>
      </w:r>
      <w:hyperlink r:id="rId17">
        <w:r>
          <w:rPr>
            <w:color w:val="204B70"/>
            <w:sz w:val="18"/>
          </w:rPr>
          <w:t>HGS-CARP子序列mode表</w:t>
        </w:r>
      </w:hyperlink>
      <w:r>
        <w:rPr>
          <w:sz w:val="18"/>
        </w:rPr>
        <w:t>。</w:t>
      </w:r>
    </w:p>
    <w:p>
      <w:pPr>
        <w:spacing w:after="100" w:line="260" w:lineRule="exact"/>
      </w:pPr>
      <w:r>
        <w:rPr>
          <w:sz w:val="18"/>
        </w:rPr>
        <w:t xml:space="preserve">[ER17] </w:t>
      </w:r>
      <w:hyperlink r:id="rId151">
        <w:r>
          <w:rPr>
            <w:color w:val="204B70"/>
            <w:sz w:val="18"/>
          </w:rPr>
          <w:t>EvoTune v4</w:t>
        </w:r>
      </w:hyperlink>
      <w:r>
        <w:rPr>
          <w:sz w:val="18"/>
        </w:rPr>
        <w:t>。</w:t>
      </w:r>
    </w:p>
    <w:p>
      <w:pPr>
        <w:spacing w:after="100" w:line="260" w:lineRule="exact"/>
      </w:pPr>
      <w:r>
        <w:rPr>
          <w:sz w:val="18"/>
        </w:rPr>
        <w:t xml:space="preserve">[ER18] </w:t>
      </w:r>
      <w:hyperlink r:id="rId152">
        <w:r>
          <w:rPr>
            <w:color w:val="204B70"/>
            <w:sz w:val="18"/>
          </w:rPr>
          <w:t>EvoTune固定入口</w:t>
        </w:r>
      </w:hyperlink>
      <w:r>
        <w:rPr>
          <w:sz w:val="18"/>
        </w:rPr>
        <w:t>。</w:t>
      </w:r>
    </w:p>
    <w:p>
      <w:pPr>
        <w:spacing w:after="100" w:line="260" w:lineRule="exact"/>
      </w:pPr>
      <w:r>
        <w:rPr>
          <w:sz w:val="18"/>
        </w:rPr>
        <w:t xml:space="preserve">[ER19] </w:t>
      </w:r>
      <w:hyperlink r:id="rId153">
        <w:r>
          <w:rPr>
            <w:color w:val="204B70"/>
            <w:sz w:val="18"/>
          </w:rPr>
          <w:t>EvoTune固定训练器</w:t>
        </w:r>
      </w:hyperlink>
      <w:r>
        <w:rPr>
          <w:sz w:val="18"/>
        </w:rPr>
        <w:t>。</w:t>
      </w:r>
    </w:p>
    <w:p>
      <w:pPr>
        <w:spacing w:after="100" w:line="260" w:lineRule="exact"/>
      </w:pPr>
      <w:r>
        <w:rPr>
          <w:sz w:val="18"/>
        </w:rPr>
        <w:t xml:space="preserve">[ER20] </w:t>
      </w:r>
      <w:hyperlink r:id="rId154">
        <w:r>
          <w:rPr>
            <w:color w:val="204B70"/>
            <w:sz w:val="18"/>
          </w:rPr>
          <w:t>CALM ICLR 2026正式版</w:t>
        </w:r>
      </w:hyperlink>
      <w:r>
        <w:rPr>
          <w:sz w:val="18"/>
        </w:rPr>
        <w:t>。</w:t>
      </w:r>
    </w:p>
    <w:p>
      <w:pPr>
        <w:spacing w:after="100" w:line="260" w:lineRule="exact"/>
      </w:pPr>
      <w:r>
        <w:rPr>
          <w:sz w:val="18"/>
        </w:rPr>
        <w:t xml:space="preserve">[ER21] </w:t>
      </w:r>
      <w:hyperlink r:id="rId155">
        <w:r>
          <w:rPr>
            <w:color w:val="204B70"/>
            <w:sz w:val="18"/>
          </w:rPr>
          <w:t>CALM CVRP宿主固定源码</w:t>
        </w:r>
      </w:hyperlink>
      <w:r>
        <w:rPr>
          <w:sz w:val="18"/>
        </w:rPr>
        <w:t>。</w:t>
      </w:r>
    </w:p>
    <w:p>
      <w:pPr>
        <w:spacing w:after="100" w:line="260" w:lineRule="exact"/>
      </w:pPr>
      <w:r>
        <w:rPr>
          <w:sz w:val="18"/>
        </w:rPr>
        <w:t xml:space="preserve">[ER22] </w:t>
      </w:r>
      <w:hyperlink r:id="rId156">
        <w:r>
          <w:rPr>
            <w:color w:val="204B70"/>
            <w:sz w:val="18"/>
          </w:rPr>
          <w:t>Guidance-TTT</w:t>
        </w:r>
      </w:hyperlink>
      <w:r>
        <w:rPr>
          <w:sz w:val="18"/>
        </w:rPr>
        <w:t>。</w:t>
      </w:r>
    </w:p>
    <w:p>
      <w:pPr>
        <w:spacing w:after="100" w:line="260" w:lineRule="exact"/>
      </w:pPr>
      <w:r>
        <w:rPr>
          <w:sz w:val="18"/>
        </w:rPr>
        <w:t xml:space="preserve">[ER23] </w:t>
      </w:r>
      <w:hyperlink r:id="rId157">
        <w:r>
          <w:rPr>
            <w:color w:val="204B70"/>
            <w:sz w:val="18"/>
          </w:rPr>
          <w:t>Guidance-TTT固定工程说明</w:t>
        </w:r>
      </w:hyperlink>
      <w:r>
        <w:rPr>
          <w:sz w:val="18"/>
        </w:rPr>
        <w:t>。</w:t>
      </w:r>
    </w:p>
    <w:p>
      <w:pPr>
        <w:spacing w:after="100" w:line="260" w:lineRule="exact"/>
      </w:pPr>
      <w:r>
        <w:rPr>
          <w:sz w:val="18"/>
        </w:rPr>
        <w:t xml:space="preserve">[ER24] </w:t>
      </w:r>
      <w:hyperlink r:id="rId158">
        <w:r>
          <w:rPr>
            <w:color w:val="204B70"/>
            <w:sz w:val="18"/>
          </w:rPr>
          <w:t>PACEvolve++</w:t>
        </w:r>
      </w:hyperlink>
      <w:r>
        <w:rPr>
          <w:sz w:val="18"/>
        </w:rPr>
        <w:t>。</w:t>
      </w:r>
    </w:p>
    <w:p>
      <w:pPr>
        <w:spacing w:after="100" w:line="260" w:lineRule="exact"/>
      </w:pPr>
      <w:r>
        <w:rPr>
          <w:sz w:val="18"/>
        </w:rPr>
        <w:t xml:space="preserve">[ER25] </w:t>
      </w:r>
      <w:hyperlink r:id="rId159">
        <w:r>
          <w:rPr>
            <w:color w:val="204B70"/>
            <w:sz w:val="18"/>
          </w:rPr>
          <w:t>DAR-DPO v2</w:t>
        </w:r>
      </w:hyperlink>
      <w:r>
        <w:rPr>
          <w:sz w:val="18"/>
        </w:rPr>
        <w:t>。</w:t>
      </w:r>
    </w:p>
    <w:p>
      <w:pPr>
        <w:spacing w:after="100" w:line="260" w:lineRule="exact"/>
      </w:pPr>
      <w:r>
        <w:rPr>
          <w:sz w:val="18"/>
        </w:rPr>
        <w:t xml:space="preserve">[ER26] </w:t>
      </w:r>
      <w:hyperlink r:id="rId160">
        <w:r>
          <w:rPr>
            <w:color w:val="204B70"/>
            <w:sz w:val="18"/>
          </w:rPr>
          <w:t>From Search to Signal</w:t>
        </w:r>
      </w:hyperlink>
      <w:r>
        <w:rPr>
          <w:sz w:val="18"/>
        </w:rPr>
        <w:t>。</w:t>
      </w:r>
    </w:p>
    <w:p>
      <w:pPr>
        <w:spacing w:after="100" w:line="260" w:lineRule="exact"/>
      </w:pPr>
      <w:r>
        <w:rPr>
          <w:sz w:val="18"/>
        </w:rPr>
        <w:t xml:space="preserve">[ER27] </w:t>
      </w:r>
      <w:hyperlink r:id="rId161">
        <w:r>
          <w:rPr>
            <w:color w:val="204B70"/>
            <w:sz w:val="18"/>
          </w:rPr>
          <w:t>PCPO</w:t>
        </w:r>
      </w:hyperlink>
      <w:r>
        <w:rPr>
          <w:sz w:val="18"/>
        </w:rPr>
        <w:t>。</w:t>
      </w:r>
    </w:p>
    <w:p>
      <w:pPr>
        <w:spacing w:after="100" w:line="260" w:lineRule="exact"/>
      </w:pPr>
      <w:r>
        <w:rPr>
          <w:sz w:val="18"/>
        </w:rPr>
        <w:t xml:space="preserve">[ER28] </w:t>
      </w:r>
      <w:hyperlink r:id="rId162">
        <w:r>
          <w:rPr>
            <w:color w:val="204B70"/>
            <w:sz w:val="18"/>
          </w:rPr>
          <w:t>Qwen3.5-4B官方卡</w:t>
        </w:r>
      </w:hyperlink>
      <w:r>
        <w:rPr>
          <w:sz w:val="18"/>
        </w:rPr>
        <w:t>。</w:t>
      </w:r>
    </w:p>
    <w:p>
      <w:pPr>
        <w:spacing w:after="100" w:line="260" w:lineRule="exact"/>
      </w:pPr>
      <w:r>
        <w:rPr>
          <w:sz w:val="18"/>
        </w:rPr>
        <w:t xml:space="preserve">[ER29] </w:t>
      </w:r>
      <w:hyperlink r:id="rId163">
        <w:r>
          <w:rPr>
            <w:color w:val="204B70"/>
            <w:sz w:val="18"/>
          </w:rPr>
          <w:t>Gemma 4 12B官方卡</w:t>
        </w:r>
      </w:hyperlink>
      <w:r>
        <w:rPr>
          <w:sz w:val="18"/>
        </w:rPr>
        <w:t>。</w:t>
      </w:r>
    </w:p>
    <w:p>
      <w:pPr>
        <w:spacing w:after="100" w:line="260" w:lineRule="exact"/>
      </w:pPr>
      <w:r>
        <w:rPr>
          <w:sz w:val="18"/>
        </w:rPr>
        <w:t xml:space="preserve">[ER30] </w:t>
      </w:r>
      <w:hyperlink r:id="rId164">
        <w:r>
          <w:rPr>
            <w:color w:val="204B70"/>
            <w:sz w:val="18"/>
          </w:rPr>
          <w:t>GFACS</w:t>
        </w:r>
      </w:hyperlink>
      <w:r>
        <w:rPr>
          <w:sz w:val="18"/>
        </w:rPr>
        <w:t>。</w:t>
      </w:r>
    </w:p>
    <w:p>
      <w:pPr>
        <w:spacing w:after="100" w:line="260" w:lineRule="exact"/>
      </w:pPr>
      <w:r>
        <w:rPr>
          <w:sz w:val="18"/>
        </w:rPr>
        <w:t xml:space="preserve">[ER31] </w:t>
      </w:r>
      <w:hyperlink r:id="rId165">
        <w:r>
          <w:rPr>
            <w:color w:val="204B70"/>
            <w:sz w:val="18"/>
          </w:rPr>
          <w:t>GFACS固定训练代码</w:t>
        </w:r>
      </w:hyperlink>
      <w:r>
        <w:rPr>
          <w:sz w:val="18"/>
        </w:rPr>
        <w:t>。</w:t>
      </w:r>
    </w:p>
    <w:p>
      <w:pPr>
        <w:spacing w:after="100" w:line="260" w:lineRule="exact"/>
      </w:pPr>
      <w:r>
        <w:rPr>
          <w:sz w:val="18"/>
        </w:rPr>
        <w:t xml:space="preserve">[ER32] </w:t>
      </w:r>
      <w:hyperlink r:id="rId166">
        <w:r>
          <w:rPr>
            <w:color w:val="204B70"/>
            <w:sz w:val="18"/>
          </w:rPr>
          <w:t>GFACS矩阵输入</w:t>
        </w:r>
      </w:hyperlink>
      <w:r>
        <w:rPr>
          <w:sz w:val="18"/>
        </w:rPr>
        <w:t>。</w:t>
      </w:r>
    </w:p>
    <w:p>
      <w:pPr>
        <w:spacing w:after="100" w:line="260" w:lineRule="exact"/>
      </w:pPr>
      <w:r>
        <w:rPr>
          <w:sz w:val="18"/>
        </w:rPr>
        <w:t xml:space="preserve">[ER33] </w:t>
      </w:r>
      <w:hyperlink r:id="rId167">
        <w:r>
          <w:rPr>
            <w:color w:val="204B70"/>
            <w:sz w:val="18"/>
          </w:rPr>
          <w:t>GFACS测试入口</w:t>
        </w:r>
      </w:hyperlink>
      <w:r>
        <w:rPr>
          <w:sz w:val="18"/>
        </w:rPr>
        <w:t>。</w:t>
      </w:r>
    </w:p>
    <w:p>
      <w:pPr>
        <w:spacing w:after="100" w:line="260" w:lineRule="exact"/>
      </w:pPr>
      <w:r>
        <w:rPr>
          <w:sz w:val="18"/>
        </w:rPr>
        <w:t xml:space="preserve">[ER34] </w:t>
      </w:r>
      <w:hyperlink r:id="rId168">
        <w:r>
          <w:rPr>
            <w:color w:val="204B70"/>
            <w:sz w:val="18"/>
          </w:rPr>
          <w:t>f-Trajectory Balance</w:t>
        </w:r>
      </w:hyperlink>
      <w:r>
        <w:rPr>
          <w:sz w:val="18"/>
        </w:rPr>
        <w:t>。</w:t>
      </w:r>
    </w:p>
    <w:p>
      <w:pPr>
        <w:spacing w:after="100" w:line="260" w:lineRule="exact"/>
      </w:pPr>
      <w:r>
        <w:rPr>
          <w:sz w:val="18"/>
        </w:rPr>
        <w:t xml:space="preserve">[ER35] </w:t>
      </w:r>
      <w:hyperlink r:id="rId169">
        <w:r>
          <w:rPr>
            <w:color w:val="204B70"/>
            <w:sz w:val="18"/>
          </w:rPr>
          <w:t>CAM</w:t>
        </w:r>
      </w:hyperlink>
      <w:r>
        <w:rPr>
          <w:sz w:val="18"/>
        </w:rPr>
        <w:t>。</w:t>
      </w:r>
    </w:p>
    <w:p>
      <w:pPr>
        <w:spacing w:after="100" w:line="260" w:lineRule="exact"/>
      </w:pPr>
      <w:r>
        <w:rPr>
          <w:sz w:val="18"/>
        </w:rPr>
        <w:t xml:space="preserve">[ER36] </w:t>
      </w:r>
      <w:hyperlink r:id="rId170">
        <w:r>
          <w:rPr>
            <w:color w:val="204B70"/>
            <w:sz w:val="18"/>
          </w:rPr>
          <w:t>OpenLoopX LLM4AD Next工程</w:t>
        </w:r>
      </w:hyperlink>
      <w:r>
        <w:rPr>
          <w:sz w:val="18"/>
        </w:rPr>
        <w:t>。</w:t>
      </w:r>
    </w:p>
    <w:p>
      <w:pPr>
        <w:spacing w:after="100" w:line="260" w:lineRule="exact"/>
      </w:pPr>
      <w:r>
        <w:rPr>
          <w:sz w:val="18"/>
        </w:rPr>
        <w:t xml:space="preserve">[ER37] </w:t>
      </w:r>
      <w:hyperlink r:id="rId171">
        <w:r>
          <w:rPr>
            <w:color w:val="204B70"/>
            <w:sz w:val="18"/>
          </w:rPr>
          <w:t>AgriAgent</w:t>
        </w:r>
      </w:hyperlink>
      <w:r>
        <w:rPr>
          <w:sz w:val="18"/>
        </w:rPr>
        <w:t>。</w:t>
      </w:r>
    </w:p>
    <w:p>
      <w:pPr>
        <w:spacing w:after="100" w:line="260" w:lineRule="exact"/>
      </w:pPr>
      <w:r>
        <w:rPr>
          <w:sz w:val="18"/>
        </w:rPr>
        <w:t xml:space="preserve">[ER38] </w:t>
      </w:r>
      <w:hyperlink r:id="rId172">
        <w:r>
          <w:rPr>
            <w:color w:val="204B70"/>
            <w:sz w:val="18"/>
          </w:rPr>
          <w:t>As You Wish v2几何局限</w:t>
        </w:r>
      </w:hyperlink>
      <w:r>
        <w:rPr>
          <w:sz w:val="18"/>
        </w:rPr>
        <w:t>。</w:t>
      </w:r>
    </w:p>
    <w:p>
      <w:pPr>
        <w:spacing w:after="100" w:line="260" w:lineRule="exact"/>
      </w:pPr>
      <w:r>
        <w:rPr>
          <w:sz w:val="18"/>
        </w:rPr>
        <w:t xml:space="preserve">[ER39] </w:t>
      </w:r>
      <w:hyperlink r:id="rId173">
        <w:r>
          <w:rPr>
            <w:color w:val="204B70"/>
            <w:sz w:val="18"/>
          </w:rPr>
          <w:t>As You Wish项目及schema</w:t>
        </w:r>
      </w:hyperlink>
      <w:r>
        <w:rPr>
          <w:sz w:val="18"/>
        </w:rPr>
        <w:t>。</w:t>
      </w:r>
    </w:p>
    <w:p>
      <w:pPr>
        <w:spacing w:after="100" w:line="260" w:lineRule="exact"/>
      </w:pPr>
      <w:r>
        <w:rPr>
          <w:sz w:val="18"/>
        </w:rPr>
        <w:t xml:space="preserve">[ER40] </w:t>
      </w:r>
      <w:hyperlink r:id="rId174">
        <w:r>
          <w:rPr>
            <w:color w:val="204B70"/>
            <w:sz w:val="18"/>
          </w:rPr>
          <w:t>DINO-WM</w:t>
        </w:r>
      </w:hyperlink>
      <w:r>
        <w:rPr>
          <w:sz w:val="18"/>
        </w:rPr>
        <w:t>。</w:t>
      </w:r>
    </w:p>
    <w:p>
      <w:pPr>
        <w:spacing w:after="100" w:line="260" w:lineRule="exact"/>
      </w:pPr>
      <w:r>
        <w:rPr>
          <w:sz w:val="18"/>
        </w:rPr>
        <w:t xml:space="preserve">[ER41] </w:t>
      </w:r>
      <w:hyperlink r:id="rId175">
        <w:r>
          <w:rPr>
            <w:color w:val="204B70"/>
            <w:sz w:val="18"/>
          </w:rPr>
          <w:t>JEPA-WMs</w:t>
        </w:r>
      </w:hyperlink>
      <w:r>
        <w:rPr>
          <w:sz w:val="18"/>
        </w:rPr>
        <w:t>。</w:t>
      </w:r>
    </w:p>
    <w:p>
      <w:pPr>
        <w:spacing w:after="100" w:line="260" w:lineRule="exact"/>
      </w:pPr>
      <w:r>
        <w:rPr>
          <w:sz w:val="18"/>
        </w:rPr>
        <w:t xml:space="preserve">[ER42] </w:t>
      </w:r>
      <w:hyperlink r:id="rId176">
        <w:r>
          <w:rPr>
            <w:color w:val="204B70"/>
            <w:sz w:val="18"/>
          </w:rPr>
          <w:t>CoCo</w:t>
        </w:r>
      </w:hyperlink>
      <w:r>
        <w:rPr>
          <w:sz w:val="18"/>
        </w:rPr>
        <w:t>。</w:t>
      </w:r>
    </w:p>
    <w:p>
      <w:pPr>
        <w:spacing w:after="100" w:line="260" w:lineRule="exact"/>
      </w:pPr>
      <w:r>
        <w:rPr>
          <w:sz w:val="18"/>
        </w:rPr>
        <w:t xml:space="preserve">[ER43] </w:t>
      </w:r>
      <w:hyperlink r:id="rId48">
        <w:r>
          <w:rPr>
            <w:color w:val="204B70"/>
            <w:sz w:val="18"/>
          </w:rPr>
          <w:t>RELLIS-3D官方数据</w:t>
        </w:r>
      </w:hyperlink>
      <w:r>
        <w:rPr>
          <w:sz w:val="18"/>
        </w:rPr>
        <w:t>。</w:t>
      </w:r>
    </w:p>
    <w:p>
      <w:pPr>
        <w:spacing w:after="100" w:line="260" w:lineRule="exact"/>
      </w:pPr>
      <w:r>
        <w:rPr>
          <w:sz w:val="18"/>
        </w:rPr>
        <w:t xml:space="preserve">[ER44] </w:t>
      </w:r>
      <w:hyperlink r:id="rId49">
        <w:r>
          <w:rPr>
            <w:color w:val="204B70"/>
            <w:sz w:val="18"/>
          </w:rPr>
          <w:t>TartanDrive 2.0</w:t>
        </w:r>
      </w:hyperlink>
      <w:r>
        <w:rPr>
          <w:sz w:val="18"/>
        </w:rPr>
        <w:t>。</w:t>
      </w:r>
    </w:p>
    <w:p>
      <w:pPr>
        <w:spacing w:after="100" w:line="260" w:lineRule="exact"/>
      </w:pPr>
      <w:r>
        <w:rPr>
          <w:sz w:val="18"/>
        </w:rPr>
        <w:t xml:space="preserve">[ER45] </w:t>
      </w:r>
      <w:hyperlink r:id="rId177">
        <w:r>
          <w:rPr>
            <w:color w:val="204B70"/>
            <w:sz w:val="18"/>
          </w:rPr>
          <w:t>TartanDrive 2.0下载工具</w:t>
        </w:r>
      </w:hyperlink>
      <w:r>
        <w:rPr>
          <w:sz w:val="18"/>
        </w:rPr>
        <w:t>。</w:t>
      </w:r>
    </w:p>
    <w:p>
      <w:pPr>
        <w:spacing w:after="100" w:line="260" w:lineRule="exact"/>
      </w:pPr>
      <w:r>
        <w:rPr>
          <w:sz w:val="18"/>
        </w:rPr>
        <w:t xml:space="preserve">[ER46] </w:t>
      </w:r>
      <w:hyperlink r:id="rId178">
        <w:r>
          <w:rPr>
            <w:color w:val="204B70"/>
            <w:sz w:val="18"/>
          </w:rPr>
          <w:t>Chrono地形模型</w:t>
        </w:r>
      </w:hyperlink>
      <w:r>
        <w:rPr>
          <w:sz w:val="18"/>
        </w:rPr>
        <w:t>。</w:t>
      </w:r>
    </w:p>
    <w:p>
      <w:pPr>
        <w:spacing w:after="100" w:line="260" w:lineRule="exact"/>
      </w:pPr>
      <w:r>
        <w:rPr>
          <w:sz w:val="18"/>
        </w:rPr>
        <w:t xml:space="preserve">[ER47] </w:t>
      </w:r>
      <w:hyperlink r:id="rId42">
        <w:r>
          <w:rPr>
            <w:color w:val="204B70"/>
            <w:sz w:val="18"/>
          </w:rPr>
          <w:t>RL4CO环境接口</w:t>
        </w:r>
      </w:hyperlink>
      <w:r>
        <w:rPr>
          <w:sz w:val="18"/>
        </w:rPr>
        <w:t>。</w:t>
      </w:r>
    </w:p>
    <w:p>
      <w:pPr>
        <w:spacing w:after="100" w:line="260" w:lineRule="exact"/>
      </w:pPr>
      <w:r>
        <w:rPr>
          <w:sz w:val="18"/>
        </w:rPr>
        <w:t xml:space="preserve">[ER48] </w:t>
      </w:r>
      <w:hyperlink r:id="rId43">
        <w:r>
          <w:rPr>
            <w:color w:val="204B70"/>
            <w:sz w:val="18"/>
          </w:rPr>
          <w:t>DACBench</w:t>
        </w:r>
      </w:hyperlink>
      <w:r>
        <w:rPr>
          <w:sz w:val="18"/>
        </w:rPr>
        <w:t>。</w:t>
      </w:r>
    </w:p>
    <w:p>
      <w:pPr>
        <w:spacing w:after="100" w:line="260" w:lineRule="exact"/>
      </w:pPr>
      <w:r>
        <w:rPr>
          <w:sz w:val="18"/>
        </w:rPr>
        <w:t xml:space="preserve">[ER49] </w:t>
      </w:r>
      <w:hyperlink r:id="rId28">
        <w:r>
          <w:rPr>
            <w:color w:val="204B70"/>
            <w:sz w:val="18"/>
          </w:rPr>
          <w:t>AutoFolio</w:t>
        </w:r>
      </w:hyperlink>
      <w:r>
        <w:rPr>
          <w:sz w:val="18"/>
        </w:rPr>
        <w:t>。</w:t>
      </w:r>
    </w:p>
    <w:p>
      <w:pPr>
        <w:spacing w:after="100" w:line="260" w:lineRule="exact"/>
      </w:pPr>
      <w:r>
        <w:rPr>
          <w:sz w:val="18"/>
        </w:rPr>
        <w:t xml:space="preserve">[ER50] </w:t>
      </w:r>
      <w:hyperlink r:id="rId29">
        <w:r>
          <w:rPr>
            <w:color w:val="204B70"/>
            <w:sz w:val="18"/>
          </w:rPr>
          <w:t>irace</w:t>
        </w:r>
      </w:hyperlink>
      <w:r>
        <w:rPr>
          <w:sz w:val="18"/>
        </w:rPr>
        <w:t>。</w:t>
      </w:r>
    </w:p>
    <w:p>
      <w:pPr>
        <w:spacing w:after="100" w:line="260" w:lineRule="exact"/>
      </w:pPr>
      <w:r>
        <w:rPr>
          <w:sz w:val="18"/>
        </w:rPr>
        <w:t xml:space="preserve">[ER51] </w:t>
      </w:r>
      <w:hyperlink r:id="rId179">
        <w:r>
          <w:rPr>
            <w:color w:val="204B70"/>
            <w:sz w:val="18"/>
          </w:rPr>
          <w:t>NDS前次调研代码入口</w:t>
        </w:r>
      </w:hyperlink>
      <w:r>
        <w:rPr>
          <w:sz w:val="18"/>
        </w:rPr>
        <w:t>。</w:t>
      </w:r>
    </w:p>
    <w:p>
      <w:pPr>
        <w:spacing w:after="100" w:line="260" w:lineRule="exact"/>
      </w:pPr>
      <w:r>
        <w:rPr>
          <w:sz w:val="18"/>
        </w:rPr>
        <w:t xml:space="preserve">[ER52] </w:t>
      </w:r>
      <w:hyperlink r:id="rId180">
        <w:r>
          <w:rPr>
            <w:color w:val="204B70"/>
            <w:sz w:val="18"/>
          </w:rPr>
          <w:t>NDS前次调研论文入口</w:t>
        </w:r>
      </w:hyperlink>
      <w:r>
        <w:rPr>
          <w:sz w:val="18"/>
        </w:rPr>
        <w:t>。</w:t>
      </w:r>
    </w:p>
    <w:sectPr w:rsidR="00FC693F" w:rsidRPr="0006063C" w:rsidSect="00034616">
      <w:footerReference w:type="default" r:id="rId181"/>
      <w:pgSz w:w="12240" w:h="15840"/>
      <w:pgMar w:top="1008" w:right="1123" w:bottom="1008" w:left="1123" w:header="360" w:footer="38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URP研究与实施方案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exact" w:after="104"/>
      <w:snapToGrid w:val="0"/>
    </w:pPr>
    <w:rPr>
      <w:rFonts w:ascii="Noto Sans CJK SC" w:hAnsi="Noto Sans CJK SC" w:eastAsia="Noto Sans CJK SC" w:cs="Noto Sans CJK SC"/>
      <w:b w:val="0"/>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200" w:line="480" w:lineRule="exact"/>
      <w:outlineLvl w:val="0"/>
      <w:snapToGrid w:val="0"/>
    </w:pPr>
    <w:rPr>
      <w:rFonts w:asciiTheme="majorHAnsi" w:eastAsiaTheme="majorEastAsia" w:hAnsiTheme="majorHAnsi" w:cstheme="majorBidi" w:ascii="Noto Sans CJK SC" w:hAnsi="Noto Sans CJK SC" w:eastAsia="Noto Sans CJK SC" w:cs="Noto Sans CJK SC"/>
      <w:b/>
      <w:bCs/>
      <w:i w:val="0"/>
      <w:color w:val="000000"/>
      <w:sz w:val="36"/>
      <w:szCs w:val="28"/>
      <w:u w:val="none"/>
    </w:rPr>
  </w:style>
  <w:style w:type="paragraph" w:styleId="Heading2">
    <w:name w:val="heading 2"/>
    <w:basedOn w:val="Normal"/>
    <w:next w:val="Normal"/>
    <w:link w:val="Heading2Char"/>
    <w:uiPriority w:val="9"/>
    <w:unhideWhenUsed/>
    <w:qFormat/>
    <w:rsid w:val="00FC693F"/>
    <w:pPr>
      <w:keepNext/>
      <w:keepLines/>
      <w:spacing w:before="220" w:after="100" w:line="380" w:lineRule="exact"/>
      <w:outlineLvl w:val="1"/>
      <w:snapToGrid w:val="0"/>
    </w:pPr>
    <w:rPr>
      <w:rFonts w:asciiTheme="majorHAnsi" w:eastAsiaTheme="majorEastAsia" w:hAnsiTheme="majorHAnsi" w:cstheme="majorBidi" w:ascii="Noto Sans CJK SC" w:hAnsi="Noto Sans CJK SC" w:eastAsia="Noto Sans CJK SC" w:cs="Noto Sans CJK SC"/>
      <w:b/>
      <w:bCs/>
      <w:i w:val="0"/>
      <w:color w:val="000000"/>
      <w:sz w:val="27"/>
      <w:szCs w:val="26"/>
      <w:u w:val="none"/>
    </w:rPr>
  </w:style>
  <w:style w:type="paragraph" w:styleId="Heading3">
    <w:name w:val="heading 3"/>
    <w:basedOn w:val="Normal"/>
    <w:next w:val="Normal"/>
    <w:link w:val="Heading3Char"/>
    <w:uiPriority w:val="9"/>
    <w:unhideWhenUsed/>
    <w:qFormat/>
    <w:rsid w:val="00FC693F"/>
    <w:pPr>
      <w:keepNext/>
      <w:keepLines/>
      <w:spacing w:before="140" w:after="60" w:line="320" w:lineRule="exact"/>
      <w:outlineLvl w:val="2"/>
      <w:snapToGrid w:val="0"/>
    </w:pPr>
    <w:rPr>
      <w:rFonts w:asciiTheme="majorHAnsi" w:eastAsiaTheme="majorEastAsia" w:hAnsiTheme="majorHAnsi" w:cstheme="majorBidi" w:ascii="Noto Sans CJK SC" w:hAnsi="Noto Sans CJK SC" w:eastAsia="Noto Sans CJK SC" w:cs="Noto Sans CJK SC"/>
      <w:b/>
      <w:bCs/>
      <w:i w:val="0"/>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600" w:lineRule="exact"/>
      <w:contextualSpacing/>
      <w:snapToGrid w:val="0"/>
    </w:pPr>
    <w:rPr>
      <w:rFonts w:asciiTheme="majorHAnsi" w:eastAsiaTheme="majorEastAsia" w:hAnsiTheme="majorHAnsi" w:cstheme="majorBidi" w:ascii="Noto Sans CJK SC" w:hAnsi="Noto Sans CJK SC" w:eastAsia="Noto Sans CJK SC" w:cs="Noto Sans CJK SC"/>
      <w:b/>
      <w:i w:val="0"/>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460" w:lineRule="exact"/>
      <w:snapToGrid w:val="0"/>
    </w:pPr>
    <w:rPr>
      <w:rFonts w:asciiTheme="majorHAnsi" w:eastAsiaTheme="majorEastAsia" w:hAnsiTheme="majorHAnsi" w:cstheme="majorBidi" w:ascii="Noto Sans CJK SC" w:hAnsi="Noto Sans CJK SC" w:eastAsia="Noto Sans CJK SC" w:cs="Noto Sans CJK SC"/>
      <w:b w:val="0"/>
      <w:i w:val="0"/>
      <w:iCs/>
      <w:color w:val="000000"/>
      <w:spacing w:val="15"/>
      <w:sz w:val="3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Noto Sans CJK SC" w:hAnsi="Noto Sans CJK SC" w:eastAsia="Noto Sans CJK SC" w:cs="Noto Sans CJK SC"/>
      <w:b w:val="0"/>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snapToGri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snapToGrid w:val="0"/>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snapToGrid w:val="0"/>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snapToGrid w:val="0"/>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snapToGrid w:val="0"/>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snapToGrid w:val="0"/>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snapToGrid w:val="0"/>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snapToGrid w:val="0"/>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snapToGrid w:val="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snapToGrid w:val="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snapToGrid w:val="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snapToGrid w:val="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snapToGrid w:val="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snapToGrid w:val="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snapToGrid w:val="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snapToGrid w:val="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snapToGrid w:val="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snapToGrid w:val="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snapToGrid w:val="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snapToGrid w:val="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snapToGrid w:val="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snapToGrid w:val="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snapToGrid w:val="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snapToGrid w:val="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snapToGrid w:val="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snapToGrid w:val="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snapToGrid w:val="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snapToGrid w:val="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snapToGrid w:val="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snapToGrid w:val="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snapToGrid w:val="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snapToGrid w:val="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snapToGrid w:val="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snapToGrid w:val="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snapToGrid w:val="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snapToGrid w:val="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html/2503.02369v1" TargetMode="External"/><Relationship Id="rId10" Type="http://schemas.openxmlformats.org/officeDocument/2006/relationships/hyperlink" Target="https://onlinelibrary.wiley.com/doi/10.1002/rob.22489" TargetMode="External"/><Relationship Id="rId11" Type="http://schemas.openxmlformats.org/officeDocument/2006/relationships/hyperlink" Target="https://github.com/Fields2Cover/Fields2Cover/blob/93c0989ab2fc4a3f3d0a18bbd224d0e267a03fcc/src/fields2cover/route_planning/route_planner_base.cpp#L159-L190" TargetMode="External"/><Relationship Id="rId12" Type="http://schemas.openxmlformats.org/officeDocument/2006/relationships/hyperlink" Target="https://github.com/Fields2Cover/Fields2Cover/blob/884d895b59192882476e986ba44ea9143a06a6a9/include/fields2cover/types/GenericImplement.h#L20-L56" TargetMode="External"/><Relationship Id="rId13" Type="http://schemas.openxmlformats.org/officeDocument/2006/relationships/hyperlink" Target="https://github.com/Fields2Cover/Fields2Cover/blob/93c0989ab2fc4a3f3d0a18bbd224d0e267a03fcc/tests/python/path_planning/PP_checker.py#L19-L26" TargetMode="External"/><Relationship Id="rId14" Type="http://schemas.openxmlformats.org/officeDocument/2006/relationships/hyperlink" Target="https://github.com/Fields2Cover/Fields2Cover/blob/93c0989ab2fc4a3f3d0a18bbd224d0e267a03fcc/tests/cpp/test_helpers/path_planning_checker.hpp#L71-L93" TargetMode="External"/><Relationship Id="rId15" Type="http://schemas.openxmlformats.org/officeDocument/2006/relationships/hyperlink" Target="https://zenodo.org/records/14524735" TargetMode="External"/><Relationship Id="rId16" Type="http://schemas.openxmlformats.org/officeDocument/2006/relationships/hyperlink" Target="https://github.com/vidalt/HGS-CARP/blob/08fde6a5672c3814dca1b4450aa9e5968b1d273a/Program/Params.cpp#L1041-L1097" TargetMode="External"/><Relationship Id="rId17" Type="http://schemas.openxmlformats.org/officeDocument/2006/relationships/hyperlink" Target="https://github.com/vidalt/HGS-CARP/blob/08fde6a5672c3814dca1b4450aa9e5968b1d273a/Program/SeqData.cpp#L514-L538" TargetMode="External"/><Relationship Id="rId18" Type="http://schemas.openxmlformats.org/officeDocument/2006/relationships/hyperlink" Target="https://aclanthology.org/2022.findings-acl.28/" TargetMode="External"/><Relationship Id="rId19" Type="http://schemas.openxmlformats.org/officeDocument/2006/relationships/hyperlink" Target="https://arxiv.org/abs/2204.05186" TargetMode="External"/><Relationship Id="rId20" Type="http://schemas.openxmlformats.org/officeDocument/2006/relationships/hyperlink" Target="https://arxiv.org/abs/2401.03701" TargetMode="External"/><Relationship Id="rId21" Type="http://schemas.openxmlformats.org/officeDocument/2006/relationships/hyperlink" Target="https://drive.google.com/file/d/1dsLI6ydfXI_AL8505bH9x8bBM_JP9zaM/view" TargetMode="External"/><Relationship Id="rId22" Type="http://schemas.openxmlformats.org/officeDocument/2006/relationships/hyperlink" Target="https://doi.org/10.1038/s41586-023-06924-6" TargetMode="External"/><Relationship Id="rId23" Type="http://schemas.openxmlformats.org/officeDocument/2006/relationships/hyperlink" Target="https://arxiv.org/abs/2401.02051" TargetMode="External"/><Relationship Id="rId24" Type="http://schemas.openxmlformats.org/officeDocument/2006/relationships/hyperlink" Target="https://github.com/FeiLiu36/EoH" TargetMode="External"/><Relationship Id="rId25" Type="http://schemas.openxmlformats.org/officeDocument/2006/relationships/hyperlink" Target="https://proceedings.neurips.cc/paper_files/paper/2024/hash/4ced59d480e07d290b6f29fc8798f195-Abstract-Conference.html" TargetMode="External"/><Relationship Id="rId26" Type="http://schemas.openxmlformats.org/officeDocument/2006/relationships/hyperlink" Target="https://doi.org/10.1016/j.artint.2016.04.003" TargetMode="External"/><Relationship Id="rId27" Type="http://schemas.openxmlformats.org/officeDocument/2006/relationships/hyperlink" Target="https://arxiv.org/html/1506.02465v3" TargetMode="External"/><Relationship Id="rId28" Type="http://schemas.openxmlformats.org/officeDocument/2006/relationships/hyperlink" Target="https://github.com/automl/AutoFolio" TargetMode="External"/><Relationship Id="rId29" Type="http://schemas.openxmlformats.org/officeDocument/2006/relationships/hyperlink" Target="https://mlopez-ibanez.github.io/irace/" TargetMode="External"/><Relationship Id="rId30" Type="http://schemas.openxmlformats.org/officeDocument/2006/relationships/hyperlink" Target="https://github.com/Optima-CityU/LLM4AD" TargetMode="External"/><Relationship Id="rId31" Type="http://schemas.openxmlformats.org/officeDocument/2006/relationships/hyperlink" Target="https://www.cs.ubc.ca/~hoos/Publ/XuEtAl10.pdf" TargetMode="External"/><Relationship Id="rId32" Type="http://schemas.openxmlformats.org/officeDocument/2006/relationships/hyperlink" Target="https://www.cs.ubc.ca/~kevinlb/papers/2012-SAT-EvaluatingSolverContributions.pdf" TargetMode="External"/><Relationship Id="rId33" Type="http://schemas.openxmlformats.org/officeDocument/2006/relationships/hyperlink" Target="https://www.cs.ubc.ca/labs/algorithms/Projects/Hydra/" TargetMode="External"/><Relationship Id="rId34" Type="http://schemas.openxmlformats.org/officeDocument/2006/relationships/hyperlink" Target="https://www.cs.ubc.ca/labs/algorithms/Projects/SATzilla/" TargetMode="External"/><Relationship Id="rId35" Type="http://schemas.openxmlformats.org/officeDocument/2006/relationships/hyperlink" Target="https://ojs.aaai.org/index.php/AAAI/article/download/41038/44999" TargetMode="External"/><Relationship Id="rId36" Type="http://schemas.openxmlformats.org/officeDocument/2006/relationships/hyperlink" Target="https://www.nature.com/articles/s42256-026-01307-8" TargetMode="External"/><Relationship Id="rId37" Type="http://schemas.openxmlformats.org/officeDocument/2006/relationships/hyperlink" Target="https://github.com/PJ-NTU/LACE" TargetMode="External"/><Relationship Id="rId38" Type="http://schemas.openxmlformats.org/officeDocument/2006/relationships/hyperlink" Target="https://github.com/PJ-NTU/LACE/blob/d772b74690075f641be8077e69748ec482e9febf/lace/evolution/milp_selection.py" TargetMode="External"/><Relationship Id="rId39" Type="http://schemas.openxmlformats.org/officeDocument/2006/relationships/hyperlink" Target="https://github.com/Fields2Cover/Fields2Cover" TargetMode="External"/><Relationship Id="rId40" Type="http://schemas.openxmlformats.org/officeDocument/2006/relationships/hyperlink" Target="https://github.com/PyVRP/PyVRP" TargetMode="External"/><Relationship Id="rId41" Type="http://schemas.openxmlformats.org/officeDocument/2006/relationships/hyperlink" Target="https://w1.cirrelt.ca/~vidalt/papers/NEARP-Vidal-Revision-WP.pdf" TargetMode="External"/><Relationship Id="rId42" Type="http://schemas.openxmlformats.org/officeDocument/2006/relationships/hyperlink" Target="https://rl4co.ai4co.org/docs/content/api/envs/base/" TargetMode="External"/><Relationship Id="rId43" Type="http://schemas.openxmlformats.org/officeDocument/2006/relationships/hyperlink" Target="https://github.com/automl/DACBench" TargetMode="External"/><Relationship Id="rId44" Type="http://schemas.openxmlformats.org/officeDocument/2006/relationships/hyperlink" Target="https://arxiv.org/abs/2110.06169" TargetMode="External"/><Relationship Id="rId45" Type="http://schemas.openxmlformats.org/officeDocument/2006/relationships/hyperlink" Target="https://github.com/microsoft/OptiGuide/tree/main/what-if" TargetMode="External"/><Relationship Id="rId46" Type="http://schemas.openxmlformats.org/officeDocument/2006/relationships/hyperlink" Target="https://arxiv.org/html/2402.01817v3" TargetMode="External"/><Relationship Id="rId47" Type="http://schemas.openxmlformats.org/officeDocument/2006/relationships/hyperlink" Target="https://aclanthology.org/2021.emnlp-main.779/" TargetMode="External"/><Relationship Id="rId48" Type="http://schemas.openxmlformats.org/officeDocument/2006/relationships/hyperlink" Target="https://github.com/unmannedlab/RELLIS-3D" TargetMode="External"/><Relationship Id="rId49" Type="http://schemas.openxmlformats.org/officeDocument/2006/relationships/hyperlink" Target="https://theairlab.org/TartanDrive2/" TargetMode="External"/><Relationship Id="rId50" Type="http://schemas.openxmlformats.org/officeDocument/2006/relationships/hyperlink" Target="https://www.sciencedirect.com/science/article/abs/pii/S0168169918303867" TargetMode="External"/><Relationship Id="rId51" Type="http://schemas.openxmlformats.org/officeDocument/2006/relationships/hyperlink" Target="https://www.jstage.jst.go.jp/article/jrobomech/38/2/38_413/_pdf" TargetMode="External"/><Relationship Id="rId52" Type="http://schemas.openxmlformats.org/officeDocument/2006/relationships/hyperlink" Target="https://link.springer.com/article/10.1007/s11119-025-10250-4" TargetMode="External"/><Relationship Id="rId53" Type="http://schemas.openxmlformats.org/officeDocument/2006/relationships/hyperlink" Target="https://shop.elsevier.com/journals/computers-and-electronics-in-agriculture/0168-1699" TargetMode="External"/><Relationship Id="rId54" Type="http://schemas.openxmlformats.org/officeDocument/2006/relationships/hyperlink" Target="https://www.sciencedirect.com/science/article/pii/S0168169925000523" TargetMode="External"/><Relationship Id="rId55" Type="http://schemas.openxmlformats.org/officeDocument/2006/relationships/hyperlink" Target="https://link.springer.com/journal/11119/aims-and-scope" TargetMode="External"/><Relationship Id="rId56" Type="http://schemas.openxmlformats.org/officeDocument/2006/relationships/hyperlink" Target="https://shop.elsevier.com/journals/transportation-research-part-c-emerging-technologies/0968-090X" TargetMode="External"/><Relationship Id="rId57" Type="http://schemas.openxmlformats.org/officeDocument/2006/relationships/hyperlink" Target="https://publications.polymtl.ca/50935/" TargetMode="External"/><Relationship Id="rId58" Type="http://schemas.openxmlformats.org/officeDocument/2006/relationships/hyperlink" Target="https://arxiv.org/abs/2109.13983" TargetMode="External"/><Relationship Id="rId59" Type="http://schemas.openxmlformats.org/officeDocument/2006/relationships/hyperlink" Target="https://www.mdpi.com/2073-4395/12/5/1151" TargetMode="External"/><Relationship Id="rId60" Type="http://schemas.openxmlformats.org/officeDocument/2006/relationships/hyperlink" Target="https://onlinelibrary.wiley.com/doi/full/10.1002/rob.22106" TargetMode="External"/><Relationship Id="rId61" Type="http://schemas.openxmlformats.org/officeDocument/2006/relationships/hyperlink" Target="https://s.gifford.ucdavis.edu/uploads/pub/2023/03/10/vougioukasrobots.pdf" TargetMode="External"/><Relationship Id="rId62" Type="http://schemas.openxmlformats.org/officeDocument/2006/relationships/hyperlink" Target="https://www.sciencedirect.com/science/article/pii/S0305054823003180" TargetMode="External"/><Relationship Id="rId63" Type="http://schemas.openxmlformats.org/officeDocument/2006/relationships/hyperlink" Target="https://www.sciencedirect.com/science/article/pii/S0305054825002813" TargetMode="External"/><Relationship Id="rId64" Type="http://schemas.openxmlformats.org/officeDocument/2006/relationships/hyperlink" Target="https://burjcdigital.urjc.es/bitstreams/eab902dd-2b44-4f09-acc9-6507f194b8ec/download" TargetMode="External"/><Relationship Id="rId65" Type="http://schemas.openxmlformats.org/officeDocument/2006/relationships/hyperlink" Target="https://pure.au.dk/portal/en/publications/method-and-bench-marking-framework-for-coverage-path-planning-in-/" TargetMode="External"/><Relationship Id="rId66" Type="http://schemas.openxmlformats.org/officeDocument/2006/relationships/hyperlink" Target="https://arxiv.org/abs/2507.10614v2" TargetMode="External"/><Relationship Id="rId67" Type="http://schemas.openxmlformats.org/officeDocument/2006/relationships/hyperlink" Target="https://scholars.uky.edu/en/publications/routing-algorithm-selection-for-field-coverage-planning-based-on-/" TargetMode="External"/><Relationship Id="rId68" Type="http://schemas.openxmlformats.org/officeDocument/2006/relationships/hyperlink" Target="https://edepot.wur.nl/698168" TargetMode="External"/><Relationship Id="rId69" Type="http://schemas.openxmlformats.org/officeDocument/2006/relationships/hyperlink" Target="https://arxiv.org/abs/2210.07838" TargetMode="External"/><Relationship Id="rId70" Type="http://schemas.openxmlformats.org/officeDocument/2006/relationships/hyperlink" Target="https://burjcdigital.urjc.es/items/4bfae71f-638f-4c78-80e5-79b8274f5a39" TargetMode="External"/><Relationship Id="rId71" Type="http://schemas.openxmlformats.org/officeDocument/2006/relationships/hyperlink" Target="https://doi.org/10.1016/j.biosystemseng.2009.10.006" TargetMode="External"/><Relationship Id="rId72" Type="http://schemas.openxmlformats.org/officeDocument/2006/relationships/hyperlink" Target="https://doi.org/10.1007/s11119-025-10250-4" TargetMode="External"/><Relationship Id="rId73" Type="http://schemas.openxmlformats.org/officeDocument/2006/relationships/hyperlink" Target="https://openlayers.org/en/latest/apidoc/module-ol_interaction_Draw-Draw.html" TargetMode="External"/><Relationship Id="rId74" Type="http://schemas.openxmlformats.org/officeDocument/2006/relationships/hyperlink" Target="https://openlayers.org/en/latest/apidoc/module-ol_interaction_Modify-Modify.html" TargetMode="External"/><Relationship Id="rId75" Type="http://schemas.openxmlformats.org/officeDocument/2006/relationships/hyperlink" Target="https://openlayers.org/en/latest/apidoc/module-ol_interaction_Snap-Snap.html" TargetMode="External"/><Relationship Id="rId76" Type="http://schemas.openxmlformats.org/officeDocument/2006/relationships/hyperlink" Target="https://openlayers.org/en/latest/examples/webgl-vector-layer.html" TargetMode="External"/><Relationship Id="rId77" Type="http://schemas.openxmlformats.org/officeDocument/2006/relationships/hyperlink" Target="https://openlayers.org/en/latest/apidoc/module-ol_proj_Projection-Projection.html" TargetMode="External"/><Relationship Id="rId78" Type="http://schemas.openxmlformats.org/officeDocument/2006/relationships/hyperlink" Target="https://openlayers.org/en/latest/apidoc/module-ol_proj_proj4.html" TargetMode="External"/><Relationship Id="rId79" Type="http://schemas.openxmlformats.org/officeDocument/2006/relationships/hyperlink" Target="https://openlayers.org/en/latest/examples/static-image.html" TargetMode="External"/><Relationship Id="rId80" Type="http://schemas.openxmlformats.org/officeDocument/2006/relationships/hyperlink" Target="https://openlayers.org/en/latest/apidoc/module-ol_source_GeoTIFF-GeoTIFFSource.html" TargetMode="External"/><Relationship Id="rId81" Type="http://schemas.openxmlformats.org/officeDocument/2006/relationships/hyperlink" Target="https://maplibre.org/maplibre-style-spec/types/#projectiondefinition" TargetMode="External"/><Relationship Id="rId82" Type="http://schemas.openxmlformats.org/officeDocument/2006/relationships/hyperlink" Target="https://maplibre.org/maplibre-gl-js/docs/guides/large-data/" TargetMode="External"/><Relationship Id="rId83" Type="http://schemas.openxmlformats.org/officeDocument/2006/relationships/hyperlink" Target="https://maplibre.org/maplibre-gl-js/docs/guides/v5-to-v6-migration-guide/" TargetMode="External"/><Relationship Id="rId84" Type="http://schemas.openxmlformats.org/officeDocument/2006/relationships/hyperlink" Target="https://github.com/geomatico/maplibre-cog-protocol" TargetMode="External"/><Relationship Id="rId85" Type="http://schemas.openxmlformats.org/officeDocument/2006/relationships/hyperlink" Target="https://github.com/JamesLMilner/terra-draw/blob/main/guides/4.MODES.md" TargetMode="External"/><Relationship Id="rId86" Type="http://schemas.openxmlformats.org/officeDocument/2006/relationships/hyperlink" Target="https://github.com/JamesLMilner/terra-draw/blob/main/guides/6.EVENTS.md" TargetMode="External"/><Relationship Id="rId87" Type="http://schemas.openxmlformats.org/officeDocument/2006/relationships/hyperlink" Target="https://raw.githubusercontent.com/JamesLMilner/terra-draw/main/packages/terra-draw-maplibre-gl-adapter/package.json" TargetMode="External"/><Relationship Id="rId88" Type="http://schemas.openxmlformats.org/officeDocument/2006/relationships/hyperlink" Target="https://raw.githubusercontent.com/watergis/maplibre-gl-terradraw/main/package.json" TargetMode="External"/><Relationship Id="rId89" Type="http://schemas.openxmlformats.org/officeDocument/2006/relationships/hyperlink" Target="https://geoman.io/docs/maplibre" TargetMode="External"/><Relationship Id="rId90" Type="http://schemas.openxmlformats.org/officeDocument/2006/relationships/hyperlink" Target="https://geoman.io/docs/leaflet/modes/edit-mode" TargetMode="External"/><Relationship Id="rId91" Type="http://schemas.openxmlformats.org/officeDocument/2006/relationships/hyperlink" Target="https://leafletjs.com/examples/crs-simple/" TargetMode="External"/><Relationship Id="rId92" Type="http://schemas.openxmlformats.org/officeDocument/2006/relationships/hyperlink" Target="https://deck.gl/docs/developer-guide/coordinate-systems" TargetMode="External"/><Relationship Id="rId93" Type="http://schemas.openxmlformats.org/officeDocument/2006/relationships/hyperlink" Target="https://deck.gl/docs/developer-guide/performance" TargetMode="External"/><Relationship Id="rId94" Type="http://schemas.openxmlformats.org/officeDocument/2006/relationships/hyperlink" Target="https://visgl.github.io/deck.gl-community/docs/modules/editable-layers" TargetMode="External"/><Relationship Id="rId95" Type="http://schemas.openxmlformats.org/officeDocument/2006/relationships/hyperlink" Target="https://cesium.com/platform/cesiumjs/" TargetMode="External"/><Relationship Id="rId96" Type="http://schemas.openxmlformats.org/officeDocument/2006/relationships/hyperlink" Target="https://docs.mapstore.geosolutionsgroup.com/en/latest/developer-guide/infrastructure-and-general-architecture/" TargetMode="External"/><Relationship Id="rId97" Type="http://schemas.openxmlformats.org/officeDocument/2006/relationships/hyperlink" Target="https://pyproj4.github.io/pyproj/stable/api/transformer.html" TargetMode="External"/><Relationship Id="rId98" Type="http://schemas.openxmlformats.org/officeDocument/2006/relationships/hyperlink" Target="https://proj.org/en/stable/operations/projections/utm.html" TargetMode="External"/><Relationship Id="rId99" Type="http://schemas.openxmlformats.org/officeDocument/2006/relationships/hyperlink" Target="https://proj.org/en/stable/usage/network.html" TargetMode="External"/><Relationship Id="rId100" Type="http://schemas.openxmlformats.org/officeDocument/2006/relationships/hyperlink" Target="https://shapely.readthedocs.io/en/stable/manual.html" TargetMode="External"/><Relationship Id="rId101" Type="http://schemas.openxmlformats.org/officeDocument/2006/relationships/hyperlink" Target="https://datatracker.ietf.org/doc/html/rfc7946" TargetMode="External"/><Relationship Id="rId102" Type="http://schemas.openxmlformats.org/officeDocument/2006/relationships/hyperlink" Target="https://www.geopackage.org/spec140/" TargetMode="External"/><Relationship Id="rId103" Type="http://schemas.openxmlformats.org/officeDocument/2006/relationships/hyperlink" Target="https://gdal.org/en/stable/drivers/raster/cog.html" TargetMode="External"/><Relationship Id="rId104" Type="http://schemas.openxmlformats.org/officeDocument/2006/relationships/hyperlink" Target="https://rasterio.readthedocs.io/en/latest/topics/windowed-rw.html" TargetMode="External"/><Relationship Id="rId105" Type="http://schemas.openxmlformats.org/officeDocument/2006/relationships/hyperlink" Target="https://docs.protomaps.com/pmtiles/" TargetMode="External"/><Relationship Id="rId106" Type="http://schemas.openxmlformats.org/officeDocument/2006/relationships/hyperlink" Target="https://operations.osmfoundation.org/policies/tiles/" TargetMode="External"/><Relationship Id="rId107" Type="http://schemas.openxmlformats.org/officeDocument/2006/relationships/hyperlink" Target="https://operations.osmfoundation.org/policies/vector/" TargetMode="External"/><Relationship Id="rId108" Type="http://schemas.openxmlformats.org/officeDocument/2006/relationships/hyperlink" Target="https://docs.qgis.org/3.44/en/docs/user_manual/managing_data_source/georeferencer.html" TargetMode="External"/><Relationship Id="rId109" Type="http://schemas.openxmlformats.org/officeDocument/2006/relationships/hyperlink" Target="https://github.com/opengisch/QField" TargetMode="External"/><Relationship Id="rId110" Type="http://schemas.openxmlformats.org/officeDocument/2006/relationships/hyperlink" Target="https://developer.mozilla.org/en-US/docs/Web/API/Storage_API/Storage_quotas_and_eviction_criteria" TargetMode="External"/><Relationship Id="rId111" Type="http://schemas.openxmlformats.org/officeDocument/2006/relationships/hyperlink" Target="https://fields2cover.github.io/source/tutorials/basic_types.html" TargetMode="External"/><Relationship Id="rId112" Type="http://schemas.openxmlformats.org/officeDocument/2006/relationships/hyperlink" Target="https://github.com/PyVRP/PyVRP/releases" TargetMode="External"/><Relationship Id="rId113" Type="http://schemas.openxmlformats.org/officeDocument/2006/relationships/hyperlink" Target="https://sqlite.org/whentouse.html" TargetMode="External"/><Relationship Id="rId114" Type="http://schemas.openxmlformats.org/officeDocument/2006/relationships/hyperlink" Target="https://sqlite.org/wal.html" TargetMode="External"/><Relationship Id="rId115" Type="http://schemas.openxmlformats.org/officeDocument/2006/relationships/hyperlink" Target="https://v2.tauri.app/reference/webview-versions/" TargetMode="External"/><Relationship Id="rId116" Type="http://schemas.openxmlformats.org/officeDocument/2006/relationships/hyperlink" Target="https://v2.tauri.app/develop/sidecar/" TargetMode="External"/><Relationship Id="rId117" Type="http://schemas.openxmlformats.org/officeDocument/2006/relationships/hyperlink" Target="https://www.electronjs.org/docs/latest/tutorial/security" TargetMode="External"/><Relationship Id="rId118" Type="http://schemas.openxmlformats.org/officeDocument/2006/relationships/hyperlink" Target="https://rerun.io/docs/howto/visualization/geospatial-data" TargetMode="External"/><Relationship Id="rId119" Type="http://schemas.openxmlformats.org/officeDocument/2006/relationships/hyperlink" Target="https://foxglove.dev/blog/foxglove-2-0-unifying-robotics-observability" TargetMode="External"/><Relationship Id="rId120" Type="http://schemas.openxmlformats.org/officeDocument/2006/relationships/hyperlink" Target="https://github.com/open-navigation/opennav_coverage" TargetMode="External"/><Relationship Id="rId121" Type="http://schemas.openxmlformats.org/officeDocument/2006/relationships/hyperlink" Target="https://developers.google.com/optimization/routing/dimensions?hl=en" TargetMode="External"/><Relationship Id="rId122" Type="http://schemas.openxmlformats.org/officeDocument/2006/relationships/hyperlink" Target="https://ompl.kavrakilab.org/stateValidation.html" TargetMode="External"/><Relationship Id="rId123" Type="http://schemas.openxmlformats.org/officeDocument/2006/relationships/hyperlink" Target="https://fastapi.tiangolo.com/tutorial/background-tasks/" TargetMode="External"/><Relationship Id="rId124" Type="http://schemas.openxmlformats.org/officeDocument/2006/relationships/hyperlink" Target="https://docs.pydantic.dev/latest/concepts/models/" TargetMode="External"/><Relationship Id="rId125" Type="http://schemas.openxmlformats.org/officeDocument/2006/relationships/hyperlink" Target="https://docs.python.org/3/library/subprocess.html" TargetMode="External"/><Relationship Id="rId126" Type="http://schemas.openxmlformats.org/officeDocument/2006/relationships/hyperlink" Target="https://docs.docker.com/engine/security/" TargetMode="External"/><Relationship Id="rId127" Type="http://schemas.openxmlformats.org/officeDocument/2006/relationships/hyperlink" Target="https://docs.ray.io/en/latest/ray-core/scheduling/resources.html" TargetMode="External"/><Relationship Id="rId128" Type="http://schemas.openxmlformats.org/officeDocument/2006/relationships/hyperlink" Target="https://docs.celeryq.dev/en/stable/userguide/tasks.html" TargetMode="External"/><Relationship Id="rId129" Type="http://schemas.openxmlformats.org/officeDocument/2006/relationships/hyperlink" Target="https://docs.celeryq.dev/en/stable/userguide/workers.html" TargetMode="External"/><Relationship Id="rId130" Type="http://schemas.openxmlformats.org/officeDocument/2006/relationships/hyperlink" Target="https://docs.dask.org/en/stable/best-practices.html" TargetMode="External"/><Relationship Id="rId131" Type="http://schemas.openxmlformats.org/officeDocument/2006/relationships/hyperlink" Target="https://sqlite.org/releaselog/3_51_3.html" TargetMode="External"/><Relationship Id="rId132" Type="http://schemas.openxmlformats.org/officeDocument/2006/relationships/hyperlink" Target="https://reactflow.dev/index" TargetMode="External"/><Relationship Id="rId133" Type="http://schemas.openxmlformats.org/officeDocument/2006/relationships/hyperlink" Target="https://echarts.apache.org/handbook/en/concepts/data-transform/" TargetMode="External"/><Relationship Id="rId134" Type="http://schemas.openxmlformats.org/officeDocument/2006/relationships/hyperlink" Target="https://github.com/vega/vega-lite/blob/main/site/docs/parameter/select.md" TargetMode="External"/><Relationship Id="rId135" Type="http://schemas.openxmlformats.org/officeDocument/2006/relationships/hyperlink" Target="https://github.com/ucmercedrobotics/gpt-mission-planner/blob/6c0aa5706f58fb22bd98b6ddd1968be1681c1d16/app/resources/context/wheeled_bots/reza_medium.geojson" TargetMode="External"/><Relationship Id="rId136" Type="http://schemas.openxmlformats.org/officeDocument/2006/relationships/hyperlink" Target="https://github.com/ucmercedrobotics/gpt-mission-planner/blob/6c0aa5706f58fb22bd98b6ddd1968be1681c1d16/app/gpt_outputs/gpt_example.xml#L11-L44" TargetMode="External"/><Relationship Id="rId137" Type="http://schemas.openxmlformats.org/officeDocument/2006/relationships/hyperlink" Target="https://arxiv.org/html/2503.16159v1" TargetMode="External"/><Relationship Id="rId138" Type="http://schemas.openxmlformats.org/officeDocument/2006/relationships/hyperlink" Target="https://arxiv.org/html/2509.10303v3" TargetMode="External"/><Relationship Id="rId139" Type="http://schemas.openxmlformats.org/officeDocument/2006/relationships/hyperlink" Target="https://github.com/jesserem/CDQAC_scheduling/blob/aca0896aae7b715606b8f47e870e4489e50ebf5c/cdqac/methods/iql.py" TargetMode="External"/><Relationship Id="rId140" Type="http://schemas.openxmlformats.org/officeDocument/2006/relationships/hyperlink" Target="https://github.com/jesserem/CDQAC_scheduling/blob/aca0896aae7b715606b8f47e870e4489e50ebf5c/cdqac/buffer/buffer.py#L138-L173" TargetMode="External"/><Relationship Id="rId141" Type="http://schemas.openxmlformats.org/officeDocument/2006/relationships/hyperlink" Target="https://arxiv.org/abs/2211.00759" TargetMode="External"/><Relationship Id="rId142" Type="http://schemas.openxmlformats.org/officeDocument/2006/relationships/hyperlink" Target="https://papers.neurips.cc/paper_files/paper/2021/hash/dc9fa5f217a1e57b8a6adeb065560b38-Abstract.html" TargetMode="External"/><Relationship Id="rId143" Type="http://schemas.openxmlformats.org/officeDocument/2006/relationships/hyperlink" Target="https://arxiv.org/html/2608.03636v1" TargetMode="External"/><Relationship Id="rId144" Type="http://schemas.openxmlformats.org/officeDocument/2006/relationships/hyperlink" Target="https://arxiv.org/html/2603.08493v1" TargetMode="External"/><Relationship Id="rId145" Type="http://schemas.openxmlformats.org/officeDocument/2006/relationships/hyperlink" Target="https://proceedings.mlr.press/v235/liu24bs.html" TargetMode="External"/><Relationship Id="rId146" Type="http://schemas.openxmlformats.org/officeDocument/2006/relationships/hyperlink" Target="https://arxiv.org/html/2609.15820v2" TargetMode="External"/><Relationship Id="rId147" Type="http://schemas.openxmlformats.org/officeDocument/2006/relationships/hyperlink" Target="https://arxiv.org/html/2605.08756v2" TargetMode="External"/><Relationship Id="rId148" Type="http://schemas.openxmlformats.org/officeDocument/2006/relationships/hyperlink" Target="https://github.com/large-loris-models/chopchop/blob/681083a6fd921ac9cbaf984db628cf92eb019a3f/llm/run_llm.py" TargetMode="External"/><Relationship Id="rId149" Type="http://schemas.openxmlformats.org/officeDocument/2006/relationships/hyperlink" Target="https://github.com/pmorvalho/LLM-CEGIS-Repair/blob/7fe749b16a7a1367f2a519492a5d8689af06a896/repair.py" TargetMode="External"/><Relationship Id="rId150" Type="http://schemas.openxmlformats.org/officeDocument/2006/relationships/hyperlink" Target="https://github.com/pmorvalho/LLM-CEGIS-Repair/blob/7fe749b16a7a1367f2a519492a5d8689af06a896/mentor/interpreter.py" TargetMode="External"/><Relationship Id="rId151" Type="http://schemas.openxmlformats.org/officeDocument/2006/relationships/hyperlink" Target="https://arxiv.org/html/2504.05108v4" TargetMode="External"/><Relationship Id="rId152" Type="http://schemas.openxmlformats.org/officeDocument/2006/relationships/hyperlink" Target="https://github.com/CLAIRE-Labo/EvoTune/blob/683b245251e96332892a52d2ad57e262f9d6e4c2/src/experiments/main.py" TargetMode="External"/><Relationship Id="rId153" Type="http://schemas.openxmlformats.org/officeDocument/2006/relationships/hyperlink" Target="https://github.com/CLAIRE-Labo/EvoTune/blob/683b245251e96332892a52d2ad57e262f9d6e4c2/src/packing/train/train.py" TargetMode="External"/><Relationship Id="rId154" Type="http://schemas.openxmlformats.org/officeDocument/2006/relationships/hyperlink" Target="https://proceedings.iclr.cc/paper_files/paper/2026/hash/75ed738c083f8941cfc990245e4f6265-Abstract-Conference.html" TargetMode="External"/><Relationship Id="rId155" Type="http://schemas.openxmlformats.org/officeDocument/2006/relationships/hyperlink" Target="https://github.com/whxru/CALM/blob/3c40dbd78f2f6439bcc7cc2cbac334ab28a6f8f3/problems/cvrp_aco.py" TargetMode="External"/><Relationship Id="rId156" Type="http://schemas.openxmlformats.org/officeDocument/2006/relationships/hyperlink" Target="https://arxiv.org/html/2610.06269v1" TargetMode="External"/><Relationship Id="rId157" Type="http://schemas.openxmlformats.org/officeDocument/2006/relationships/hyperlink" Target="https://github.com/Human-Agent-Society/reef/blob/ed8b415cf6eb1051902044428d6ac49c9ad0e3d9/recipes/tttd/examples/guidance_ttt/README.md" TargetMode="External"/><Relationship Id="rId158" Type="http://schemas.openxmlformats.org/officeDocument/2006/relationships/hyperlink" Target="https://arxiv.org/html/2605.07039v1" TargetMode="External"/><Relationship Id="rId159" Type="http://schemas.openxmlformats.org/officeDocument/2006/relationships/hyperlink" Target="https://arxiv.org/html/2507.10614v2" TargetMode="External"/><Relationship Id="rId160" Type="http://schemas.openxmlformats.org/officeDocument/2006/relationships/hyperlink" Target="https://arxiv.org/html/2609.39383v1" TargetMode="External"/><Relationship Id="rId161" Type="http://schemas.openxmlformats.org/officeDocument/2006/relationships/hyperlink" Target="https://arxiv.org/html/2609.38757v1" TargetMode="External"/><Relationship Id="rId162" Type="http://schemas.openxmlformats.org/officeDocument/2006/relationships/hyperlink" Target="https://huggingface.co/Qwen/Qwen3.5-4B" TargetMode="External"/><Relationship Id="rId163" Type="http://schemas.openxmlformats.org/officeDocument/2006/relationships/hyperlink" Target="https://huggingface.co/google/gemma-4-12B-it" TargetMode="External"/><Relationship Id="rId164" Type="http://schemas.openxmlformats.org/officeDocument/2006/relationships/hyperlink" Target="https://proceedings.mlr.press/v258/kim25a.html" TargetMode="External"/><Relationship Id="rId165" Type="http://schemas.openxmlformats.org/officeDocument/2006/relationships/hyperlink" Target="https://github.com/ai4co/gfacs/blob/39d88cf2a5f9eb81eeea5a43ee57ff74ac8af01e/cvrp_nls/train.py" TargetMode="External"/><Relationship Id="rId166" Type="http://schemas.openxmlformats.org/officeDocument/2006/relationships/hyperlink" Target="https://github.com/ai4co/gfacs/blob/39d88cf2a5f9eb81eeea5a43ee57ff74ac8af01e/cvrp_nls/utils.py#L57-L86" TargetMode="External"/><Relationship Id="rId167" Type="http://schemas.openxmlformats.org/officeDocument/2006/relationships/hyperlink" Target="https://github.com/ai4co/gfacs/blob/39d88cf2a5f9eb81eeea5a43ee57ff74ac8af01e/cvrp_nls/test.py" TargetMode="External"/><Relationship Id="rId168" Type="http://schemas.openxmlformats.org/officeDocument/2006/relationships/hyperlink" Target="https://proceedings.mlr.press/v306/fawkes26a.html" TargetMode="External"/><Relationship Id="rId169" Type="http://schemas.openxmlformats.org/officeDocument/2006/relationships/hyperlink" Target="https://proceedings.mlr.press/v306/feng26o.html" TargetMode="External"/><Relationship Id="rId170" Type="http://schemas.openxmlformats.org/officeDocument/2006/relationships/hyperlink" Target="https://github.com/Optima-CityU/LLM4AD_Next" TargetMode="External"/><Relationship Id="rId171" Type="http://schemas.openxmlformats.org/officeDocument/2006/relationships/hyperlink" Target="https://arxiv.org/html/2601.08308v1" TargetMode="External"/><Relationship Id="rId172" Type="http://schemas.openxmlformats.org/officeDocument/2006/relationships/hyperlink" Target="https://arxiv.org/html/2606.18519v2#S4.SS3" TargetMode="External"/><Relationship Id="rId173" Type="http://schemas.openxmlformats.org/officeDocument/2006/relationships/hyperlink" Target="https://ucmercedrobotics.github.io/asUwish.html" TargetMode="External"/><Relationship Id="rId174" Type="http://schemas.openxmlformats.org/officeDocument/2006/relationships/hyperlink" Target="https://arxiv.org/pdf/2411.04983" TargetMode="External"/><Relationship Id="rId175" Type="http://schemas.openxmlformats.org/officeDocument/2006/relationships/hyperlink" Target="https://arxiv.org/html/2512.24497v1" TargetMode="External"/><Relationship Id="rId176" Type="http://schemas.openxmlformats.org/officeDocument/2006/relationships/hyperlink" Target="https://arxiv.org/html/2608.04653v1" TargetMode="External"/><Relationship Id="rId177" Type="http://schemas.openxmlformats.org/officeDocument/2006/relationships/hyperlink" Target="https://github.com/castacks/tartan_drive_2.0" TargetMode="External"/><Relationship Id="rId178" Type="http://schemas.openxmlformats.org/officeDocument/2006/relationships/hyperlink" Target="https://api.projectchrono.org/vehicle_terrain.html" TargetMode="External"/><Relationship Id="rId179" Type="http://schemas.openxmlformats.org/officeDocument/2006/relationships/hyperlink" Target="https://github.com/ahottung/NDS" TargetMode="External"/><Relationship Id="rId180" Type="http://schemas.openxmlformats.org/officeDocument/2006/relationships/hyperlink" Target="https://arxiv.org/abs/2501.03715" TargetMode="External"/><Relationship Id="rId18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URP研究与实施方案</dc:title>
  <dc:subject>农业路径规划算法库 智能推荐与自动算法设计的统一研究实施方案</dc:subject>
  <dc:creator/>
  <cp:keywords>农业路径规划, 自动算法设计, 智能推荐, 研究计划</cp:keywords>
  <dc:description/>
  <cp:lastModifiedBy/>
  <cp:revision>1</cp:revision>
  <dcterms:created xsi:type="dcterms:W3CDTF">2013-12-23T23:15:00Z</dcterms:created>
  <dcterms:modified xsi:type="dcterms:W3CDTF">2013-12-23T23:15:00Z</dcterms:modified>
  <cp:category/>
</cp:coreProperties>
</file>