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科研主线决策备忘</w:t>
      </w:r>
    </w:p>
    <w:p>
      <w:pPr>
        <w:pStyle w:val="Subtitle"/>
        <w:widowControl/>
      </w:pPr>
      <w:r>
        <w:t>2026年10月7日 UTC  六项研究结果与两份独立复算的综合</w:t>
      </w:r>
    </w:p>
    <w:p>
      <w:pPr>
        <w:widowControl/>
      </w:pPr>
      <w:r>
        <w:t>建议先闭合原BPP代码生成与配置筛选，再判断生成代码是否改善求解质量。暂停新增选择器补丁和重复合成小实验。未知家族暂用训练选出的单一最佳策略SBS作保守基准；VRP保留random_regret2作四算法池内固定参照。本备忘是决策综合，不是第七个实验，未启动新模型或数值研究。</w:t>
      </w:r>
    </w:p>
    <w:p>
      <w:pPr>
        <w:pStyle w:val="Heading1"/>
        <w:widowControl/>
      </w:pPr>
      <w:r>
        <w:t>哪些结论可以保留</w:t>
      </w:r>
    </w:p>
    <w:p>
      <w:pPr>
        <w:widowControl/>
      </w:pPr>
      <w:r>
        <w:t>选择器的负结果明确，但不支持普遍否定学习。满量5NN在留一家族测试中比SBS平均多30.52箱，距离门控扩大到40.33箱；20个有害选择全部漏过，另误拒11个有益选择，最坏损失仍为622箱。同家族测试却比SBS少21.45箱。因此应暂停把这条距离规则当成安全保护，并停止在已看过的面板上反复挑阈值。SBS在该面板也有24.33箱的两分支事后oracle缺口；它只是当前较保守的比较基准，没有分布外安全保证。[3,5,7,8]</w:t>
      </w:r>
    </w:p>
    <w:p>
      <w:pPr>
        <w:widowControl/>
      </w:pPr>
      <w:r>
        <w:t>VRP的0.688%值得保留为基线选择证据。32个新几何上，40k delta预算下random_regret2相对random_cheapest平均改善0.6883%，几何分层bootstrap 95%区间为[0.5230%, 0.8606%]，27胜、4平、1负。它支持同生成器内小幅正收益，尚不能回答更大规模、新分布或真实田间是否有用。区间只覆盖当前生成器及固定搜索种子下的几何抽样不确定性；没有时间、燃油或经济成本标定，不能换算业务收益。[6,8]</w:t>
      </w:r>
    </w:p>
    <w:p>
      <w:pPr>
        <w:widowControl/>
      </w:pPr>
      <w:r>
        <w:t>40k可用作当前开发参照，不能称为收敛。旧8个开发几何上，random_regret2从40k到160k仍平均改善0.388%；19/24几何需求块改善不超过0.5%，但空间相关需求组平均仍改善0.543%。等delta不等于等CPU、等FLOP或等端到端时间。这些手写操作器实验也没有证明LLM自动算法设计有效。[4,7]</w:t>
      </w:r>
    </w:p>
    <w:p>
      <w:pPr>
        <w:widowControl/>
      </w:pPr>
      <w:r>
        <w:t>农业方向的有用信号是目标和约束必须一致。车具实验109/144问题精确可行，最佳并列两阶段只完成94个，联合插入greedy完成95个，双方各有反例。转向实验消除距离最优顺序的任意并列后，λ=0.5差距为零，λ=8、32仍留下5.36%、19.44%的平均差距。这支持共同考虑分配、任务顺序和到达航向；并不证明车辆能沿当前直角折线行驶。[1,2,7]</w:t>
      </w:r>
    </w:p>
    <w:p>
      <w:pPr>
        <w:pStyle w:val="Heading1"/>
        <w:widowControl/>
      </w:pPr>
      <w:r>
        <w:t>必须停止的夸大</w:t>
      </w:r>
    </w:p>
    <w:p>
      <w:pPr>
        <w:widowControl/>
      </w:pPr>
      <w:r>
        <w:t>独审确认的是有限数学合同内的记录、求解和统计一致性，不是论文创新、SOTA、真实农业验证或可部署安全。检查点、训练种子和预测行不能充当独立样本；旧选择器确认集不能重新命名为盲测；不同成功子集的成本均值不能掩盖失败。没有文献与强基线证据，不给上述结果贴“新算法”或“领先方法”标签。</w:t>
      </w:r>
    </w:p>
    <w:p>
      <w:pPr>
        <w:widowControl/>
        <w:spacing w:before="80" w:after="0"/>
      </w:pPr>
      <w:r>
        <w:rPr>
          <w:sz w:val="16"/>
        </w:rPr>
        <w:t>依据编号：1 车具容量与空间；2 转向联合路线；3 选择器样本量；4 CVRP预算；5 距离门控；6 新几何；7 四项独审；8 两项后续独审。项目交接入口：</w:t>
      </w:r>
      <w:hyperlink r:id="rId10">
        <w:r>
          <w:rPr>
            <w:rFonts w:ascii="Noto Sans CJK SC" w:eastAsia="Noto Sans CJK SC"/>
            <w:sz w:val="16"/>
            <w:color w:val="0563C1"/>
            <w:u w:val="single"/>
          </w:rPr>
          <w:t>实验项目云盘中央索引</w:t>
        </w:r>
      </w:hyperlink>
      <w:r>
        <w:rPr>
          <w:sz w:val="16"/>
        </w:rPr>
        <w:t>。</w:t>
      </w:r>
    </w:p>
    <w:p>
      <w:r>
        <w:br w:type="page"/>
      </w:r>
    </w:p>
    <w:p>
      <w:pPr>
        <w:pStyle w:val="Heading1"/>
        <w:widowControl/>
      </w:pPr>
      <w:r>
        <w:t>只推进以下三个动作</w:t>
      </w:r>
    </w:p>
    <w:p>
      <w:pPr>
        <w:widowControl/>
      </w:pPr>
      <w:r>
        <w:t>进度快照来自本项目协调记录，未由本备忘重新核验：原132项EOH/IID是BPP代码生成机制验证，已有72项逻辑生成；剩60项为high／64k／900配置，受claim字段接口阻塞，尚无这批新模型调用。独立36条件筛选目前8项终态，其中7成功、1超时，a09断连状态unknown。现在不能宣布模型赢家。</w:t>
      </w:r>
    </w:p>
    <w:p>
      <w:pPr>
        <w:pStyle w:val="Heading2"/>
        <w:widowControl/>
      </w:pPr>
      <w:r>
        <w:t>1 闭合原60项和36条件筛选</w:t>
      </w:r>
    </w:p>
    <w:p>
      <w:pPr>
        <w:widowControl/>
      </w:pPr>
      <w:r>
        <w:t>输入：原132项注册表、72项产物、剩60项清单及36项调用回执和结果日志。先核对a09是否实际提交及是否能取回结果，避免盲目重发；修复claim接口，用无模型调用的离线测试确认，再仅按原授权完成既定批次，不扩充模型、题目或付费方式。</w:t>
      </w:r>
    </w:p>
    <w:p>
      <w:pPr>
        <w:widowControl/>
      </w:pPr>
      <w:r>
        <w:t>对照与指标：36条件保留GLM-5.3／Flash × low／high／max × 同6题的完整配对；原132的EOH/IID另表核算。主要看每个逻辑请求的终态覆盖率、可验收代码率，分别列API成功、语法通过、checker通过，以及含失败和重试的总成本与延迟。停止条件：既定清单逐项有可追溯终态后结束；无法确认的调用保留unknown并阻塞其重复提交，不能计为完成或成功。</w:t>
      </w:r>
    </w:p>
    <w:p>
      <w:pPr>
        <w:pStyle w:val="Heading2"/>
        <w:widowControl/>
      </w:pPr>
      <w:r>
        <w:t>2 用既定BPP评价判断生成代码是否有收益</w:t>
      </w:r>
    </w:p>
    <w:p>
      <w:pPr>
        <w:widowControl/>
      </w:pPr>
      <w:r>
        <w:t>输入：动作1收齐的可运行代码、对应父代，以及原计划冻结的数据和checker；只在原主线内完成评价。训练与确认按源多重集整组隔离。已暴露的选择器确认流只能作诊断；若原计划没有未见确认集，本轮只能作探索性比较，不能事后切分已见数据充当盲测。</w:t>
      </w:r>
    </w:p>
    <w:p>
      <w:pPr>
        <w:widowControl/>
      </w:pPr>
      <w:r>
        <w:t>对照与指标：EOH/IID在既定逻辑请求预算下比较，并同时报告实际消耗；统一在线接口与前缀约束后，每份代码与其父代、BF和训练选出的固定SBS比较。主指标先报全清单可行率，再报共同合法实例的配对箱数及尾部退化，明确条件分母；模型调用成功不等于算法改进。停止条件：全部预定样本评分后完成一次比较，不追加选择器或补样追阳性。若高配置未改善可验收率或配对解质，优先较低成本配置；差异不确定就保留不确定，不选通用赢家。</w:t>
      </w:r>
    </w:p>
    <w:p>
      <w:pPr>
        <w:pStyle w:val="Heading2"/>
        <w:widowControl/>
      </w:pPr>
      <w:r>
        <w:t>3 主线闭合后再做农业目标的最小桥接</w:t>
      </w:r>
    </w:p>
    <w:p>
      <w:pPr>
        <w:widowControl/>
      </w:pPr>
      <w:r>
        <w:t>输入：先限定小规模合成条带任务，明确进出口航向、地头边界和最小转弯半径，并明确哪些车具容量与兼容约束仍适用。每个连接必须几何可行；保留到达航向状态。先以行驶加转弯时间为目标，速度与转弯参数未实测时标为假设并做预定敏感性分析，车辆启用费用另列，不能把任意设定的λ当作农机标定。</w:t>
      </w:r>
    </w:p>
    <w:p>
      <w:pPr>
        <w:widowControl/>
      </w:pPr>
      <w:r>
        <w:t>对照与指标：距离优先且保留最优并列的顺序，比较同一求解框架的联合时间目标；小规模用有限候选路径的精确解参照。主要看完整可行率、配对总时间，并列长度、转弯时间和最坏退化。停止条件：若加入运动约束后优势消失、只在极端参数出现，或可行率下降，就不扩大。缺真实场地和车辆参数时仅报告合成机制证据；不因0.688%另启昂贵VRP模型批次。</w:t>
      </w:r>
    </w:p>
    <w:p>
      <w:pPr>
        <w:widowControl/>
        <w:spacing w:before="80" w:after="0"/>
      </w:pPr>
      <w:r>
        <w:rPr>
          <w:sz w:val="16"/>
        </w:rPr>
        <w:t>以上是后续选择与停止标准，不是已执行结果。当前交付的五类型通用后端用于承载原始结果和复现；无需另建审计框架。</w:t>
      </w:r>
    </w:p>
    <w:sectPr w:rsidR="00FC693F" w:rsidRPr="0006063C" w:rsidSect="00034616">
      <w:footerReference w:type="default" r:id="rId9"/>
      <w:pgSz w:w="12240" w:h="15840"/>
      <w:pgMar w:top="893" w:right="965" w:bottom="893" w:left="965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sz w:val="16"/>
      </w:rPr>
      <w:t xml:space="preserve">科研决策备忘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rive.google.com/file/d/1FJD2CYynDAdCWE2wLvtkE_-i1g2MxsJt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