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提示词到可编辑多车任务地图</w:t>
      </w:r>
    </w:p>
    <w:p>
      <w:pPr>
        <w:pStyle w:val="Subtitle"/>
      </w:pPr>
      <w:r>
        <w:t>VRP可视化路线的批判性调研与公平实验方案</w:t>
      </w:r>
    </w:p>
    <w:p>
      <w:pPr>
        <w:pStyle w:val="Subtitle"/>
      </w:pPr>
      <w:r>
        <w:t>研究快照  2026年10月7日    适用对象  本科科研项目与工程原型</w:t>
      </w:r>
    </w:p>
    <w:p>
      <w:pPr>
        <w:spacing w:after="160"/>
      </w:pPr>
      <w:r>
        <w:t>阅读重点：先看第1至5节的系统边界，再看第9至10节的算法取舍，实施时按第15至20节的实验和校验协议推进。</w:t>
      </w:r>
    </w:p>
    <w:p>
      <w:pPr>
        <w:pStyle w:val="Heading1"/>
      </w:pPr>
      <w:r>
        <w:t>1  结论与实施决策</w:t>
      </w:r>
    </w:p>
    <w:p>
      <w:r>
        <w:t>这条路线值得做。最稳妥的首版，是把自然语言变成带来源和单位的任务合同，在可编辑地图上确认车辆、任务与约束，再交给成熟固定求解器，最后由独立程序验算并显示分工、访问顺序、载重和时间。核心成果应是一个能解释、能编辑、能重算、能复查的多车任务系统。</w:t>
      </w:r>
    </w:p>
    <w:p>
      <w:r>
        <w:t>研究价值优先放在两个位置：一是有歧义的需求怎样可靠落到结构化任务；二是生成的局部启发式能否在相同强求解框架、预算与隐藏测试集上产生可重复增益。算法推荐接口可以预留，默认仍使用保守的固定基线。当前项目中5NN和距离门控跨家族失败，不应再以“有推荐器”作为先进性的证明。</w:t>
      </w:r>
    </w:p>
    <w:p>
      <w:r>
        <w:t>文献同时支持希望和克制。LLM直接给路线在小任务或专门训练后可以有效，但规模、约束和输入表达变化仍会带来失败。2025至2026年的VRPAgent、AILS-AHD及CVRPLib竞赛说明，LLM设计局部算子已不只是玩具演示；它们依赖强元启发式、外部评价和搜索预算，不能归纳成“提示词一键取代求解器”。</w:t>
      </w:r>
      <w:hyperlink r:id="rId11">
        <w:r>
          <w:rPr>
            <w:color w:val="264F73"/>
          </w:rPr>
          <w:t>[N11]</w:t>
        </w:r>
      </w:hyperlink>
      <w:r/>
      <w:hyperlink r:id="rId12">
        <w:r>
          <w:rPr>
            <w:color w:val="264F73"/>
          </w:rPr>
          <w:t>[N12]</w:t>
        </w:r>
      </w:hyperlink>
      <w:r/>
      <w:hyperlink r:id="rId13">
        <w:r>
          <w:rPr>
            <w:color w:val="264F73"/>
          </w:rPr>
          <w:t>[N13]</w:t>
        </w:r>
      </w:hyperlink>
      <w:r/>
      <w:hyperlink r:id="rId14">
        <w:r>
          <w:rPr>
            <w:color w:val="264F73"/>
          </w:rPr>
          <w:t>[N17]</w:t>
        </w:r>
      </w:hyperlink>
      <w:r/>
      <w:hyperlink r:id="rId15">
        <w:r>
          <w:rPr>
            <w:color w:val="264F73"/>
          </w:rPr>
          <w:t>[N18]</w:t>
        </w:r>
      </w:hyperlink>
      <w:r/>
      <w:hyperlink r:id="rId16">
        <w:r>
          <w:rPr>
            <w:color w:val="264F73"/>
          </w:rPr>
          <w:t>[N26]</w:t>
        </w:r>
      </w:hyperlink>
      <w:r/>
    </w:p>
    <w:p>
      <w:r>
        <w:t>立即采用：版本化TaskSpec、人工可编辑任务地图、固定求解器、独立checker、来源清单与失败日志。并行研究：同任务的固定算法、算法选择、直接路线、生成代码四路对照。暂缓：把自由生成整套算法放到默认执行链、未经证据的LLM推荐器、以3D动画替代约束正确性，以及宣称机器人可直接安全行驶。</w:t>
      </w:r>
    </w:p>
    <w:p>
      <w:r>
        <w:t>本报告是截至2026年10月7日的有界批判性调研。它核对论文正文重点章节、作者仓库、官方数据及工具文档，不声称穷尽所有文献，也未在本次调研中复现这些外部论文。当前实验状态仅按项目交接材料引用，不把未终态试验预先排出赢家。后续章节中的方案、预算和闸门均是建议，不能读成已经跑通的结果。</w:t>
      </w:r>
    </w:p>
    <w:p>
      <w:pPr>
        <w:pStyle w:val="Heading1"/>
      </w:pPr>
      <w:r>
        <w:t>2  先分清任务再设计系统</w:t>
      </w:r>
    </w:p>
    <w:p>
      <w:r>
        <w:t>“可视化路径”涉及至少四个不同对象：地图上的几何与拓扑、任务由谁完成、每车以何顺序访问、车辆怎样连续运动。首版应解决点任务的分配与访问顺序。路径折线、时间轴与动画只是这些结果的不同表达。</w:t>
      </w:r>
    </w:p>
    <w:p>
      <w:r>
        <w:t>格子可以用于编辑、区域选择和聚合，但把所有任务强行量化成同样大小的格子会改变距离、可达性和需求密度。应保留原任务点和真实路网，格子作为视图；只有在研究本身就是离散栅格规划时，格子才是求解状态。真实农田边界可用于覆盖轨道，却不能自动提供服务时长、地头转向、出入口和车辆协同条件。</w:t>
      </w:r>
    </w:p>
    <w:p>
      <w:r>
        <w:t>建议的主链是：输入与数据导入 → 语义和单位检查 → 版本化任务合同 → 可编辑任务地图 → 矩阵与可达性 → 固定或实验求解器 → 独立校验 → 路线、任务、时间轴和证据。每一箭头都有明确输入输出；显示层不得回写并暗改求解事实。</w:t>
      </w:r>
    </w:p>
    <w:p>
      <w:r>
        <w:t>若后续确需区域覆盖，应先由覆盖规划器把地块转成服务路径与成本，再在更高层安排多车任务。若确需狭窄通道内多机器人同步运动，还需增加时间扩展图、冲突消解、速度/转弯模型及安全验证。多车VRP给出访问顺序，并不自动保证连续轨迹无碰撞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4032"/>
        <w:gridCol w:w="4104"/>
      </w:tblGrid>
      <w:tr>
        <w:trPr>
          <w:cantSplit/>
          <w:tblHeader/>
        </w:trPr>
        <w:tc>
          <w:tcPr>
            <w:tcW w:type="dxa" w:w="1944"/>
            <w:vAlign w:val="center"/>
            <w:shd w:fill="28485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color w:val="FFFFFF"/>
                <w:sz w:val="18"/>
              </w:rPr>
              <w:t>问题层</w:t>
            </w:r>
          </w:p>
        </w:tc>
        <w:tc>
          <w:tcPr>
            <w:tcW w:type="dxa" w:w="4032"/>
            <w:vAlign w:val="center"/>
            <w:shd w:fill="28485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color w:val="FFFFFF"/>
                <w:sz w:val="18"/>
              </w:rPr>
              <w:t>决定什么</w:t>
            </w:r>
          </w:p>
        </w:tc>
        <w:tc>
          <w:tcPr>
            <w:tcW w:type="dxa" w:w="4104"/>
            <w:vAlign w:val="center"/>
            <w:shd w:fill="28485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color w:val="FFFFFF"/>
                <w:sz w:val="18"/>
              </w:rPr>
              <w:t>不能替代什么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000000"/>
                <w:sz w:val="18"/>
              </w:rPr>
              <w:t>地图与最短路</w:t>
            </w:r>
          </w:p>
        </w:tc>
        <w:tc>
          <w:tcPr>
            <w:tcW w:type="dxa" w:w="403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000000"/>
                <w:sz w:val="18"/>
              </w:rPr>
              <w:t>道路连接、方向、合法转场及成本</w:t>
            </w:r>
          </w:p>
        </w:tc>
        <w:tc>
          <w:tcPr>
            <w:tcW w:type="dxa" w:w="410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000000"/>
                <w:sz w:val="18"/>
              </w:rPr>
              <w:t>车辆任务分配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000000"/>
                <w:sz w:val="18"/>
              </w:rPr>
              <w:t>VRP</w:t>
            </w:r>
          </w:p>
        </w:tc>
        <w:tc>
          <w:tcPr>
            <w:tcW w:type="dxa" w:w="4032"/>
            <w:vAlign w:val="center"/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000000"/>
                <w:sz w:val="18"/>
              </w:rPr>
              <w:t>任务分配、每车访问次序、容量与时窗</w:t>
            </w:r>
          </w:p>
        </w:tc>
        <w:tc>
          <w:tcPr>
            <w:tcW w:type="dxa" w:w="4104"/>
            <w:vAlign w:val="center"/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000000"/>
                <w:sz w:val="18"/>
              </w:rPr>
              <w:t>连续控制与避碰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000000"/>
                <w:sz w:val="18"/>
              </w:rPr>
              <w:t>CPP覆盖</w:t>
            </w:r>
          </w:p>
        </w:tc>
        <w:tc>
          <w:tcPr>
            <w:tcW w:type="dxa" w:w="403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000000"/>
                <w:sz w:val="18"/>
              </w:rPr>
              <w:t>区域内部服务路径、覆盖率、转向</w:t>
            </w:r>
          </w:p>
        </w:tc>
        <w:tc>
          <w:tcPr>
            <w:tcW w:type="dxa" w:w="410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000000"/>
                <w:sz w:val="18"/>
              </w:rPr>
              <w:t>跨地块多车运营安排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000000"/>
                <w:sz w:val="18"/>
              </w:rPr>
              <w:t>MAPF或轨迹规划</w:t>
            </w:r>
          </w:p>
        </w:tc>
        <w:tc>
          <w:tcPr>
            <w:tcW w:type="dxa" w:w="4032"/>
            <w:vAlign w:val="center"/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000000"/>
                <w:sz w:val="18"/>
              </w:rPr>
              <w:t>带时间的冲突消解与运动可执行性</w:t>
            </w:r>
          </w:p>
        </w:tc>
        <w:tc>
          <w:tcPr>
            <w:tcW w:type="dxa" w:w="4104"/>
            <w:vAlign w:val="center"/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000000"/>
                <w:sz w:val="18"/>
              </w:rPr>
              <w:t>业务需求语义与VRP目标</w:t>
            </w:r>
          </w:p>
        </w:tc>
      </w:tr>
    </w:tbl>
    <w:p>
      <w:pPr>
        <w:spacing w:after="20"/>
      </w:pPr>
    </w:p>
    <w:p>
      <w:pPr>
        <w:pStyle w:val="Heading1"/>
      </w:pPr>
      <w:r>
        <w:t>3  检索范围与证据如何分级</w:t>
      </w:r>
    </w:p>
    <w:p>
      <w:r>
        <w:t>调研采用多轮定向检索加引用回溯：先查自然语言建模、直接组合优化、程序搜索三类，再回溯VRP专门工作，补查2026年的新论文与作者仓库，最后把性能主张与数据、预算、强基线和发布状态交叉核对。正式论文页、arXiv版本、作者repo、数据维护机构与官方文档优先。检索明细、纳入依据、阅读深度和限制在随附来源CSV及机器清单中。</w:t>
      </w:r>
    </w:p>
    <w:p>
      <w:r>
        <w:t>纳入条件是能影响本项目的架构选择、数据可信度、验证方法、复现可行性或公平比较。相关综述只用于分类和发现原文；不能用综述中的转述替代原论文证据。排除与车辆路径无关的“LLM模型路由”基准、没有可核方法的营销视频，以及只证明图像或场景好看但未验证任务约束的演示。农业轨迹和覆盖数据保留为边界对照，不能混入VRP运营成绩。</w:t>
      </w:r>
    </w:p>
    <w:p>
      <w:r>
        <w:t>阅读深度分为：原文定点核读（已检查方法、关键实验和指定附录）；原文概览；摘要；官方文档或记录。下载全文不等于逐页精读，官方repo存在不等于已跑通。所有本次未复现的外部结果都保留这一状态。代码可用性按“完整研究管线可见、部分算子发布、占位或未核实”记录，避免把一个README当作实现。</w:t>
      </w:r>
    </w:p>
    <w:p>
      <w:r>
        <w:t>两项特别重要的审计结果是：FunSearch官方发布不包含原语言模型、执行沙箱和分布式系统；PyVRP+论文给出的仓库链接，在本次访问时只有README占位。VRPAgent官方则明示是生成算子的early release。论文结论可以讨论，但实施计划不能假定这些系统均能直接安装复现。</w:t>
      </w:r>
      <w:hyperlink r:id="rId17">
        <w:r>
          <w:rPr>
            <w:color w:val="264F73"/>
          </w:rPr>
          <w:t>[N01]</w:t>
        </w:r>
      </w:hyperlink>
      <w:r/>
      <w:hyperlink r:id="rId14">
        <w:r>
          <w:rPr>
            <w:color w:val="264F73"/>
          </w:rPr>
          <w:t>[N17]</w:t>
        </w:r>
      </w:hyperlink>
      <w:r/>
      <w:hyperlink r:id="rId18">
        <w:r>
          <w:rPr>
            <w:color w:val="264F73"/>
          </w:rPr>
          <w:t>[N19]</w:t>
        </w:r>
      </w:hyperlink>
      <w:r/>
    </w:p>
    <w:p>
      <w:r>
        <w:t>证据强度也应分开：官方竞赛验证支持某条解和成绩确实登记；它不自动证明LLM是成绩提升的唯一原因。论文消融支持所测条件下的模块作用；它不自动证明跨城市、跨约束和当前版本仍成立。新预印本并非应排除，但应清楚标注其验证范围。</w:t>
      </w:r>
    </w:p>
    <w:p>
      <w:pPr>
        <w:pStyle w:val="Heading1"/>
      </w:pPr>
      <w:r>
        <w:t>4  自然语言应落到可追溯任务合同</w:t>
      </w:r>
    </w:p>
    <w:p>
      <w:r>
        <w:t>LLM的第一份输出应是受约束的结构化草稿，不是地图事实。TaskSpec至少含问题类型、目标顺序、地图坐标系与版本、任务、车辆、成本矩阵、硬软约束、单位、来源和未知项。必须允许“未知”和“多候选”，不能为了凑齐JSON把缺失事实默默补成真值。</w:t>
      </w:r>
    </w:p>
    <w:p>
      <w:r>
        <w:t>每个重要字段保留来源状态：用户明确给出、官方数据读取、确定性推导、暂定假设、仍未知。例：“5辆车”可直接抽取；“尽快送完”不能自动等同最短总距离，它可能指最早完工、最少迟到或最小最大工作量。不能每个细节都反复追问，但会改变可行域或目标的歧义必须在预览中显式暴露，并允许用户一次性修改。</w:t>
      </w:r>
    </w:p>
    <w:p>
      <w:r>
        <w:t>地点名称需要地理实体匹配和入口确认。同名地点、建筑中心点与车辆入口、路网吸附到平行道路，都可能改变可达性。用户仅说“生成一个物流场景”时，可以采用带种子和参数的合成任务；用户说“按实际情况”时，应使用真实来源并把仍合成的需求、时窗和服务时间逐字段标出。</w:t>
      </w:r>
    </w:p>
    <w:p>
      <w:r>
        <w:t>容量和需求应使用向量与单位，例如重量、体积或件数，不能混加；时窗必须明确是到达、开始服务还是完成服务的时限；配送与取货要写明载重更新顺序；返仓、开放路线、多仓、车辆资格、任务优先级也要成为显式字段。必要字段缺失时可返回可编辑草稿，但不得将结果标为“已验证可执行”。</w:t>
      </w:r>
    </w:p>
    <w:p>
      <w:r>
        <w:t>随附task_contract.json给出了建议的字段组与编辑规则。它是研究合同草案，尚非实现好的API。后续实现宜采用固定schema与确定性适配器，把LLM限制在填值和提出可审查约束上。对稳定问题类型，维护模板比每次自由生成建模代码更容易审计。NL4Opt、OptiMUS和DRoC可支持这一分层思路，但不提供真实地图语义自动正确的保证。</w:t>
      </w:r>
      <w:hyperlink r:id="rId19">
        <w:r>
          <w:rPr>
            <w:color w:val="264F73"/>
          </w:rPr>
          <w:t>[N08]</w:t>
        </w:r>
      </w:hyperlink>
      <w:r/>
      <w:hyperlink r:id="rId20">
        <w:r>
          <w:rPr>
            <w:color w:val="264F73"/>
          </w:rPr>
          <w:t>[N09]</w:t>
        </w:r>
      </w:hyperlink>
      <w:r/>
      <w:hyperlink r:id="rId21">
        <w:r>
          <w:rPr>
            <w:color w:val="264F73"/>
          </w:rPr>
          <w:t>[N05]</w:t>
        </w:r>
      </w:hyperlink>
      <w:r/>
    </w:p>
    <w:p>
      <w:pPr>
        <w:pStyle w:val="Heading1"/>
      </w:pPr>
      <w:r>
        <w:t>5  可编辑地图怎样才有科研价值</w:t>
      </w:r>
    </w:p>
    <w:p>
      <w:r>
        <w:t>界面应同时提供三种视图：空间地图用于确认任务位置和道路；任务表用于编辑需求、时窗、服务时长和车辆资格；路线与时间轴用于检查各车访问顺序、等待、载重和未服务任务。只显示几条彩线，用户无法判断它是否漏点、超载或把迟到藏起来。</w:t>
      </w:r>
    </w:p>
    <w:p>
      <w:r>
        <w:t>输入编辑必须产生新版本。移动任务点、改容量、增删车辆或切换目标都会改变spec_hash，旧解立即成为“待重算”。仍可将旧解作为比较层显示，但不能继续挂着绿色“已验证”标记。撤销和重做也应回到明确的任务版本，保证图表、输入和实验日志可以互相追溯。</w:t>
      </w:r>
    </w:p>
    <w:p>
      <w:r>
        <w:t>地图表达要遵守求解语义：欧氏实验用直线且明确“平面距离”；真实路网路线使用与成本矩阵一致的道路路径，保留原点、吸附点和入口。路由服务返回不可达时，不能画一条穿河或穿围墙的直线来补齐。若只得到示意连线，应直接标成示意，并与可行性状态分离。</w:t>
      </w:r>
    </w:p>
    <w:p>
      <w:r>
        <w:t>至少展示任务总数/已服务数、每车任务数与载重峰值、距离、驾驶/服务/等待时间、迟到或违反约束、未分配原因、求解器与版本、运行预算、独立校验状态。若没有最优性证明，写“当前找到的最好可行解”；若参照BKS，注明BKS日期与口径，避免把它叫理论最优。</w:t>
      </w:r>
    </w:p>
    <w:p>
      <w:r>
        <w:t>科研面板应能切换同一实例的四路结果、观察失败实例、查看分布外性能与预算曲线。不要把整体平均分放在最显眼处却隐藏不可行比例。模型解释可以帮助理解，但所有展示数字都应来自结构化运行记录和checker重算，不从LLM叙述中提取。图形层的成功标准是降低核验成本，而不是增加视觉复杂度。</w:t>
      </w:r>
    </w:p>
    <w:p>
      <w:pPr>
        <w:pStyle w:val="Heading1"/>
      </w:pPr>
      <w:r>
        <w:t>6  自然语言形式化有进展也有双重正确性问题</w:t>
      </w:r>
    </w:p>
    <w:p>
      <w:r>
        <w:t>把自然语言翻译为可执行模型，已形成较成熟的研究方向。NL4Opt把语义实体和中间表示拆开；OptiMUS用参数、变量、目标和约束的连接图维护局部上下文；DRoC针对48种VRP拆分约束、检索相应知识再生成求解代码。它们共同提示：在固定求解器外做可靠建模，比要求模型自行完成全部搜索更可控。</w:t>
      </w:r>
      <w:hyperlink r:id="rId19">
        <w:r>
          <w:rPr>
            <w:color w:val="264F73"/>
          </w:rPr>
          <w:t>[N08]</w:t>
        </w:r>
      </w:hyperlink>
      <w:r/>
      <w:hyperlink r:id="rId20">
        <w:r>
          <w:rPr>
            <w:color w:val="264F73"/>
          </w:rPr>
          <w:t>[N09]</w:t>
        </w:r>
      </w:hyperlink>
      <w:r/>
      <w:hyperlink r:id="rId21">
        <w:r>
          <w:rPr>
            <w:color w:val="264F73"/>
          </w:rPr>
          <w:t>[N05]</w:t>
        </w:r>
      </w:hyperlink>
      <w:r/>
    </w:p>
    <w:p>
      <w:r>
        <w:t>但“语法正确、求解器给出了最优解”仍可能是解错了问题。Planning Formalizers原文将solvability与correctness分开，发现自然表达比模板表达更困难，错误包括初始状态、动作关系和参数顺序。它属于规划域而非VRP，不能拿其数字预测VRP成功率，却直接说明了为何应保留语义金标和来源链。</w:t>
      </w:r>
      <w:hyperlink r:id="rId22">
        <w:r>
          <w:rPr>
            <w:color w:val="264F73"/>
          </w:rPr>
          <w:t>[N06]</w:t>
        </w:r>
      </w:hyperlink>
      <w:r/>
    </w:p>
    <w:p>
      <w:r>
        <w:t>ARS最贴近本项目的代码路线：先选择参考约束，生成checker和scorer，再接入固定destroy-repair/local-search主干。主表中48项常见问题成功率91.67%，RoutBench-H为46.80%；后者不能被摘要的较高数字覆盖。附录的其他多次运行设置也不能与主表无条件合并。其重点是广约束程序生成，不是证明所有专用求解器都被超越。</w:t>
      </w:r>
      <w:hyperlink r:id="rId23">
        <w:r>
          <w:rPr>
            <w:color w:val="264F73"/>
          </w:rPr>
          <w:t>[N04]</w:t>
        </w:r>
      </w:hyperlink>
      <w:r/>
    </w:p>
    <w:p>
      <w:r>
        <w:t>因此要分两道正确性关：第一道是“用户意思→TaskSpec”是否准确，第二道是“TaskSpec→解”是否满足数学约束。第二道可由确定性程序检查；第一道需要有来源的字段、人工标注测试集、反例和编辑预览。不能让同一个模型同时写约束和写唯一验收器，然后用二者自洽作为语义正确的证明。</w:t>
      </w:r>
    </w:p>
    <w:p>
      <w:r>
        <w:t>建议建立中文需求用例库，覆盖省略、否定、单位变换、同义表达、时窗端点、先取后送、相同车辆、软硬优先级等。每个例子有人工gold TaskSpec以及故意修改一项约束后应当改变的结果。重点测漏约束、错单位和错误默认，而不只测JSON能否解析。</w:t>
      </w:r>
    </w:p>
    <w:p>
      <w:pPr>
        <w:pStyle w:val="Heading1"/>
      </w:pPr>
      <w:r>
        <w:t>7  直接生成路线要作为真正的对照</w:t>
      </w:r>
    </w:p>
    <w:p>
      <w:r>
        <w:t>直接路线应有独立的实验位置，既不能预先判它失败，也不能把它与调用求解器的agent混为一谈。输入同一份TaskSpec序列化文本，输出车辆与任务ID序列；不给外部解算器。任何格式修复、反馈重试、best-of-N或经典局部修补都须另设变体并计成本。</w:t>
      </w:r>
      <w:hyperlink r:id="rId11">
        <w:r>
          <w:rPr>
            <w:color w:val="264F73"/>
          </w:rPr>
          <w:t>[N11]</w:t>
        </w:r>
      </w:hyperlink>
      <w:r/>
      <w:hyperlink r:id="rId12">
        <w:r>
          <w:rPr>
            <w:color w:val="264F73"/>
          </w:rPr>
          <w:t>[N12]</w:t>
        </w:r>
      </w:hyperlink>
      <w:r/>
    </w:p>
    <w:p>
      <w:r>
        <w:t>2025年的LLMCoSolver用SFT及可行性与最优性奖励训练7B模型，说明专门训练能使直接解明显改善。更重要的是其强基线附录：CVRP的平均gap为4.53%，HGS为-0.19%，都相对论文的参考解；约11秒的三索引Gurobi建模则为35.09%。所以“胜过Gurobi”不能改写成“胜过成熟VRP启发式”。这里的负gap也说明参考值不是数学最优证书。</w:t>
      </w:r>
      <w:hyperlink r:id="rId11">
        <w:r>
          <w:rPr>
            <w:color w:val="264F73"/>
          </w:rPr>
          <w:t>[N11]</w:t>
        </w:r>
      </w:hyperlink>
      <w:r/>
    </w:p>
    <w:p>
      <w:r>
        <w:t>2026年ConstraintBench把200个任务分布在10个运筹域，单轮直接输出由确定性程序重算，报告最佳模型65%可行、30.5%同时可行且距参考0.1%以内。每域仅20例且单次运行，不能将这个比例套到当前项目；其最大价值是清晰的全样本分母和独立约束检查，而不是最新模型的永久排名。</w:t>
      </w:r>
      <w:hyperlink r:id="rId12">
        <w:r>
          <w:rPr>
            <w:color w:val="264F73"/>
          </w:rPr>
          <w:t>[N12]</w:t>
        </w:r>
      </w:hyperlink>
      <w:r/>
    </w:p>
    <w:p>
      <w:r>
        <w:t>同年的NLCO覆盖43类问题和不同规模，报告小实例可表现很强，随规模上升，可行性和质量下降，推理token却增加。这纠正了“LLM完全不能直接规划”的绝对化说法，也提示不要只演示10个点的漂亮路线后宣称可扩展。它的大量任务仍是可控生成/抽样，尚不是对真实运营多车系统的完整验证。</w:t>
      </w:r>
      <w:hyperlink r:id="rId13">
        <w:r>
          <w:rPr>
            <w:color w:val="264F73"/>
          </w:rPr>
          <w:t>[N13]</w:t>
        </w:r>
      </w:hyperlink>
      <w:r/>
    </w:p>
    <w:p>
      <w:r>
        <w:t>本项目的C组应从小规模严格可验实例开始，逐渐增加任务数、车辆数和约束组合。设统一输出契约、全尝试分母和失败类别。若C组在小例已无质量或成本优势，就保留为研究对照；若某个小问题族确有优势，也只对该适用域给结论，不据此替换全局固定基线。</w:t>
      </w:r>
    </w:p>
    <w:p>
      <w:pPr>
        <w:pStyle w:val="Heading1"/>
      </w:pPr>
      <w:r>
        <w:t>8  自动算法设计应比较搜索机制与真实成本</w:t>
      </w:r>
    </w:p>
    <w:p>
      <w:r>
        <w:t>FunSearch、EoH和ReEvo证明了一种重要机制：模型提出代码，程序执行给出反馈，搜索保留有效候选。FunSearch强调可快速评价、反馈足够丰富、骨架中存在可隔离的可演化部分；EoH同时演化语言思路和代码；ReEvo把候选性能比较转成反思再指导生成。</w:t>
      </w:r>
      <w:hyperlink r:id="rId17">
        <w:r>
          <w:rPr>
            <w:color w:val="264F73"/>
          </w:rPr>
          <w:t>[N01]</w:t>
        </w:r>
      </w:hyperlink>
      <w:r/>
      <w:hyperlink r:id="rId24">
        <w:r>
          <w:rPr>
            <w:color w:val="264F73"/>
          </w:rPr>
          <w:t>[N02]</w:t>
        </w:r>
      </w:hyperlink>
      <w:r/>
      <w:hyperlink r:id="rId25">
        <w:r>
          <w:rPr>
            <w:color w:val="264F73"/>
          </w:rPr>
          <w:t>[N03]</w:t>
        </w:r>
      </w:hyperlink>
      <w:r/>
    </w:p>
    <w:p>
      <w:r>
        <w:t>这些论文不能只比较宣传中的调用数。FunSearch报告约百万量级采样，EoH的BPP实验报告2000次调用，ReEvo限制100次启发式评价；它们的模型、任务接口、候选预算、原有代码、评价集和资源并非统一重跑。由此能得出“值得研究更高效的搜索机制”，不能直接给本项目某框架节省几百倍的成本承诺。</w:t>
      </w:r>
      <w:hyperlink r:id="rId17">
        <w:r>
          <w:rPr>
            <w:color w:val="264F73"/>
          </w:rPr>
          <w:t>[N01]</w:t>
        </w:r>
      </w:hyperlink>
      <w:r/>
      <w:hyperlink r:id="rId24">
        <w:r>
          <w:rPr>
            <w:color w:val="264F73"/>
          </w:rPr>
          <w:t>[N02]</w:t>
        </w:r>
      </w:hyperlink>
      <w:r/>
      <w:hyperlink r:id="rId25">
        <w:r>
          <w:rPr>
            <w:color w:val="264F73"/>
          </w:rPr>
          <w:t>[N03]</w:t>
        </w:r>
      </w:hyperlink>
      <w:r/>
    </w:p>
    <w:p>
      <w:r>
        <w:t>科研上应优先选择小而清楚的可演化界面，例如候选插入排序、移除评分、邻域采样或搜索接受控制。让固定骨架负责可行性与资源限制，让生成模块只输出合法候选或评分。这样既减少危险的自由代码，也便于通过移除某个项、固定参数或替换成手工规则解释收益来源。</w:t>
      </w:r>
    </w:p>
    <w:p>
      <w:r>
        <w:t>反思、进化和多agent本身不是成果。需要加入同预算的无反思生成、best-of-N、随机变异、简单参数搜索，以及同框架的人工作品。尤其当收益仅来自重复尝试或更长运行时，必须把它与真正更好的启发式区分。ReEvo限制章节已经提醒，其低评价预算下的优势不必然扩展到很大的搜索预算。</w:t>
      </w:r>
      <w:hyperlink r:id="rId25">
        <w:r>
          <w:rPr>
            <w:color w:val="264F73"/>
          </w:rPr>
          <w:t>[N03]</w:t>
        </w:r>
      </w:hyperlink>
      <w:r/>
    </w:p>
    <w:p>
      <w:r>
        <w:t>MCTS-AHD、EoH-S和LLM4AD提供了树搜索、互补集合与工程框架等扩展方向；本次未完整复现其实现，先作为候选，而非把框架数量变成贡献数量。AlphaEvolve进一步放大到较大代码片段，但仍依靠用户提供的可执行评价器，其Google内部基础设施结果不构成低成本VRP产品的交付保证。</w:t>
      </w:r>
      <w:hyperlink r:id="rId26">
        <w:r>
          <w:rPr>
            <w:color w:val="264F73"/>
          </w:rPr>
          <w:t>[N24]</w:t>
        </w:r>
      </w:hyperlink>
      <w:r/>
      <w:hyperlink r:id="rId27">
        <w:r>
          <w:rPr>
            <w:color w:val="264F73"/>
          </w:rPr>
          <w:t>[N22]</w:t>
        </w:r>
      </w:hyperlink>
      <w:r/>
      <w:hyperlink r:id="rId28">
        <w:r>
          <w:rPr>
            <w:color w:val="264F73"/>
          </w:rPr>
          <w:t>[N25]</w:t>
        </w:r>
      </w:hyperlink>
      <w:r/>
      <w:hyperlink r:id="rId29">
        <w:r>
          <w:rPr>
            <w:color w:val="264F73"/>
          </w:rPr>
          <w:t>[N21]</w:t>
        </w:r>
      </w:hyperlink>
      <w:r/>
    </w:p>
    <w:p>
      <w:pPr>
        <w:pStyle w:val="Heading1"/>
      </w:pPr>
      <w:r>
        <w:t>9  新的VRP证据支持局部算子路线</w:t>
      </w:r>
    </w:p>
    <w:p>
      <w:r>
        <w:t>VRPAgent把生成任务收缩为LNS中的remove与order算子，保留正确性保护的主框架。论文在500、1000和2000客户、三个VRP家族上与HGS、SISRs、LKH3和PyVRP等比较；发现阶段用64个500客户训练实例、每例20秒，进行多个发现运行再用验证集选优。所谓单核运行指最终解算器，而不是整个发现过程没有模型或训练成本。</w:t>
      </w:r>
      <w:hyperlink r:id="rId14">
        <w:r>
          <w:rPr>
            <w:color w:val="264F73"/>
          </w:rPr>
          <w:t>[N17]</w:t>
        </w:r>
      </w:hyperlink>
      <w:r/>
    </w:p>
    <w:p>
      <w:r>
        <w:t>AILS-AHD演化强ILS中的ruin启发式，并采用加速机制。2026年6月版本的新BKS有CVRPLib官方登记交叉支持，比仅展示随机平面小例更有说服力。但新BKS是最好一次成绩，平均表现另有结论；原文大规模表中也存在不如AILS-II的实例。长时间搜索和公开基准上的反复开发，不能替代新的区域与问题家族测试。</w:t>
      </w:r>
      <w:hyperlink r:id="rId15">
        <w:r>
          <w:rPr>
            <w:color w:val="264F73"/>
          </w:rPr>
          <w:t>[N18]</w:t>
        </w:r>
      </w:hyperlink>
      <w:r/>
      <w:hyperlink r:id="rId16">
        <w:r>
          <w:rPr>
            <w:color w:val="264F73"/>
          </w:rPr>
          <w:t>[N26]</w:t>
        </w:r>
      </w:hyperlink>
      <w:r/>
    </w:p>
    <w:p>
      <w:r>
        <w:t>2026年CVRPLib BKS Challenge的官方结果确认OptVerse-CityU第一。队伍注册报告描述EoH自动控制函数、AILS-II、NPU并行搜索、共享精英池与高质量warm-start的组合，机构公告称持有51/100项最终BKS。它支持“LLM生成组件能进入强系统并取得真实成绩”；因缺少同资源去除LLM组件的最终竞赛消融，不能把整场成绩单独归因给LLM。</w:t>
      </w:r>
      <w:hyperlink r:id="rId16">
        <w:r>
          <w:rPr>
            <w:color w:val="264F73"/>
          </w:rPr>
          <w:t>[N26]</w:t>
        </w:r>
      </w:hyperlink>
      <w:r/>
      <w:hyperlink r:id="rId30">
        <w:r>
          <w:rPr>
            <w:color w:val="264F73"/>
          </w:rPr>
          <w:t>[N27]</w:t>
        </w:r>
      </w:hyperlink>
      <w:r/>
      <w:hyperlink r:id="rId31">
        <w:r>
          <w:rPr>
            <w:color w:val="264F73"/>
          </w:rPr>
          <w:t>[N28]</w:t>
        </w:r>
      </w:hyperlink>
      <w:r/>
    </w:p>
    <w:p>
      <w:r>
        <w:t>PyVRP+论文报告在多个变体中替换父代选择、存活选择及惩罚模块，最大质量改善2.70%；其当前作者链接却仅有README占位。先列为待复现的预印本证据，不能拿它作首版产品依赖，更不能默认其收益对现行PyVRP版本仍成立。</w:t>
      </w:r>
      <w:hyperlink r:id="rId18">
        <w:r>
          <w:rPr>
            <w:color w:val="264F73"/>
          </w:rPr>
          <w:t>[N19]</w:t>
        </w:r>
      </w:hyperlink>
      <w:r/>
    </w:p>
    <w:p>
      <w:r>
        <w:t>本项目据此应提高D1局部算子路线的研究优先级，但不立即开大预算搜索。先做受限接口、强固定基线、隐藏测试和评价成本核算。优先争取“在指定预算与分布外条件下稳定改善一个明确算子”，比声称自动发明通用VRP求解器更可实现，也更容易形成可信论文。</w:t>
      </w:r>
    </w:p>
    <w:p>
      <w:pPr>
        <w:pStyle w:val="Heading1"/>
      </w:pPr>
      <w:r>
        <w:t>10  算法选择与跑完整个算法池必须分开</w:t>
      </w:r>
    </w:p>
    <w:p>
      <w:r>
        <w:t>算法池有互补性，和能够提前选对算法，是两个问题。EoH-S的集合目标对每个实例取集合成员中的最好损失，它证明的是best-of-set潜力。部署时若运行全部成员才知道最好者，就应按组合求解计所有CPU时间；若只运行一个成员，就需要真正的选择器，并承受预测错误。</w:t>
      </w:r>
      <w:hyperlink r:id="rId27">
        <w:r>
          <w:rPr>
            <w:color w:val="264F73"/>
          </w:rPr>
          <w:t>[N22]</w:t>
        </w:r>
      </w:hyperlink>
      <w:r/>
    </w:p>
    <w:p>
      <w:r>
        <w:t>SBS是训练或验证阶段选择的单一最好求解器，VBS是事后知道每例最好成员的上界。选择器的价值应看它实际关闭多少SBS到VBS的差距，同时计算特征提取与选择延迟。VBS与SBS非常接近时，复杂推荐器的可获取收益本来就小；即使能降低均值，也要看最坏家族的退化。</w:t>
      </w:r>
      <w:hyperlink r:id="rId32">
        <w:r>
          <w:rPr>
            <w:color w:val="264F73"/>
          </w:rPr>
          <w:t>[N23]</w:t>
        </w:r>
      </w:hyperlink>
      <w:r/>
      <w:hyperlink r:id="rId33">
        <w:r>
          <w:rPr>
            <w:color w:val="264F73"/>
          </w:rPr>
          <w:t>[N32]</w:t>
        </w:r>
      </w:hyperlink>
      <w:r/>
    </w:p>
    <w:p>
      <w:r>
        <w:t>LLM增强算法表示是一条研究线：AS-LLM从算法代码抽取表示，再与实例表示匹配，论文在ASlib情景评估。它不等于让聊天模型看到地图后主观选择算法，也没有直接证明本项目的VRP小池能从代码嵌入获益。先跑便宜的手工特征和简单分类/回归，才有理由增加复杂表示。</w:t>
      </w:r>
      <w:hyperlink r:id="rId32">
        <w:r>
          <w:rPr>
            <w:color w:val="264F73"/>
          </w:rPr>
          <w:t>[N23]</w:t>
        </w:r>
      </w:hyperlink>
      <w:r/>
    </w:p>
    <w:p>
      <w:r>
        <w:t>当前项目交接指出，5NN与距离门控在跨家族评估中失败，保守SBS仍是合理默认；小固定池在同生成器新几何上的0.688%改善只支持很窄的同分布结论。不可把新增几何样本称作全新的任务分布，也不能把非LLM池的收益署名给LLM。</w:t>
      </w:r>
    </w:p>
    <w:p>
      <w:r>
        <w:t>建议保留稳定select_solver接口，内部先返回固定基线。后续只有当冻结池的互补空间足够大、独立训练标签齐备、分布外测试实际超过SBS且拒绝/回退机制可靠时，再启用推荐。回退条件应基于经验证的适用域或缺失特征，不能仅凭一个看似合理的距离阈值就宣称安全。</w:t>
      </w:r>
    </w:p>
    <w:p>
      <w:pPr>
        <w:pStyle w:val="Heading1"/>
      </w:pPr>
      <w:r>
        <w:t>11  数据应按真实几何和真实任务分别标注</w:t>
      </w:r>
    </w:p>
    <w:p>
      <w:r>
        <w:t>建立四份来源账本：geometry、tasks、vehicles、travel_cost。官方地块边界加自造需求，只能称“真实几何＋合成任务”；历史车辆轨迹不等于任务分工标签；BKS不等于最优性证明。选择数据时先判断要验证的环节，再问数据是否具备相应真值。</w:t>
      </w:r>
    </w:p>
    <w:p>
      <w:r>
        <w:t>主实验应从CVRPLIB X与Solomon/SINTEF开始，以便复现容量、时窗和标准目标。CVRPLIB不能全库一概叫合成：Uchoa原报告明确F系列有真实运营来源，而X系列是设计生成。本次核验的SINTEF Solomon 100客户页采用车辆数优先、距离次之，并有明确数值口径；与单目标或不同精度口径的成绩不可直接比较，可能改变排名。</w:t>
      </w:r>
      <w:hyperlink r:id="rId34">
        <w:r>
          <w:rPr>
            <w:color w:val="264F73"/>
          </w:rPr>
          <w:t>[D13]</w:t>
        </w:r>
      </w:hyperlink>
      <w:r/>
      <w:hyperlink r:id="rId35">
        <w:r>
          <w:rPr>
            <w:color w:val="264F73"/>
          </w:rPr>
          <w:t>[D14]</w:t>
        </w:r>
      </w:hyperlink>
      <w:r/>
      <w:hyperlink r:id="rId36">
        <w:r>
          <w:rPr>
            <w:color w:val="264F73"/>
          </w:rPr>
          <w:t>[D25]</w:t>
        </w:r>
      </w:hyperlink>
      <w:r/>
    </w:p>
    <w:p>
      <w:r>
        <w:t>真实几何扩展可以取PDOK BRP或法国IGN RPG小区域；这是对地域和图形结构的外部测试。需求、车队、服务时长与时窗若由生成器产生，必须逐字段标记，公开种子、分布、容量紧度、可行率和构造方法。不要只用均匀随机点；加入聚类/混合、需求相关、窄时窗、断连与不规则边界，并按区域留出而不只换随机seed。</w:t>
      </w:r>
      <w:hyperlink r:id="rId37">
        <w:r>
          <w:rPr>
            <w:color w:val="264F73"/>
          </w:rPr>
          <w:t>[D03]</w:t>
        </w:r>
      </w:hyperlink>
      <w:r/>
      <w:hyperlink r:id="rId38">
        <w:r>
          <w:rPr>
            <w:color w:val="264F73"/>
          </w:rPr>
          <w:t>[D06]</w:t>
        </w:r>
      </w:hyperlink>
      <w:r/>
      <w:hyperlink r:id="rId39">
        <w:r>
          <w:rPr>
            <w:color w:val="264F73"/>
          </w:rPr>
          <w:t>[D09]</w:t>
        </w:r>
      </w:hyperlink>
      <w:r/>
    </w:p>
    <w:p>
      <w:r>
        <w:t>真实运营旁证可选Amazon Last Mile公开数据：9184条2018历史配送路线，位置经匿名扰动，许可为CC-BY-NC4.0。其挑战是既定路线内的访问排序，不能任意合并路线再称“真实多车重分配最优解”。应保留route_id边界和给定时间矩阵，单列跨域评估。</w:t>
      </w:r>
      <w:hyperlink r:id="rId40">
        <w:r>
          <w:rPr>
            <w:color w:val="264F73"/>
          </w:rPr>
          <w:t>[D22]</w:t>
        </w:r>
      </w:hyperlink>
      <w:r/>
      <w:hyperlink r:id="rId41">
        <w:r>
          <w:rPr>
            <w:color w:val="264F73"/>
          </w:rPr>
          <w:t>[D23]</w:t>
        </w:r>
      </w:hyperlink>
      <w:r/>
    </w:p>
    <w:p>
      <w:r>
        <w:t>本轮没有核到开放且同时具备农业任务、完整车队、时间窗、服务时间、通行状态与实际执行轨迹的统一多车VRP集；这不证明其不存在。首版不应等到完美数据才开始，也不应以一个真实地图背景掩盖任务仍是合成的事实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4032"/>
        <w:gridCol w:w="4104"/>
      </w:tblGrid>
      <w:tr>
        <w:trPr>
          <w:cantSplit/>
          <w:tblHeader/>
        </w:trPr>
        <w:tc>
          <w:tcPr>
            <w:tcW w:type="dxa" w:w="1944"/>
            <w:vAlign w:val="center"/>
            <w:shd w:fill="28485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color w:val="FFFFFF"/>
                <w:sz w:val="18"/>
              </w:rPr>
              <w:t>数据轨</w:t>
            </w:r>
          </w:p>
        </w:tc>
        <w:tc>
          <w:tcPr>
            <w:tcW w:type="dxa" w:w="4032"/>
            <w:vAlign w:val="center"/>
            <w:shd w:fill="28485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color w:val="FFFFFF"/>
                <w:sz w:val="18"/>
              </w:rPr>
              <w:t>可支持的结论</w:t>
            </w:r>
          </w:p>
        </w:tc>
        <w:tc>
          <w:tcPr>
            <w:tcW w:type="dxa" w:w="4104"/>
            <w:vAlign w:val="center"/>
            <w:shd w:fill="28485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color w:val="FFFFFF"/>
                <w:sz w:val="18"/>
              </w:rPr>
              <w:t>不能支持的结论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000000"/>
                <w:sz w:val="18"/>
              </w:rPr>
              <w:t>标准VRP基准</w:t>
            </w:r>
          </w:p>
        </w:tc>
        <w:tc>
          <w:tcPr>
            <w:tcW w:type="dxa" w:w="403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000000"/>
                <w:sz w:val="18"/>
              </w:rPr>
              <w:t>算法/约束和数值复现</w:t>
            </w:r>
          </w:p>
        </w:tc>
        <w:tc>
          <w:tcPr>
            <w:tcW w:type="dxa" w:w="410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000000"/>
                <w:sz w:val="18"/>
              </w:rPr>
              <w:t>真实农业运营有效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000000"/>
                <w:sz w:val="18"/>
              </w:rPr>
              <w:t>真实几何加合成任务</w:t>
            </w:r>
          </w:p>
        </w:tc>
        <w:tc>
          <w:tcPr>
            <w:tcW w:type="dxa" w:w="4032"/>
            <w:vAlign w:val="center"/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000000"/>
                <w:sz w:val="18"/>
              </w:rPr>
              <w:t>地理结构迁移与导入可靠性</w:t>
            </w:r>
          </w:p>
        </w:tc>
        <w:tc>
          <w:tcPr>
            <w:tcW w:type="dxa" w:w="4104"/>
            <w:vAlign w:val="center"/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000000"/>
                <w:sz w:val="18"/>
              </w:rPr>
              <w:t>需求和服务时间真实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000000"/>
                <w:sz w:val="18"/>
              </w:rPr>
              <w:t>历史真实路线</w:t>
            </w:r>
          </w:p>
        </w:tc>
        <w:tc>
          <w:tcPr>
            <w:tcW w:type="dxa" w:w="403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000000"/>
                <w:sz w:val="18"/>
              </w:rPr>
              <w:t>运营约束或排序旁证</w:t>
            </w:r>
          </w:p>
        </w:tc>
        <w:tc>
          <w:tcPr>
            <w:tcW w:type="dxa" w:w="410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000000"/>
                <w:sz w:val="18"/>
              </w:rPr>
              <w:t>重新分车已最优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000000"/>
                <w:sz w:val="18"/>
              </w:rPr>
              <w:t>田间轨迹或地块</w:t>
            </w:r>
          </w:p>
        </w:tc>
        <w:tc>
          <w:tcPr>
            <w:tcW w:type="dxa" w:w="4032"/>
            <w:vAlign w:val="center"/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000000"/>
                <w:sz w:val="18"/>
              </w:rPr>
              <w:t>定位/覆盖组件验证</w:t>
            </w:r>
          </w:p>
        </w:tc>
        <w:tc>
          <w:tcPr>
            <w:tcW w:type="dxa" w:w="4104"/>
            <w:vAlign w:val="center"/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000000"/>
                <w:sz w:val="18"/>
              </w:rPr>
              <w:t>完整多车调度已解决</w:t>
            </w:r>
          </w:p>
        </w:tc>
      </w:tr>
    </w:tbl>
    <w:p>
      <w:pPr>
        <w:spacing w:after="20"/>
      </w:pPr>
    </w:p>
    <w:p>
      <w:pPr>
        <w:pStyle w:val="Heading1"/>
      </w:pPr>
      <w:r>
        <w:t>12  地图来源和通行语义的关键风险</w:t>
      </w:r>
    </w:p>
    <w:p>
      <w:r>
        <w:t>Fields2Benchmark的350个真实地块适合CPP组件测试。本轮实际小量下载WKT包，文件数及发布者MD5一致；样本未附CRS侧车，不能因为坐标看起来像经纬度就当作已证EPSG。顶层LICENSE为CC-BY-SA4.0，作者落地页另列立陶宛来源“仅非商用”说明，必须保留逐来源权利边界。</w:t>
      </w:r>
      <w:hyperlink r:id="rId42">
        <w:r>
          <w:rPr>
            <w:color w:val="264F73"/>
          </w:rPr>
          <w:t>[D01]</w:t>
        </w:r>
      </w:hyperlink>
      <w:r/>
      <w:hyperlink r:id="rId43">
        <w:r>
          <w:rPr>
            <w:color w:val="264F73"/>
          </w:rPr>
          <w:t>[D02]</w:t>
        </w:r>
      </w:hyperlink>
      <w:r/>
      <w:hyperlink r:id="rId44">
        <w:r>
          <w:rPr>
            <w:color w:val="264F73"/>
          </w:rPr>
          <w:t>[D28]</w:t>
        </w:r>
      </w:hyperlink>
      <w:r/>
    </w:p>
    <w:p>
      <w:r>
        <w:t>PDOK官方BRP API无需认证，存储坐标为EPSG:28992，默认GeoJSON为CRS84，当前许可显示Public Domain Mark1.0。本次实取的一条2025定稿要素是沟渠，不是可作业田块，所以必须筛选地景类别。API元数据里异常的2006更新时间不能当数据年份，要查feature年份或发布版本。</w:t>
      </w:r>
      <w:hyperlink r:id="rId37">
        <w:r>
          <w:rPr>
            <w:color w:val="264F73"/>
          </w:rPr>
          <w:t>[D03]</w:t>
        </w:r>
      </w:hyperlink>
      <w:r/>
      <w:hyperlink r:id="rId45">
        <w:r>
          <w:rPr>
            <w:color w:val="264F73"/>
          </w:rPr>
          <w:t>[D04]</w:t>
        </w:r>
      </w:hyperlink>
      <w:r/>
      <w:hyperlink r:id="rId46">
        <w:r>
          <w:rPr>
            <w:color w:val="264F73"/>
          </w:rPr>
          <w:t>[D05]</w:t>
        </w:r>
      </w:hyperlink>
      <w:r/>
    </w:p>
    <w:p>
      <w:r>
        <w:t>IGN RPG只覆盖PAC申报范围；SNA障碍资料也存在遗漏。BD TOPO可以提供道路、水文和建筑骨架，但不能证明农机通行权、闸门状态或路面承载。EuroCrops v2可扩展跨国跨年测试，须固定实际目录和版本，留意官方记录的重叠几何修复。Rosario v2适合真实田间定位/轨迹回放，不提供多车订单真值。</w:t>
      </w:r>
      <w:hyperlink r:id="rId38">
        <w:r>
          <w:rPr>
            <w:color w:val="264F73"/>
          </w:rPr>
          <w:t>[D06]</w:t>
        </w:r>
      </w:hyperlink>
      <w:r/>
      <w:hyperlink r:id="rId47">
        <w:r>
          <w:rPr>
            <w:color w:val="264F73"/>
          </w:rPr>
          <w:t>[D07]</w:t>
        </w:r>
      </w:hyperlink>
      <w:r/>
      <w:hyperlink r:id="rId48">
        <w:r>
          <w:rPr>
            <w:color w:val="264F73"/>
          </w:rPr>
          <w:t>[D08]</w:t>
        </w:r>
      </w:hyperlink>
      <w:r/>
      <w:hyperlink r:id="rId39">
        <w:r>
          <w:rPr>
            <w:color w:val="264F73"/>
          </w:rPr>
          <w:t>[D09]</w:t>
        </w:r>
      </w:hyperlink>
      <w:r/>
      <w:hyperlink r:id="rId49">
        <w:r>
          <w:rPr>
            <w:color w:val="264F73"/>
          </w:rPr>
          <w:t>[D10]</w:t>
        </w:r>
      </w:hyperlink>
      <w:r/>
      <w:hyperlink r:id="rId50">
        <w:r>
          <w:rPr>
            <w:color w:val="264F73"/>
          </w:rPr>
          <w:t>[D11]</w:t>
        </w:r>
      </w:hyperlink>
      <w:r/>
      <w:hyperlink r:id="rId51">
        <w:r>
          <w:rPr>
            <w:color w:val="264F73"/>
          </w:rPr>
          <w:t>[D12]</w:t>
        </w:r>
      </w:hyperlink>
      <w:r/>
    </w:p>
    <w:p>
      <w:r>
        <w:t>RFC7946 GeoJSON交换层采用WGS84，经度、纬度顺序，单位为度；内部距离、缓冲和转弯计算用适当米制坐标，不能把度数直接做欧氏米距离。栅格要保存原点、分辨率、方向与像元中心规则；截图没有配准信息时只是示意。道路交叉还须核桥隧层级、单行与入口，地块质心不能自动当合法停车或进场点。</w:t>
      </w:r>
      <w:hyperlink r:id="rId52">
        <w:r>
          <w:rPr>
            <w:color w:val="264F73"/>
          </w:rPr>
          <w:t>[D15]</w:t>
        </w:r>
      </w:hyperlink>
      <w:r/>
      <w:hyperlink r:id="rId53">
        <w:r>
          <w:rPr>
            <w:color w:val="264F73"/>
          </w:rPr>
          <w:t>[D16]</w:t>
        </w:r>
      </w:hyperlink>
      <w:r/>
      <w:hyperlink r:id="rId54">
        <w:r>
          <w:rPr>
            <w:color w:val="264F73"/>
          </w:rPr>
          <w:t>[D19]</w:t>
        </w:r>
      </w:hyperlink>
      <w:r/>
    </w:p>
    <w:p>
      <w:r>
        <w:t>OSRM矩阵中的距离是最快路线对应的距离，并非必然最短距离；不可达项和直线fallback必须显式处理。矩阵、路线路径、车型profile和地图快照应一起冻结。狭窄共享通道的时空冲突要另做MAPF或连续运动建模；地图线相交与否都不构成实车安全证明。</w:t>
      </w:r>
      <w:hyperlink r:id="rId55">
        <w:r>
          <w:rPr>
            <w:color w:val="264F73"/>
          </w:rPr>
          <w:t>[D20]</w:t>
        </w:r>
      </w:hyperlink>
      <w:r/>
      <w:hyperlink r:id="rId56">
        <w:r>
          <w:rPr>
            <w:color w:val="264F73"/>
          </w:rPr>
          <w:t>[D24]</w:t>
        </w:r>
      </w:hyperlink>
      <w:r/>
    </w:p>
    <w:p>
      <w:pPr>
        <w:pStyle w:val="Heading1"/>
      </w:pPr>
      <w:r>
        <w:t>13  成熟求解器应按固定版本选择</w:t>
      </w:r>
    </w:p>
    <w:p>
      <w:r>
        <w:t>当前最小闭环建议OR-Tools 9.15.6755、Python3.10独立求解进程、独立checker与现有文件/SQLite管理。官方元数据提供Python≥3.9和Linux CPython3.10 wheel，较适合Ubuntu22.04原型；本轮未安装，因此仍要做环境烟测。先支持单仓、同构、硬容量和必访静态任务，再逐项验收时窗、多仓与异构。</w:t>
      </w:r>
      <w:hyperlink r:id="rId57">
        <w:r>
          <w:rPr>
            <w:color w:val="264F73"/>
          </w:rPr>
          <w:t>[T01]</w:t>
        </w:r>
      </w:hyperlink>
      <w:r/>
      <w:hyperlink r:id="rId58">
        <w:r>
          <w:rPr>
            <w:color w:val="264F73"/>
          </w:rPr>
          <w:t>[T02]</w:t>
        </w:r>
      </w:hyperlink>
      <w:r/>
      <w:hyperlink r:id="rId59">
        <w:r>
          <w:rPr>
            <w:color w:val="264F73"/>
          </w:rPr>
          <w:t>[T03]</w:t>
        </w:r>
      </w:hyperlink>
      <w:r/>
    </w:p>
    <w:p>
      <w:r>
        <w:t>OR-Tools的可塑性有代价：取送同车和先后等需要显式建模，不能只凭API名称猜含义；返回状态与搜索限额也应原样保留。它不提供真实道路数据，不能默认保证全局最优。不同求解器无法表达的约束记unsupported，不能静默删去。</w:t>
      </w:r>
      <w:hyperlink r:id="rId58">
        <w:r>
          <w:rPr>
            <w:color w:val="264F73"/>
          </w:rPr>
          <w:t>[T02]</w:t>
        </w:r>
      </w:hyperlink>
      <w:r/>
      <w:hyperlink r:id="rId60">
        <w:r>
          <w:rPr>
            <w:color w:val="264F73"/>
          </w:rPr>
          <w:t>[T04]</w:t>
        </w:r>
      </w:hyperlink>
      <w:r/>
    </w:p>
    <w:p>
      <w:r>
        <w:t>PyVRP适合后续强基线，但版本尤其重要。v0.14.0源码已使用IteratedLocalSearch，不能仍按2024论文将当前版本称为HGS；需要Python≥3.11。稳定源码有多仓、异构profile/容量、时窗、shipment和reload等入口，自动工时休息、公平性等则标为Enterprise。主页1.0.0a0能力不能全部归给稳定免费版本。</w:t>
      </w:r>
      <w:hyperlink r:id="rId61">
        <w:r>
          <w:rPr>
            <w:color w:val="264F73"/>
          </w:rPr>
          <w:t>[T05]</w:t>
        </w:r>
      </w:hyperlink>
      <w:r/>
      <w:hyperlink r:id="rId62">
        <w:r>
          <w:rPr>
            <w:color w:val="264F73"/>
          </w:rPr>
          <w:t>[T06]</w:t>
        </w:r>
      </w:hyperlink>
      <w:r/>
      <w:hyperlink r:id="rId63">
        <w:r>
          <w:rPr>
            <w:color w:val="264F73"/>
          </w:rPr>
          <w:t>[T07]</w:t>
        </w:r>
      </w:hyperlink>
      <w:r/>
    </w:p>
    <w:p>
      <w:r>
        <w:t>VROOM更接近道路配送JSON服务：容量、技能、班次/休息、时窗、shipment和自定义矩阵较现成。v1.15.0要求C++20且发行CI使用更新工具链，Ubuntu22.04默认环境不算已验证开箱即用。返回code=0也可能有unassigned；plan模式会软化约束，其violations不是独立checker。</w:t>
      </w:r>
      <w:hyperlink r:id="rId64">
        <w:r>
          <w:rPr>
            <w:color w:val="264F73"/>
          </w:rPr>
          <w:t>[T08]</w:t>
        </w:r>
      </w:hyperlink>
      <w:r/>
      <w:hyperlink r:id="rId65">
        <w:r>
          <w:rPr>
            <w:color w:val="264F73"/>
          </w:rPr>
          <w:t>[T09]</w:t>
        </w:r>
      </w:hyperlink>
      <w:r/>
    </w:p>
    <w:p>
      <w:r>
        <w:t>没有本项目同约束同预算测试，不能给这三者速度与质量总排名。建议以覆盖明确的A0为主，另外保留传统HGS固定实现和适当PyVRP版本作研究对照；把历史论文基线版本与拟实施新版本写清，避免版本升级悄悄改变结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4032"/>
        <w:gridCol w:w="4104"/>
      </w:tblGrid>
      <w:tr>
        <w:trPr>
          <w:cantSplit/>
          <w:tblHeader/>
        </w:trPr>
        <w:tc>
          <w:tcPr>
            <w:tcW w:type="dxa" w:w="1944"/>
            <w:vAlign w:val="center"/>
            <w:shd w:fill="28485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color w:val="FFFFFF"/>
                <w:sz w:val="18"/>
              </w:rPr>
              <w:t>候选</w:t>
            </w:r>
          </w:p>
        </w:tc>
        <w:tc>
          <w:tcPr>
            <w:tcW w:type="dxa" w:w="4032"/>
            <w:vAlign w:val="center"/>
            <w:shd w:fill="28485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color w:val="FFFFFF"/>
                <w:sz w:val="18"/>
              </w:rPr>
              <w:t>许可与环境</w:t>
            </w:r>
          </w:p>
        </w:tc>
        <w:tc>
          <w:tcPr>
            <w:tcW w:type="dxa" w:w="4104"/>
            <w:vAlign w:val="center"/>
            <w:shd w:fill="28485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color w:val="FFFFFF"/>
                <w:sz w:val="18"/>
              </w:rPr>
              <w:t>当前取舍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000000"/>
                <w:sz w:val="18"/>
              </w:rPr>
              <w:t>OR-Tools9.15</w:t>
            </w:r>
          </w:p>
        </w:tc>
        <w:tc>
          <w:tcPr>
            <w:tcW w:type="dxa" w:w="403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000000"/>
                <w:sz w:val="18"/>
              </w:rPr>
              <w:t>Apache2.0；Python≥3.9</w:t>
            </w:r>
          </w:p>
        </w:tc>
        <w:tc>
          <w:tcPr>
            <w:tcW w:type="dxa" w:w="410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000000"/>
                <w:sz w:val="18"/>
              </w:rPr>
              <w:t>首版通用建模骨架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000000"/>
                <w:sz w:val="18"/>
              </w:rPr>
              <w:t>PyVRP0.14</w:t>
            </w:r>
          </w:p>
        </w:tc>
        <w:tc>
          <w:tcPr>
            <w:tcW w:type="dxa" w:w="4032"/>
            <w:vAlign w:val="center"/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000000"/>
                <w:sz w:val="18"/>
              </w:rPr>
              <w:t>MIT；Python≥3.11；ILS</w:t>
            </w:r>
          </w:p>
        </w:tc>
        <w:tc>
          <w:tcPr>
            <w:tcW w:type="dxa" w:w="4104"/>
            <w:vAlign w:val="center"/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000000"/>
                <w:sz w:val="18"/>
              </w:rPr>
              <w:t>强基线候选；先测新API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000000"/>
                <w:sz w:val="18"/>
              </w:rPr>
              <w:t>VROOM1.15</w:t>
            </w:r>
          </w:p>
        </w:tc>
        <w:tc>
          <w:tcPr>
            <w:tcW w:type="dxa" w:w="403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000000"/>
                <w:sz w:val="18"/>
              </w:rPr>
              <w:t>BSD2；C++20</w:t>
            </w:r>
          </w:p>
        </w:tc>
        <w:tc>
          <w:tcPr>
            <w:tcW w:type="dxa" w:w="410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000000"/>
                <w:sz w:val="18"/>
              </w:rPr>
              <w:t>道路配送集成备选</w:t>
            </w:r>
          </w:p>
        </w:tc>
      </w:tr>
    </w:tbl>
    <w:p>
      <w:pPr>
        <w:spacing w:after="20"/>
      </w:pPr>
    </w:p>
    <w:p>
      <w:pPr>
        <w:pStyle w:val="Heading1"/>
      </w:pPr>
      <w:r>
        <w:t>14  路由引擎与呈现层各司其职</w:t>
      </w:r>
    </w:p>
    <w:p>
      <w:r>
        <w:t>小规模首版优先TypeScript/SVG米制地图；SVG便于任务点点击、路线箭头和证据定位，密集格子再考虑Canvas。真实路网分支可用VROOM1.15.0＋OSRM26.10.0固定区域快照＋Leaflet1.9.4。OSRM的route按给定顺序寻路、table产矩阵、trip做途经点排序，均不能自动承担容量和时窗下的多车分工。</w:t>
      </w:r>
      <w:hyperlink r:id="rId66">
        <w:r>
          <w:rPr>
            <w:color w:val="264F73"/>
          </w:rPr>
          <w:t>[T10]</w:t>
        </w:r>
      </w:hyperlink>
      <w:r/>
      <w:hyperlink r:id="rId67">
        <w:r>
          <w:rPr>
            <w:color w:val="264F73"/>
          </w:rPr>
          <w:t>[T11]</w:t>
        </w:r>
      </w:hyperlink>
      <w:r/>
      <w:hyperlink r:id="rId68">
        <w:r>
          <w:rPr>
            <w:color w:val="264F73"/>
          </w:rPr>
          <w:t>[T16]</w:t>
        </w:r>
      </w:hyperlink>
      <w:r/>
    </w:p>
    <w:p>
      <w:r>
        <w:t>Valhalla适合动态costing与路线/矩阵，但optimized_route是单路线排序；时间依赖矩阵也有模式和条件限制。GraphHopper本地开源路由引擎与其商业Matrix/Route Optimization服务应分开，不能把托管优化能力当成本地安装已经拥有。</w:t>
      </w:r>
      <w:hyperlink r:id="rId69">
        <w:r>
          <w:rPr>
            <w:color w:val="264F73"/>
          </w:rPr>
          <w:t>[T12]</w:t>
        </w:r>
      </w:hyperlink>
      <w:r/>
      <w:hyperlink r:id="rId70">
        <w:r>
          <w:rPr>
            <w:color w:val="264F73"/>
          </w:rPr>
          <w:t>[T13]</w:t>
        </w:r>
      </w:hyperlink>
      <w:r/>
      <w:hyperlink r:id="rId71">
        <w:r>
          <w:rPr>
            <w:color w:val="264F73"/>
          </w:rPr>
          <w:t>[T14]</w:t>
        </w:r>
      </w:hyperlink>
      <w:r/>
      <w:hyperlink r:id="rId72">
        <w:r>
          <w:rPr>
            <w:color w:val="264F73"/>
          </w:rPr>
          <w:t>[T15]</w:t>
        </w:r>
      </w:hyperlink>
      <w:r/>
    </w:p>
    <w:p>
      <w:r>
        <w:t>地图层按需求选择：Leaflet适合轻量2D和GeoJSON；MapLibre适合矢量瓦片与复杂分层，但不含底图、地理编码和求解；deck.gl适合大规模点和轨迹展示，几十任务不必默认引入GPU复杂度；React Flow适合流程节点，不天然带有米制距离或通行语义。手机采用地图/任务/结果切换，保留表格回退，后续再实际测试触控、弱网与WebGL。</w:t>
      </w:r>
      <w:hyperlink r:id="rId68">
        <w:r>
          <w:rPr>
            <w:color w:val="264F73"/>
          </w:rPr>
          <w:t>[T16]</w:t>
        </w:r>
      </w:hyperlink>
      <w:r/>
      <w:hyperlink r:id="rId73">
        <w:r>
          <w:rPr>
            <w:color w:val="264F73"/>
          </w:rPr>
          <w:t>[T17]</w:t>
        </w:r>
      </w:hyperlink>
      <w:r/>
      <w:hyperlink r:id="rId74">
        <w:r>
          <w:rPr>
            <w:color w:val="264F73"/>
          </w:rPr>
          <w:t>[T18]</w:t>
        </w:r>
      </w:hyperlink>
      <w:r/>
      <w:hyperlink r:id="rId75">
        <w:r>
          <w:rPr>
            <w:color w:val="264F73"/>
          </w:rPr>
          <w:t>[T19]</w:t>
        </w:r>
      </w:hyperlink>
      <w:r/>
    </w:p>
    <w:p>
      <w:r>
        <w:t>成熟开源示例可借鉴交互，但不可直接当性能证据。VROOM前端展示请求与地图配合；Google Fleet Routing App展示表单、任务表与地图联动，官方定位为探索用途，即使本地运行仍可能产生API费用。此次没有启用计费或上传私人任务到公有demo。</w:t>
      </w:r>
      <w:hyperlink r:id="rId76">
        <w:r>
          <w:rPr>
            <w:color w:val="264F73"/>
          </w:rPr>
          <w:t>[T20]</w:t>
        </w:r>
      </w:hyperlink>
      <w:r/>
      <w:hyperlink r:id="rId77">
        <w:r>
          <w:rPr>
            <w:color w:val="264F73"/>
          </w:rPr>
          <w:t>[T21]</w:t>
        </w:r>
      </w:hyperlink>
      <w:r/>
    </w:p>
    <w:p>
      <w:r>
        <w:t>离线必须同时本地化脚本、字体、瓦片和路网数据；仅网页文件本地并不等于系统离线。OSM数据许可和客户端库许可独立，标准公共瓦片禁止离线批量下载。商业API套餐的车辆/地点数、credits、税与数据外发都可能限制实验；本轮不购买、不据展示价作预算承诺。</w:t>
      </w:r>
      <w:hyperlink r:id="rId78">
        <w:r>
          <w:rPr>
            <w:color w:val="264F73"/>
          </w:rPr>
          <w:t>[T22]</w:t>
        </w:r>
      </w:hyperlink>
      <w:r/>
      <w:hyperlink r:id="rId72">
        <w:r>
          <w:rPr>
            <w:color w:val="264F73"/>
          </w:rPr>
          <w:t>[T15]</w:t>
        </w:r>
      </w:hyperlink>
      <w: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4032"/>
        <w:gridCol w:w="4104"/>
      </w:tblGrid>
      <w:tr>
        <w:trPr>
          <w:cantSplit/>
          <w:tblHeader/>
        </w:trPr>
        <w:tc>
          <w:tcPr>
            <w:tcW w:type="dxa" w:w="1944"/>
            <w:vAlign w:val="center"/>
            <w:shd w:fill="28485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color w:val="FFFFFF"/>
                <w:sz w:val="18"/>
              </w:rPr>
              <w:t>层</w:t>
            </w:r>
          </w:p>
        </w:tc>
        <w:tc>
          <w:tcPr>
            <w:tcW w:type="dxa" w:w="4032"/>
            <w:vAlign w:val="center"/>
            <w:shd w:fill="28485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color w:val="FFFFFF"/>
                <w:sz w:val="18"/>
              </w:rPr>
              <w:t>推荐或候选</w:t>
            </w:r>
          </w:p>
        </w:tc>
        <w:tc>
          <w:tcPr>
            <w:tcW w:type="dxa" w:w="4104"/>
            <w:vAlign w:val="center"/>
            <w:shd w:fill="28485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color w:val="FFFFFF"/>
                <w:sz w:val="18"/>
              </w:rPr>
              <w:t>验收重点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000000"/>
                <w:sz w:val="18"/>
              </w:rPr>
              <w:t>编辑</w:t>
            </w:r>
          </w:p>
        </w:tc>
        <w:tc>
          <w:tcPr>
            <w:tcW w:type="dxa" w:w="403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000000"/>
                <w:sz w:val="18"/>
              </w:rPr>
              <w:t>SVG优先；Canvas按规模</w:t>
            </w:r>
          </w:p>
        </w:tc>
        <w:tc>
          <w:tcPr>
            <w:tcW w:type="dxa" w:w="410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000000"/>
                <w:sz w:val="18"/>
              </w:rPr>
              <w:t>真实单位、稳定ID、改动使旧解失效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000000"/>
                <w:sz w:val="18"/>
              </w:rPr>
              <w:t>路网</w:t>
            </w:r>
          </w:p>
        </w:tc>
        <w:tc>
          <w:tcPr>
            <w:tcW w:type="dxa" w:w="4032"/>
            <w:vAlign w:val="center"/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000000"/>
                <w:sz w:val="18"/>
              </w:rPr>
              <w:t>固定OSRM；Valhalla备选</w:t>
            </w:r>
          </w:p>
        </w:tc>
        <w:tc>
          <w:tcPr>
            <w:tcW w:type="dxa" w:w="4104"/>
            <w:vAlign w:val="center"/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000000"/>
                <w:sz w:val="18"/>
              </w:rPr>
              <w:t>有向可达、车型profile、无路不补直线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000000"/>
                <w:sz w:val="18"/>
              </w:rPr>
              <w:t>地图</w:t>
            </w:r>
          </w:p>
        </w:tc>
        <w:tc>
          <w:tcPr>
            <w:tcW w:type="dxa" w:w="403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000000"/>
                <w:sz w:val="18"/>
              </w:rPr>
              <w:t>Leaflet；MapLibre按需求</w:t>
            </w:r>
          </w:p>
        </w:tc>
        <w:tc>
          <w:tcPr>
            <w:tcW w:type="dxa" w:w="410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000000"/>
                <w:sz w:val="18"/>
              </w:rPr>
              <w:t>来源/许可、坐标顺序、手机回退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000000"/>
                <w:sz w:val="18"/>
              </w:rPr>
              <w:t>科研结果</w:t>
            </w:r>
          </w:p>
        </w:tc>
        <w:tc>
          <w:tcPr>
            <w:tcW w:type="dxa" w:w="4032"/>
            <w:vAlign w:val="center"/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000000"/>
                <w:sz w:val="18"/>
              </w:rPr>
              <w:t>任务表＋路线＋时间轴</w:t>
            </w:r>
          </w:p>
        </w:tc>
        <w:tc>
          <w:tcPr>
            <w:tcW w:type="dxa" w:w="4104"/>
            <w:vAlign w:val="center"/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000000"/>
                <w:sz w:val="18"/>
              </w:rPr>
              <w:t>同输入对照、失败分母、可追溯日志</w:t>
            </w:r>
          </w:p>
        </w:tc>
      </w:tr>
    </w:tbl>
    <w:p>
      <w:pPr>
        <w:spacing w:after="20"/>
      </w:pPr>
    </w:p>
    <w:p>
      <w:pPr>
        <w:pStyle w:val="Heading1"/>
      </w:pPr>
      <w:r>
        <w:t>15  四路线的实验矩阵</w:t>
      </w:r>
    </w:p>
    <w:p>
      <w:r>
        <w:t>主实验至少分两条输入轨：优化轨直接给所有组同一份人工gold TaskSpec，隔离求解能力；端到端轨再加入自然语言解析和编辑成本，测系统总成功率。若把A组给正确结构化数据、C/D组给模糊文本，却只比较终点成本，无法知道差异来自解析还是求解。</w:t>
      </w:r>
    </w:p>
    <w:p>
      <w:r>
        <w:t>所有组使用同任务、同成本矩阵、同硬约束和目标顺序、相同可获得信息及预算规则。固定基线必须是适配正确的成熟求解器，简单最近邻仅作弱基线。对工具不支持的约束，记录不支持或另建共同子集，不能悄悄删掉约束让它参赛。</w:t>
      </w:r>
    </w:p>
    <w:p>
      <w:r>
        <w:t>生成代码还应拆成D0与D1。D0只是生成调用同一固定后端的适配代码，测建模和接口；D1在受信框架内产生新算子，才是算法设计。自由生成完整算法D2放后期探索。LLM直接路线若调用了外部求解器，就已经不属于严格C组。</w:t>
      </w:r>
    </w:p>
    <w:p>
      <w:r>
        <w:t>完整矩阵和拟议预算见experiment_matrix.csv及research_protocol.json。它们是预注册草案，不是已经完成的实验。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4032"/>
        <w:gridCol w:w="4104"/>
      </w:tblGrid>
      <w:tr>
        <w:trPr>
          <w:cantSplit/>
          <w:tblHeader/>
        </w:trPr>
        <w:tc>
          <w:tcPr>
            <w:tcW w:type="dxa" w:w="1944"/>
            <w:vAlign w:val="center"/>
            <w:shd w:fill="28485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color w:val="FFFFFF"/>
                <w:sz w:val="18"/>
              </w:rPr>
              <w:t>主组</w:t>
            </w:r>
          </w:p>
        </w:tc>
        <w:tc>
          <w:tcPr>
            <w:tcW w:type="dxa" w:w="4032"/>
            <w:vAlign w:val="center"/>
            <w:shd w:fill="28485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color w:val="FFFFFF"/>
                <w:sz w:val="18"/>
              </w:rPr>
              <w:t>真实输出</w:t>
            </w:r>
          </w:p>
        </w:tc>
        <w:tc>
          <w:tcPr>
            <w:tcW w:type="dxa" w:w="4104"/>
            <w:vAlign w:val="center"/>
            <w:shd w:fill="28485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color w:val="FFFFFF"/>
                <w:sz w:val="18"/>
              </w:rPr>
              <w:t>关键比较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000000"/>
                <w:sz w:val="18"/>
              </w:rPr>
              <w:t>A 固定算法</w:t>
            </w:r>
          </w:p>
        </w:tc>
        <w:tc>
          <w:tcPr>
            <w:tcW w:type="dxa" w:w="403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000000"/>
                <w:sz w:val="18"/>
              </w:rPr>
              <w:t>冻结成熟求解器的路线</w:t>
            </w:r>
          </w:p>
        </w:tc>
        <w:tc>
          <w:tcPr>
            <w:tcW w:type="dxa" w:w="410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000000"/>
                <w:sz w:val="18"/>
              </w:rPr>
              <w:t>强基线；弱基线另外保留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000000"/>
                <w:sz w:val="18"/>
              </w:rPr>
              <w:t>B 算法选择</w:t>
            </w:r>
          </w:p>
        </w:tc>
        <w:tc>
          <w:tcPr>
            <w:tcW w:type="dxa" w:w="4032"/>
            <w:vAlign w:val="center"/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000000"/>
                <w:sz w:val="18"/>
              </w:rPr>
              <w:t>冻结池中的一个算法</w:t>
            </w:r>
          </w:p>
        </w:tc>
        <w:tc>
          <w:tcPr>
            <w:tcW w:type="dxa" w:w="4104"/>
            <w:vAlign w:val="center"/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000000"/>
                <w:sz w:val="18"/>
              </w:rPr>
              <w:t>SBS、VBS及跑全池对照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000000"/>
                <w:sz w:val="18"/>
              </w:rPr>
              <w:t>C 直接路线</w:t>
            </w:r>
          </w:p>
        </w:tc>
        <w:tc>
          <w:tcPr>
            <w:tcW w:type="dxa" w:w="403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000000"/>
                <w:sz w:val="18"/>
              </w:rPr>
              <w:t>车辆对应任务ID序列</w:t>
            </w:r>
          </w:p>
        </w:tc>
        <w:tc>
          <w:tcPr>
            <w:tcW w:type="dxa" w:w="410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000000"/>
                <w:sz w:val="18"/>
              </w:rPr>
              <w:t>单次与有限反馈分开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000000"/>
                <w:sz w:val="18"/>
              </w:rPr>
              <w:t>D 生成代码</w:t>
            </w:r>
          </w:p>
        </w:tc>
        <w:tc>
          <w:tcPr>
            <w:tcW w:type="dxa" w:w="4032"/>
            <w:vAlign w:val="center"/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000000"/>
                <w:sz w:val="18"/>
              </w:rPr>
              <w:t>适配代码或受限算子</w:t>
            </w:r>
          </w:p>
        </w:tc>
        <w:tc>
          <w:tcPr>
            <w:tcW w:type="dxa" w:w="4104"/>
            <w:vAlign w:val="center"/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000000"/>
                <w:sz w:val="18"/>
              </w:rPr>
              <w:t>D0接口正确性与D1设计收益分开</w:t>
            </w:r>
          </w:p>
        </w:tc>
      </w:tr>
    </w:tbl>
    <w:p>
      <w:pPr>
        <w:spacing w:after="20"/>
      </w:pPr>
    </w:p>
    <w:p>
      <w:pPr>
        <w:pStyle w:val="Heading1"/>
      </w:pPr>
      <w:r>
        <w:t>16  预算与分布外协议决定结论能否成立</w:t>
      </w:r>
    </w:p>
    <w:p>
      <w:r>
        <w:t>先固定线上预算，再单列离线成本。建议CPU主轨取1、10、60秒几个档位，以烟测确认任务规模后预注册；不要让LLM组超时继续想、固定组却硬截断。LLM线上时间从拿到完整输入算起，包含服务等待、重试、编译与运行；网络时间可额外拆分，但不能从端到端体验里消失。</w:t>
      </w:r>
    </w:p>
    <w:p>
      <w:r>
        <w:t>离线成本含每次模型请求、输入输出token、实际价格或套餐计量、候选生成/失败数量、所有评估CPU或GPU秒、人工调试以及验证集调参。已生成的算子部署时可能很便宜，但须报告用多少未来任务才能摊平发现投入。并行墙钟时间和总资源消耗分别给出，不能用更多核心掩盖成本。</w:t>
      </w:r>
    </w:p>
    <w:p>
      <w:r>
        <w:t>测试至少分五层：同家族新seed、未见规模、未见生成器家族、未见城市/路网、未见约束组合。由同一父实例缩放、旋转或重采样出来的兄弟样本要整组划分，避免一个进训练、另一个进测试。既要公开标准基准便于比较，也要保留真正未曝光的终测集。</w:t>
      </w:r>
      <w:hyperlink r:id="rId79">
        <w:r>
          <w:rPr>
            <w:color w:val="264F73"/>
          </w:rPr>
          <w:t>[N14]</w:t>
        </w:r>
      </w:hyperlink>
      <w:r/>
      <w:hyperlink r:id="rId80">
        <w:r>
          <w:rPr>
            <w:color w:val="264F73"/>
          </w:rPr>
          <w:t>[N16]</w:t>
        </w:r>
      </w:hyperlink>
      <w:r/>
      <w:hyperlink r:id="rId81">
        <w:r>
          <w:rPr>
            <w:color w:val="264F73"/>
          </w:rPr>
          <w:t>[N29]</w:t>
        </w:r>
      </w:hyperlink>
      <w:r/>
    </w:p>
    <w:p>
      <w:r>
        <w:t>初始方案可用每实例至少5个独立求解seed和多个代码发现seed，但最终数量应按方差和预算确定。统计单位是独立实例，不是把同例的5次运行当5个全新任务。报告配对差异、按家族与实例分层的置信区间、最坏家族退化和预算性能曲线；预先规定主比较，避免跑完再挑胜出的档位。</w:t>
      </w:r>
    </w:p>
    <w:p>
      <w:r>
        <w:t>主指标先报告全尝试可行率，再报告可行条件下gap和“可行且达到预定质量阈值”的联合成功率。API失败、格式失败、超时和不可行都留在总分母里。不能只给成功样本平均路线长度。无最优证书时用BKS-gap或参照固定基线的相对差，并明确参考不是理论最优。</w:t>
      </w:r>
    </w:p>
    <w:p>
      <w:pPr>
        <w:pStyle w:val="Heading1"/>
      </w:pPr>
      <w:r>
        <w:t>17  独立校验需要两层隔离和反例测试</w:t>
      </w:r>
    </w:p>
    <w:p>
      <w:r>
        <w:t>运行隔离与逻辑独立是两回事。一个checker即使在单独进程里，如果复制了优化器的错误载重公式，仍可能共同出错。评价器应依据书面的任务合同独立实现，不能让候选程序修改，也不能把终测标签、参考目标和隐藏用例暴露给生成器。</w:t>
      </w:r>
      <w:hyperlink r:id="rId79">
        <w:r>
          <w:rPr>
            <w:color w:val="264F73"/>
          </w:rPr>
          <w:t>[N14]</w:t>
        </w:r>
      </w:hyperlink>
      <w:r/>
      <w:hyperlink r:id="rId82">
        <w:r>
          <w:rPr>
            <w:color w:val="264F73"/>
          </w:rPr>
          <w:t>[N15]</w:t>
        </w:r>
      </w:hyperlink>
      <w:r/>
      <w:hyperlink r:id="rId80">
        <w:r>
          <w:rPr>
            <w:color w:val="264F73"/>
          </w:rPr>
          <w:t>[N16]</w:t>
        </w:r>
      </w:hyperlink>
      <w:r/>
    </w:p>
    <w:p>
      <w:r>
        <w:t>校验顺序建议是：结构与ID合法 → 必做任务恰好服务一次 → 车辆资格与起终点 → 路网有向可达 → 载重沿路线变化 → 取送配对和先后 → 时间传播、等待和服务 → 时窗与班次 → 其余声明硬约束 → 独立重算目标。对选择性服务任务，必须按同一个惩罚或收益定义算目标，不能把未服务点抹掉。</w:t>
      </w:r>
    </w:p>
    <w:p>
      <w:r>
        <w:t>同一个问题类型还需要校验器的测试。用极小实例枚举或可信精确模型建立答案；故意重复一个点、漏一个点、交换取送、跨容量、超时窗端点、使用不可达边，确保全部被拒绝。加入任务重命名/输入顺序打乱的等价性测试、零需求、同坐标、NaN/无穷大、负值和非常大的单位边界。</w:t>
      </w:r>
    </w:p>
    <w:p>
      <w:r>
        <w:t>解可行并不能替代语义正确。端到端轨还应检查TaskSpec是否与人工gold约束一致；新增“必须同车”却没有改变模型，应直接判语义失败。对于真实道路，矩阵和显示路径来自同一图版本/车辆profile；若地图更新，旧矩阵和旧路线不能混用。对于动态任务，保留当时可见信息，不能让算法提前看到未来订单。</w:t>
      </w:r>
    </w:p>
    <w:p>
      <w:r>
        <w:t>模型之间交叉审阅可用来提出问题，但不能作为通过标准。最终接受由受信程序、数据来源核验和必要的人类语义审查决定。应保存每项校验结果、violations、输入hash、解hash、checker版本和重算目标，以便未来换模型或求解器时仍能追溯同一事实。</w:t>
      </w:r>
    </w:p>
    <w:p>
      <w:pPr>
        <w:pStyle w:val="Heading1"/>
      </w:pPr>
      <w:r>
        <w:t>18  失败状态与生成代码的安全边界</w:t>
      </w:r>
    </w:p>
    <w:p>
      <w:r>
        <w:t>系统要准确区分四种状态：输入不足或歧义、求解器不支持、预算内未找到可行解、已证明不可行。启发式超时不代表问题数学上无解；“无解”与“没找到”混写会误导用户的业务决策。若确有证明，保留证明/solver状态；若只能分析冲突，给出可能相关的约束而不冒充最小不可满足集合。</w:t>
      </w:r>
    </w:p>
    <w:p>
      <w:r>
        <w:t>可视化必须把未分配任务、失败车辆和违反约束显示出来。用户可以调整任务或预算重新运行，但系统不得擅自把硬约束降成软约束以便画出一张完整图。若实验专门研究松弛，应另设场景并清楚展示松弛量与代价。</w:t>
      </w:r>
    </w:p>
    <w:p>
      <w:r>
        <w:t>LLM生成代码按不可信程序处理：无网络、无凭证、只读实例、可写临时输出、CPU/内存/进程数/墙钟限额；禁止读取隐藏参考、访问其他实验目录、动态安装包和修改计时器或checker。候选代码、依赖白名单与最终冻结hash必须记录。正常的语法/运行错误可以在同一授权预算里修复；越权请求不能通过换工具绕开。</w:t>
      </w:r>
      <w:hyperlink r:id="rId80">
        <w:r>
          <w:rPr>
            <w:color w:val="264F73"/>
          </w:rPr>
          <w:t>[N16]</w:t>
        </w:r>
      </w:hyperlink>
      <w:r/>
    </w:p>
    <w:p>
      <w:r>
        <w:t>任务文本、地图属性和文件内容也可能包含与求解无关的指令。将其视为数据，结构化提取只接受白名单字段，禁止把原始文本直接插入shell。控制界面中每一次外部动作都应与研究任务分离，防止论文示例代码或网页README指令自动触发付费调用、账户操作和部署。</w:t>
      </w:r>
    </w:p>
    <w:p>
      <w:r>
        <w:t>本次阶段仅做调研与交付，不启动新的付费调用、新API密钥或部署。后续科研实验继续沿已授权账号与受限数据范围执行；源码、结果、日志和许可证清单分别保留，避免把密钥和无关文件带入科研归档。</w:t>
      </w:r>
    </w:p>
    <w:p>
      <w:pPr>
        <w:pStyle w:val="Heading1"/>
      </w:pPr>
      <w:r>
        <w:t>19  项目内新证据怎样影响架构</w:t>
      </w:r>
    </w:p>
    <w:p>
      <w:r>
        <w:t>最新CVRP规模扩展在16个同生成器新几何上完成384条轨迹与768个检查点。160000 delta预算下，预定random_regret2对random_cheapest的配对改善0.3575%，几何块bootstrap 95%区间为0.2737%至0.4524%。但n200在40000预算时四法都未改善初始化，160000时random_regret2仍有21/48条未完成一轮。这支持预算校准，不支持“规模性能充分”或LLM价值。</w:t>
      </w:r>
      <w:r>
        <w:t>[P01]</w:t>
      </w:r>
      <w:r/>
    </w:p>
    <w:p>
      <w:r>
        <w:t>几何组件实验提供了另一条重要证据：24个合成底图、固定7个服务位姿、三个转弯半径共72例，欧氏顺序后补Dubins连接有65例可行，直接优化可行候选图有67例可行；共同65例前者平均长18.94%。这提示车辆几何若改变边代价与可行性，应在排序前进入模型，不能事后只把折线画圆滑。</w:t>
      </w:r>
      <w:r>
        <w:t>[P02]</w:t>
      </w:r>
      <w:r/>
    </w:p>
    <w:p>
      <w:r>
        <w:t>图中的红虚线是越出边界的候选，不是可接受路线。这里的最优/无解只针对六类Dubins连接候选组成的有限图，五例无tour不等于连续物理空间全局无路。本实验没有多车分配、容量、车身碰撞、加速度或转向速率；可以支撑组件设计，不能升级为农机实车效果。</w:t>
      </w:r>
      <w:r>
        <w:t>[P02]</w:t>
      </w:r>
      <w:r/>
    </w:p>
    <w:p>
      <w:r>
        <w:t>本轮调研读取了现成报告和此图，没有重跑这些试验或独立复核全部原始数据。统计单位、数据和预算口径均沿用原报告；后续集成到VRP前，仍需重新验证多车约束与路径成本接口。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400800" cy="33604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nent_route_exampl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60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项目内合成几何组件实例  固定服务位姿及R等于6米  左为欧氏排序后的连接失败  右为有限可行Dubins图中的最优顺序  非真实地图和实车实验</w:t>
      </w:r>
    </w:p>
    <w:p>
      <w:pPr>
        <w:pStyle w:val="Heading1"/>
      </w:pPr>
      <w:r>
        <w:t>20  分阶段落地和明确停止条件</w:t>
      </w:r>
    </w:p>
    <w:p>
      <w:r>
        <w:t>第一阶段先把问题合同和固定闭环做对。选定点任务CVRP及一个明确扩展，如静态时窗；准备人工核验的小例、标准基准与失败反例。用可编辑地图、任务表和固定求解器完成“改一项→重算→独立验证→导出”的闭环。通过条件是所有声明约束都进入schema、适配器、checker和界面，不能只有happy path。</w:t>
      </w:r>
    </w:p>
    <w:p>
      <w:r>
        <w:t>第二阶段冻结研究底座。确定强基线和版本、数据分割、计时计费、随机种子、失败分类、源码与结果hash。先跑无LLM的小规模烟测确认指标与边界，再允许四组正式比较。没有可用独立checker或无法隔离终测时，停止扩大样本，不用更多模型调用掩盖协议缺陷。</w:t>
      </w:r>
    </w:p>
    <w:p>
      <w:r>
        <w:t>第三阶段测自然语言接口。构建人工gold中文任务规格与语义扰动集，比较模板抽取、LLM结构化输出和检索辅助。收益看完整约束提取、错误默认率、编辑次数和端到端成功率。若只是句子更漂亮而没有减少错误或操作成本，不算系统贡献。</w:t>
      </w:r>
    </w:p>
    <w:p>
      <w:r>
        <w:t>第四阶段做局部算法设计。优先一个接口和一个主问题族，先比较固定专家算子、无反思生成、随机/参数搜索及EoH/ReEvo类搜索。只有在隐藏测试集、多个发现seed及完整成本下出现稳定实用收益，才扩展更多家族或更自由代码。失败结论同样保留，避免从几十条候选中只讲幸运的一条。</w:t>
      </w:r>
    </w:p>
    <w:p>
      <w:r>
        <w:t>选择器采用独立闸门：互补空间足够、实际选择超过SBS、尾部可控、拒绝回退有真实证据，四项都满足才进入默认链。若未通过，保持SBS不影响产品首版完成。3D演示、机器人避碰、实时重规划和复杂农业覆盖均在前述闭环稳定以后单独立项。</w:t>
      </w:r>
    </w:p>
    <w:p>
      <w:r>
        <w:t>对本科项目，最可信的论文主线可定为“自然语言驱动的可编辑多车任务建模与独立验证平台”，再用四路线公平实验回答LLM在哪个环节有可测价值。若D1真正产生新收益，再把论文重心提升为受约束自动启发式设计；不能在结果出现前先把故事写成LLM全面超越传统方法。</w:t>
      </w:r>
    </w:p>
    <w:p>
      <w:pPr>
        <w:pStyle w:val="Heading1"/>
      </w:pPr>
      <w:r>
        <w:t>21  当前项目证据边界与交付清单</w:t>
      </w:r>
    </w:p>
    <w:p>
      <w:r>
        <w:t>本报告继承的项目状态是：六项CPU研究和独立审计支持保守SBS，5NN及距离门控没有通过跨家族验证；CVRP小固定池在同生成器新几何上观察到0.688%改善。它没有证明LLM价值、没有证明真实道路收益，也不能代表跨家族泛化。本次没有重新审计这六项原始运行，相关数字只作为已交接约束。</w:t>
      </w:r>
    </w:p>
    <w:p>
      <w:r>
        <w:t>原BPP132主线仍未启动新的模型调用。36模型×档位筛选已结束并归档，但它属于文本装箱代码生成的小样本筛选，不是多模态地图或VRP证据，不能据此选VRP模型赢家。BPP到CVRP是任务迁移，聊天或编程筛选到VRP可行性也是任务迁移。使用已冻结父代源码有助于可重复性，但不免除新的问题合同和测试。</w:t>
      </w:r>
    </w:p>
    <w:p>
      <w:r>
        <w:t>本轮交付包含中文可编辑报告、PDF阅读版、来源CSV/JSON、四路线实验矩阵、机器可读研究协议与任务合同草案。来源表逐条记录实际阅读深度、代码发布状态和局限；报告中的外部性能数字均是原作者或官方记录，不冒称本项目重跑结果。</w:t>
      </w:r>
    </w:p>
    <w:p>
      <w:r>
        <w:t>实施前的最后检查是：任务到底是什么、数据哪里来、哪些是假设、哪个版本在解、每个硬约束怎样验、失败怎样显示、预算怎样算、终测有没有泄漏、能否复现同一张图与同一条指标。如果这九项没有答案，继续加模型和3D效果只会增加难以定位的错误。</w:t>
      </w:r>
    </w:p>
    <w:p>
      <w:r>
        <w:t>最终建议保持不变：先完成可靠的可编辑固定求解闭环，再用公平实验决定LLM和推荐器应进入哪里。这样的系统即使某条研究假设被证伪，仍然有实际可用的成果；一旦生成算子确有收益，也能在同一证据链上被清楚验证。</w:t>
      </w:r>
    </w:p>
    <w:p>
      <w:r>
        <w:br w:type="page"/>
      </w:r>
    </w:p>
    <w:p>
      <w:pPr>
        <w:pStyle w:val="Heading1"/>
      </w:pPr>
      <w:r>
        <w:t>来源索引与阅读审计</w:t>
      </w:r>
    </w:p>
    <w:p>
      <w:pPr>
        <w:spacing w:after="200"/>
      </w:pPr>
      <w:r>
        <w:t>本轮合并83组外部证据记录及2项项目报告，共85组，包含论文、官方数据、代码、文档和登记记录，不等于85篇论文。83个主入口及其支持链接去重后共135个URL。未统计搜索引擎全部命中，不能视为穷尽检索。逐条阅读范围、代码状态、限制及访问日期见sources_all.csv。以下编号与正文引用一致。</w:t>
      </w:r>
    </w:p>
    <w:p>
      <w:pPr>
        <w:keepLines/>
        <w:spacing w:line="276" w:lineRule="auto" w:after="100"/>
      </w:pPr>
      <w:r>
        <w:rPr>
          <w:sz w:val="18"/>
        </w:rPr>
        <w:t xml:space="preserve">[N01] Mathematical discoveries from program search with large language models (2024)。原文定点核读。 </w:t>
      </w:r>
      <w:hyperlink r:id="rId17">
        <w:r>
          <w:rPr>
            <w:color w:val="264F73"/>
            <w:sz w:val="18"/>
          </w:rPr>
          <w:t>原始来源</w:t>
        </w:r>
      </w:hyperlink>
      <w:r>
        <w:rPr>
          <w:sz w:val="18"/>
        </w:rPr>
        <w:t xml:space="preserve">  官方源码/已生成启发式可见；原模型、沙箱和分布式设施不在发布中；本次未运行</w:t>
      </w:r>
    </w:p>
    <w:p>
      <w:pPr>
        <w:keepLines/>
        <w:spacing w:line="276" w:lineRule="auto" w:after="100"/>
      </w:pPr>
      <w:r>
        <w:rPr>
          <w:sz w:val="18"/>
        </w:rPr>
        <w:t xml:space="preserve">[N02] Evolution of Heuristics (2024)。原文定点核读。 </w:t>
      </w:r>
      <w:hyperlink r:id="rId24">
        <w:r>
          <w:rPr>
            <w:color w:val="264F73"/>
            <w:sz w:val="18"/>
          </w:rPr>
          <w:t>原始来源</w:t>
        </w:r>
      </w:hyperlink>
    </w:p>
    <w:p>
      <w:pPr>
        <w:keepLines/>
        <w:spacing w:line="276" w:lineRule="auto" w:after="100"/>
      </w:pPr>
      <w:r>
        <w:rPr>
          <w:sz w:val="18"/>
        </w:rPr>
        <w:t xml:space="preserve">[N03] ReEvo Large Language Models as Hyper Heuristics with Reflective Evolution (2024)。原文定点核读。 </w:t>
      </w:r>
      <w:hyperlink r:id="rId25">
        <w:r>
          <w:rPr>
            <w:color w:val="264F73"/>
            <w:sz w:val="18"/>
          </w:rPr>
          <w:t>原始来源</w:t>
        </w:r>
      </w:hyperlink>
    </w:p>
    <w:p>
      <w:pPr>
        <w:keepLines/>
        <w:spacing w:line="276" w:lineRule="auto" w:after="100"/>
      </w:pPr>
      <w:r>
        <w:rPr>
          <w:sz w:val="18"/>
        </w:rPr>
        <w:t xml:space="preserve">[N04] ARS Automatic Routing Solver with Large Language Models (2025)。原文定点核读。 </w:t>
      </w:r>
      <w:hyperlink r:id="rId23">
        <w:r>
          <w:rPr>
            <w:color w:val="264F73"/>
            <w:sz w:val="18"/>
          </w:rPr>
          <w:t>原始来源</w:t>
        </w:r>
      </w:hyperlink>
    </w:p>
    <w:p>
      <w:pPr>
        <w:keepLines/>
        <w:spacing w:line="276" w:lineRule="auto" w:after="100"/>
      </w:pPr>
      <w:r>
        <w:rPr>
          <w:sz w:val="18"/>
        </w:rPr>
        <w:t xml:space="preserve">[N05] DRoC Elevating Large Language Models for Complex Vehicle Routing via Decomposed Retrieval of Constraints (2025)。摘要及官方文档。 </w:t>
      </w:r>
      <w:hyperlink r:id="rId21">
        <w:r>
          <w:rPr>
            <w:color w:val="264F73"/>
            <w:sz w:val="18"/>
          </w:rPr>
          <w:t>原始来源</w:t>
        </w:r>
      </w:hyperlink>
    </w:p>
    <w:p>
      <w:pPr>
        <w:keepLines/>
        <w:spacing w:line="276" w:lineRule="auto" w:after="100"/>
      </w:pPr>
      <w:r>
        <w:rPr>
          <w:sz w:val="18"/>
        </w:rPr>
        <w:t xml:space="preserve">[N06] On the Limit of Language Models as Planning Formalizers (2025)。原文定点核读。 </w:t>
      </w:r>
      <w:hyperlink r:id="rId22">
        <w:r>
          <w:rPr>
            <w:color w:val="264F73"/>
            <w:sz w:val="18"/>
          </w:rPr>
          <w:t>原始来源</w:t>
        </w:r>
      </w:hyperlink>
    </w:p>
    <w:p>
      <w:pPr>
        <w:keepLines/>
        <w:spacing w:line="276" w:lineRule="auto" w:after="100"/>
      </w:pPr>
      <w:r>
        <w:rPr>
          <w:sz w:val="18"/>
        </w:rPr>
        <w:t xml:space="preserve">[N07] LLMs Cannot Plan But Can Help Planning in LLM Modulo Frameworks (2024)。原文定点核读。 </w:t>
      </w:r>
      <w:hyperlink r:id="rId84">
        <w:r>
          <w:rPr>
            <w:color w:val="264F73"/>
            <w:sz w:val="18"/>
          </w:rPr>
          <w:t>原始来源</w:t>
        </w:r>
      </w:hyperlink>
    </w:p>
    <w:p>
      <w:pPr>
        <w:keepLines/>
        <w:spacing w:line="276" w:lineRule="auto" w:after="100"/>
      </w:pPr>
      <w:r>
        <w:rPr>
          <w:sz w:val="18"/>
        </w:rPr>
        <w:t xml:space="preserve">[N08] NL4Opt Competition Formulating Optimization Problems Based on Their Natural Language Descriptions (2023)。原文定点核读。 </w:t>
      </w:r>
      <w:hyperlink r:id="rId19">
        <w:r>
          <w:rPr>
            <w:color w:val="264F73"/>
            <w:sz w:val="18"/>
          </w:rPr>
          <w:t>原始来源</w:t>
        </w:r>
      </w:hyperlink>
    </w:p>
    <w:p>
      <w:pPr>
        <w:keepLines/>
        <w:spacing w:line="276" w:lineRule="auto" w:after="100"/>
      </w:pPr>
      <w:r>
        <w:rPr>
          <w:sz w:val="18"/>
        </w:rPr>
        <w:t xml:space="preserve">[N09] OptiMUS Scalable Optimization Modeling with MILP Solvers and Large Language Models (2024)。原文定点核读。 </w:t>
      </w:r>
      <w:hyperlink r:id="rId20">
        <w:r>
          <w:rPr>
            <w:color w:val="264F73"/>
            <w:sz w:val="18"/>
          </w:rPr>
          <w:t>原始来源</w:t>
        </w:r>
      </w:hyperlink>
    </w:p>
    <w:p>
      <w:pPr>
        <w:keepLines/>
        <w:spacing w:line="276" w:lineRule="auto" w:after="100"/>
      </w:pPr>
      <w:r>
        <w:rPr>
          <w:sz w:val="18"/>
        </w:rPr>
        <w:t xml:space="preserve">[N10] OptiBench Meets ReSocratic Measure and Improve LLMs for Optimization Modeling (2025)。摘要及官方文档。 </w:t>
      </w:r>
      <w:hyperlink r:id="rId85">
        <w:r>
          <w:rPr>
            <w:color w:val="264F73"/>
            <w:sz w:val="18"/>
          </w:rPr>
          <w:t>原始来源</w:t>
        </w:r>
      </w:hyperlink>
    </w:p>
    <w:p>
      <w:pPr>
        <w:keepLines/>
        <w:spacing w:line="276" w:lineRule="auto" w:after="100"/>
      </w:pPr>
      <w:r>
        <w:rPr>
          <w:sz w:val="18"/>
        </w:rPr>
        <w:t xml:space="preserve">[N11] Large Language Models as End to end Combinatorial Optimization Solvers (2025)。原文定点核读。 </w:t>
      </w:r>
      <w:hyperlink r:id="rId11">
        <w:r>
          <w:rPr>
            <w:color w:val="264F73"/>
            <w:sz w:val="18"/>
          </w:rPr>
          <w:t>原始来源</w:t>
        </w:r>
      </w:hyperlink>
    </w:p>
    <w:p>
      <w:pPr>
        <w:keepLines/>
        <w:spacing w:line="276" w:lineRule="auto" w:after="100"/>
      </w:pPr>
      <w:r>
        <w:rPr>
          <w:sz w:val="18"/>
        </w:rPr>
        <w:t xml:space="preserve">[N12] ConstraintBench Benchmarking LLM Constraint Reasoning on Direct Optimization (2026)。原文定点核读。 </w:t>
      </w:r>
      <w:hyperlink r:id="rId12">
        <w:r>
          <w:rPr>
            <w:color w:val="264F73"/>
            <w:sz w:val="18"/>
          </w:rPr>
          <w:t>原始来源</w:t>
        </w:r>
      </w:hyperlink>
    </w:p>
    <w:p>
      <w:pPr>
        <w:keepLines/>
        <w:spacing w:line="276" w:lineRule="auto" w:after="100"/>
      </w:pPr>
      <w:r>
        <w:rPr>
          <w:sz w:val="18"/>
        </w:rPr>
        <w:t xml:space="preserve">[N13] Reasoning in a Combinatorial and Constrained World Benchmarking LLMs on Natural Language Combinatorial Optimization (2026)。原文定点核读。 </w:t>
      </w:r>
      <w:hyperlink r:id="rId13">
        <w:r>
          <w:rPr>
            <w:color w:val="264F73"/>
            <w:sz w:val="18"/>
          </w:rPr>
          <w:t>原始来源</w:t>
        </w:r>
      </w:hyperlink>
    </w:p>
    <w:p>
      <w:pPr>
        <w:keepLines/>
        <w:spacing w:line="276" w:lineRule="auto" w:after="100"/>
      </w:pPr>
      <w:r>
        <w:rPr>
          <w:sz w:val="18"/>
        </w:rPr>
        <w:t xml:space="preserve">[N14] CO Bench Benchmarking Language Model Agents in Algorithm Search for Combinatorial Optimization (2026)。原文定点核读。 </w:t>
      </w:r>
      <w:hyperlink r:id="rId79">
        <w:r>
          <w:rPr>
            <w:color w:val="264F73"/>
            <w:sz w:val="18"/>
          </w:rPr>
          <w:t>原始来源</w:t>
        </w:r>
      </w:hyperlink>
    </w:p>
    <w:p>
      <w:pPr>
        <w:keepLines/>
        <w:spacing w:line="276" w:lineRule="auto" w:after="100"/>
      </w:pPr>
      <w:r>
        <w:rPr>
          <w:sz w:val="18"/>
        </w:rPr>
        <w:t xml:space="preserve">[N15] HeuriGym An Agentic Benchmark for LLM Crafted Heuristics in Combinatorial Optimization (2026)。原文定点核读。 </w:t>
      </w:r>
      <w:hyperlink r:id="rId82">
        <w:r>
          <w:rPr>
            <w:color w:val="264F73"/>
            <w:sz w:val="18"/>
          </w:rPr>
          <w:t>原始来源</w:t>
        </w:r>
      </w:hyperlink>
    </w:p>
    <w:p>
      <w:pPr>
        <w:keepLines/>
        <w:spacing w:line="276" w:lineRule="auto" w:after="100"/>
      </w:pPr>
      <w:r>
        <w:rPr>
          <w:sz w:val="18"/>
        </w:rPr>
        <w:t xml:space="preserve">[N16] FrontierOR Benchmarking LLM Capacity for Efficient Algorithm Design in Large Scale Optimization (2026)。原文定点核读及官方文档。 </w:t>
      </w:r>
      <w:hyperlink r:id="rId80">
        <w:r>
          <w:rPr>
            <w:color w:val="264F73"/>
            <w:sz w:val="18"/>
          </w:rPr>
          <w:t>原始来源</w:t>
        </w:r>
      </w:hyperlink>
    </w:p>
    <w:p>
      <w:pPr>
        <w:keepLines/>
        <w:spacing w:line="276" w:lineRule="auto" w:after="100"/>
      </w:pPr>
      <w:r>
        <w:rPr>
          <w:sz w:val="18"/>
        </w:rPr>
        <w:t xml:space="preserve">[N17] VRPAgent LLM Driven Discovery of Heuristic Operators for Vehicle Routing Problems (2025)。原文定点核读。 </w:t>
      </w:r>
      <w:hyperlink r:id="rId14">
        <w:r>
          <w:rPr>
            <w:color w:val="264F73"/>
            <w:sz w:val="18"/>
          </w:rPr>
          <w:t>原始来源</w:t>
        </w:r>
      </w:hyperlink>
      <w:r>
        <w:rPr>
          <w:sz w:val="18"/>
        </w:rPr>
        <w:t xml:space="preserve">  官方仅early release生成启发式/样例种群；未见完整发现与评测管线；未运行</w:t>
      </w:r>
    </w:p>
    <w:p>
      <w:pPr>
        <w:keepLines/>
        <w:spacing w:line="276" w:lineRule="auto" w:after="100"/>
      </w:pPr>
      <w:r>
        <w:rPr>
          <w:sz w:val="18"/>
        </w:rPr>
        <w:t xml:space="preserve">[N18] Enhancing CVRP Solver through LLM driven Automatic Heuristic Design (2026)。原文定点核读。 </w:t>
      </w:r>
      <w:hyperlink r:id="rId15">
        <w:r>
          <w:rPr>
            <w:color w:val="264F73"/>
            <w:sz w:val="18"/>
          </w:rPr>
          <w:t>原始来源</w:t>
        </w:r>
      </w:hyperlink>
    </w:p>
    <w:p>
      <w:pPr>
        <w:keepLines/>
        <w:spacing w:line="276" w:lineRule="auto" w:after="100"/>
      </w:pPr>
      <w:r>
        <w:rPr>
          <w:sz w:val="18"/>
        </w:rPr>
        <w:t xml:space="preserve">[N19] PyVRP Plus LLM Driven Metacognitive Heuristic Evolution (2026)。原文定点核读。 </w:t>
      </w:r>
      <w:hyperlink r:id="rId18">
        <w:r>
          <w:rPr>
            <w:color w:val="264F73"/>
            <w:sz w:val="18"/>
          </w:rPr>
          <w:t>原始来源</w:t>
        </w:r>
      </w:hyperlink>
      <w:r>
        <w:rPr>
          <w:sz w:val="18"/>
        </w:rPr>
        <w:t xml:space="preserve">  2026-10-07查看仅README占位与1次提交；不是可复现完整实现</w:t>
      </w:r>
    </w:p>
    <w:p>
      <w:pPr>
        <w:keepLines/>
        <w:spacing w:line="276" w:lineRule="auto" w:after="100"/>
      </w:pPr>
      <w:r>
        <w:rPr>
          <w:sz w:val="18"/>
        </w:rPr>
        <w:t xml:space="preserve">[N20] G LNS Generative Large Neighborhood Search for LLM Based Automatic Heuristic Design (2026)。原文概览。 </w:t>
      </w:r>
      <w:hyperlink r:id="rId86">
        <w:r>
          <w:rPr>
            <w:color w:val="264F73"/>
            <w:sz w:val="18"/>
          </w:rPr>
          <w:t>原始来源</w:t>
        </w:r>
      </w:hyperlink>
    </w:p>
    <w:p>
      <w:pPr>
        <w:keepLines/>
        <w:spacing w:line="276" w:lineRule="auto" w:after="100"/>
      </w:pPr>
      <w:r>
        <w:rPr>
          <w:sz w:val="18"/>
        </w:rPr>
        <w:t xml:space="preserve">[N21] AlphaEvolve A coding agent for scientific and algorithmic discovery (2025)。原文概览。 </w:t>
      </w:r>
      <w:hyperlink r:id="rId29">
        <w:r>
          <w:rPr>
            <w:color w:val="264F73"/>
            <w:sz w:val="18"/>
          </w:rPr>
          <w:t>原始来源</w:t>
        </w:r>
      </w:hyperlink>
    </w:p>
    <w:p>
      <w:pPr>
        <w:keepLines/>
        <w:spacing w:line="276" w:lineRule="auto" w:after="100"/>
      </w:pPr>
      <w:r>
        <w:rPr>
          <w:sz w:val="18"/>
        </w:rPr>
        <w:t xml:space="preserve">[N22] EoH S Evolution of Heuristic Set Using LLMs for Automated Heuristic Design (2026)。原文定点核读。 </w:t>
      </w:r>
      <w:hyperlink r:id="rId27">
        <w:r>
          <w:rPr>
            <w:color w:val="264F73"/>
            <w:sz w:val="18"/>
          </w:rPr>
          <w:t>原始来源</w:t>
        </w:r>
      </w:hyperlink>
    </w:p>
    <w:p>
      <w:pPr>
        <w:keepLines/>
        <w:spacing w:line="276" w:lineRule="auto" w:after="100"/>
      </w:pPr>
      <w:r>
        <w:rPr>
          <w:sz w:val="18"/>
        </w:rPr>
        <w:t xml:space="preserve">[N23] Large Language Model Enhanced Algorithm Selection Towards Comprehensive Algorithm Representation (2024)。原文定点核读。 </w:t>
      </w:r>
      <w:hyperlink r:id="rId32">
        <w:r>
          <w:rPr>
            <w:color w:val="264F73"/>
            <w:sz w:val="18"/>
          </w:rPr>
          <w:t>原始来源</w:t>
        </w:r>
      </w:hyperlink>
    </w:p>
    <w:p>
      <w:pPr>
        <w:keepLines/>
        <w:spacing w:line="276" w:lineRule="auto" w:after="100"/>
      </w:pPr>
      <w:r>
        <w:rPr>
          <w:sz w:val="18"/>
        </w:rPr>
        <w:t xml:space="preserve">[N24] Monte Carlo Tree Search for Comprehensive Exploration in LLM Based Automatic Heuristic Design (2025)。摘要。 </w:t>
      </w:r>
      <w:hyperlink r:id="rId26">
        <w:r>
          <w:rPr>
            <w:color w:val="264F73"/>
            <w:sz w:val="18"/>
          </w:rPr>
          <w:t>原始来源</w:t>
        </w:r>
      </w:hyperlink>
    </w:p>
    <w:p>
      <w:pPr>
        <w:keepLines/>
        <w:spacing w:line="276" w:lineRule="auto" w:after="100"/>
      </w:pPr>
      <w:r>
        <w:rPr>
          <w:sz w:val="18"/>
        </w:rPr>
        <w:t xml:space="preserve">[N25] LLM4AD A Platform for Algorithm Design with Large Language Model (2025)。官方文档。 </w:t>
      </w:r>
      <w:hyperlink r:id="rId28">
        <w:r>
          <w:rPr>
            <w:color w:val="264F73"/>
            <w:sz w:val="18"/>
          </w:rPr>
          <w:t>原始来源</w:t>
        </w:r>
      </w:hyperlink>
    </w:p>
    <w:p>
      <w:pPr>
        <w:keepLines/>
        <w:spacing w:line="276" w:lineRule="auto" w:after="100"/>
      </w:pPr>
      <w:r>
        <w:rPr>
          <w:sz w:val="18"/>
        </w:rPr>
        <w:t xml:space="preserve">[N26] CVRPLib Official Updates and Verified BKS Challenge Results (2026)。官方记录。 </w:t>
      </w:r>
      <w:hyperlink r:id="rId16">
        <w:r>
          <w:rPr>
            <w:color w:val="264F73"/>
            <w:sz w:val="18"/>
          </w:rPr>
          <w:t>原始来源</w:t>
        </w:r>
      </w:hyperlink>
    </w:p>
    <w:p>
      <w:pPr>
        <w:keepLines/>
        <w:spacing w:line="276" w:lineRule="auto" w:after="100"/>
      </w:pPr>
      <w:r>
        <w:rPr>
          <w:sz w:val="18"/>
        </w:rPr>
        <w:t xml:space="preserve">[N27] AILS II Enhanced Automated Control Discovery via LLMs and NPU Accelerated Cooperative Search (2026)。原文定点核读。 </w:t>
      </w:r>
      <w:hyperlink r:id="rId30">
        <w:r>
          <w:rPr>
            <w:color w:val="264F73"/>
            <w:sz w:val="18"/>
          </w:rPr>
          <w:t>原始来源</w:t>
        </w:r>
      </w:hyperlink>
    </w:p>
    <w:p>
      <w:pPr>
        <w:keepLines/>
        <w:spacing w:line="276" w:lineRule="auto" w:after="100"/>
      </w:pPr>
      <w:r>
        <w:rPr>
          <w:sz w:val="18"/>
        </w:rPr>
        <w:t xml:space="preserve">[N28] CityU Optima Group Competition Announcement (2026)。官方公告。 </w:t>
      </w:r>
      <w:hyperlink r:id="rId31">
        <w:r>
          <w:rPr>
            <w:color w:val="264F73"/>
            <w:sz w:val="18"/>
          </w:rPr>
          <w:t>原始来源</w:t>
        </w:r>
      </w:hyperlink>
    </w:p>
    <w:p>
      <w:pPr>
        <w:keepLines/>
        <w:spacing w:line="276" w:lineRule="auto" w:after="100"/>
      </w:pPr>
      <w:r>
        <w:rPr>
          <w:sz w:val="18"/>
        </w:rPr>
        <w:t xml:space="preserve">[N29] Search Time Data Contamination (2025)。摘要及作者研究页。 </w:t>
      </w:r>
      <w:hyperlink r:id="rId81">
        <w:r>
          <w:rPr>
            <w:color w:val="264F73"/>
            <w:sz w:val="18"/>
          </w:rPr>
          <w:t>原始来源</w:t>
        </w:r>
      </w:hyperlink>
    </w:p>
    <w:p>
      <w:pPr>
        <w:keepLines/>
        <w:spacing w:line="276" w:lineRule="auto" w:after="100"/>
      </w:pPr>
      <w:r>
        <w:rPr>
          <w:sz w:val="18"/>
        </w:rPr>
        <w:t xml:space="preserve">[N30] Vehicle Routing Problem Meets Large Language Models An Overview and Perspectives (2026)。原文定点核读。 </w:t>
      </w:r>
      <w:hyperlink r:id="rId87">
        <w:r>
          <w:rPr>
            <w:color w:val="264F73"/>
            <w:sz w:val="18"/>
          </w:rPr>
          <w:t>原始来源</w:t>
        </w:r>
      </w:hyperlink>
    </w:p>
    <w:p>
      <w:pPr>
        <w:keepLines/>
        <w:spacing w:line="276" w:lineRule="auto" w:after="100"/>
      </w:pPr>
      <w:r>
        <w:rPr>
          <w:sz w:val="18"/>
        </w:rPr>
        <w:t xml:space="preserve">[N31] From Words to Routes Applying Large Language Models to Vehicle Routing (2024)。作者项目文档。 </w:t>
      </w:r>
      <w:hyperlink r:id="rId88">
        <w:r>
          <w:rPr>
            <w:color w:val="264F73"/>
            <w:sz w:val="18"/>
          </w:rPr>
          <w:t>原始来源</w:t>
        </w:r>
      </w:hyperlink>
    </w:p>
    <w:p>
      <w:pPr>
        <w:keepLines/>
        <w:spacing w:line="276" w:lineRule="auto" w:after="100"/>
      </w:pPr>
      <w:r>
        <w:rPr>
          <w:sz w:val="18"/>
        </w:rPr>
        <w:t xml:space="preserve">[N32] ASlib Algorithm Selection Library (2016)。官方文档。 </w:t>
      </w:r>
      <w:hyperlink r:id="rId33">
        <w:r>
          <w:rPr>
            <w:color w:val="264F73"/>
            <w:sz w:val="18"/>
          </w:rPr>
          <w:t>原始来源</w:t>
        </w:r>
      </w:hyperlink>
    </w:p>
    <w:p>
      <w:pPr>
        <w:keepLines/>
        <w:spacing w:line="276" w:lineRule="auto" w:after="100"/>
      </w:pPr>
      <w:r>
        <w:rPr>
          <w:sz w:val="18"/>
        </w:rPr>
        <w:t xml:space="preserve">[D01] Fields2Benchmark author dataset landing page。落地页说明、逐国许可、文件清单已读；WKT包实际下载审计。 </w:t>
      </w:r>
      <w:hyperlink r:id="rId42">
        <w:r>
          <w:rPr>
            <w:color w:val="264F73"/>
            <w:sz w:val="18"/>
          </w:rPr>
          <w:t>原始来源</w:t>
        </w:r>
      </w:hyperlink>
    </w:p>
    <w:p>
      <w:pPr>
        <w:keepLines/>
        <w:spacing w:line="276" w:lineRule="auto" w:after="100"/>
      </w:pPr>
      <w:r>
        <w:rPr>
          <w:sz w:val="18"/>
        </w:rPr>
        <w:t xml:space="preserve">[D02] Fields2Benchmark LICENSE。打开许可文本并检查名称、适用范围条款。 </w:t>
      </w:r>
      <w:hyperlink r:id="rId43">
        <w:r>
          <w:rPr>
            <w:color w:val="264F73"/>
            <w:sz w:val="18"/>
          </w:rPr>
          <w:t>原始来源</w:t>
        </w:r>
      </w:hyperlink>
    </w:p>
    <w:p>
      <w:pPr>
        <w:keepLines/>
        <w:spacing w:line="276" w:lineRule="auto" w:after="100"/>
      </w:pPr>
      <w:r>
        <w:rPr>
          <w:sz w:val="18"/>
        </w:rPr>
        <w:t xml:space="preserve">[D03] PDOK BRP introduction。正文及服务入口已读。 </w:t>
      </w:r>
      <w:hyperlink r:id="rId37">
        <w:r>
          <w:rPr>
            <w:color w:val="264F73"/>
            <w:sz w:val="18"/>
          </w:rPr>
          <w:t>原始来源</w:t>
        </w:r>
      </w:hyperlink>
    </w:p>
    <w:p>
      <w:pPr>
        <w:keepLines/>
        <w:spacing w:line="276" w:lineRule="auto" w:after="100"/>
      </w:pPr>
      <w:r>
        <w:rPr>
          <w:sz w:val="18"/>
        </w:rPr>
        <w:t xml:space="preserve">[D04] PDOK BRP OGC API landing and collections。API入口与完整collections JSON已读。 </w:t>
      </w:r>
      <w:hyperlink r:id="rId45">
        <w:r>
          <w:rPr>
            <w:color w:val="264F73"/>
            <w:sz w:val="18"/>
          </w:rPr>
          <w:t>原始来源</w:t>
        </w:r>
      </w:hyperlink>
    </w:p>
    <w:p>
      <w:pPr>
        <w:keepLines/>
        <w:spacing w:line="276" w:lineRule="auto" w:after="100"/>
      </w:pPr>
      <w:r>
        <w:rPr>
          <w:sz w:val="18"/>
        </w:rPr>
        <w:t xml:space="preserve">[D05] PDOK BRP one-feature actual response。实际GET HTTP200；1426字节保存并SHA256。 </w:t>
      </w:r>
      <w:hyperlink r:id="rId46">
        <w:r>
          <w:rPr>
            <w:color w:val="264F73"/>
            <w:sz w:val="18"/>
          </w:rPr>
          <w:t>原始来源</w:t>
        </w:r>
      </w:hyperlink>
    </w:p>
    <w:p>
      <w:pPr>
        <w:keepLines/>
        <w:spacing w:line="276" w:lineRule="auto" w:after="100"/>
      </w:pPr>
      <w:r>
        <w:rPr>
          <w:sz w:val="18"/>
        </w:rPr>
        <w:t xml:space="preserve">[D06] IGN RPG official government catalogue。说明、覆盖、边界条件、许可、文档链接已读。 </w:t>
      </w:r>
      <w:hyperlink r:id="rId38">
        <w:r>
          <w:rPr>
            <w:color w:val="264F73"/>
            <w:sz w:val="18"/>
          </w:rPr>
          <w:t>原始来源</w:t>
        </w:r>
      </w:hyperlink>
    </w:p>
    <w:p>
      <w:pPr>
        <w:keepLines/>
        <w:spacing w:line="276" w:lineRule="auto" w:after="100"/>
      </w:pPr>
      <w:r>
        <w:rPr>
          <w:sz w:val="18"/>
        </w:rPr>
        <w:t xml:space="preserve">[D07] IGN RPG v3.0 content and delivery specification。56页PDF选择性读第7、50、51页CRS及交付章节。 </w:t>
      </w:r>
      <w:hyperlink r:id="rId47">
        <w:r>
          <w:rPr>
            <w:color w:val="264F73"/>
            <w:sz w:val="18"/>
          </w:rPr>
          <w:t>原始来源</w:t>
        </w:r>
      </w:hyperlink>
    </w:p>
    <w:p>
      <w:pPr>
        <w:keepLines/>
        <w:spacing w:line="276" w:lineRule="auto" w:after="100"/>
      </w:pPr>
      <w:r>
        <w:rPr>
          <w:sz w:val="18"/>
        </w:rPr>
        <w:t xml:space="preserve">[D08] IGN BD TOPO official catalogue。版本、主题、更新、许可、服务链接已读。 </w:t>
      </w:r>
      <w:hyperlink r:id="rId48">
        <w:r>
          <w:rPr>
            <w:color w:val="264F73"/>
            <w:sz w:val="18"/>
          </w:rPr>
          <w:t>原始来源</w:t>
        </w:r>
      </w:hyperlink>
    </w:p>
    <w:p>
      <w:pPr>
        <w:keepLines/>
        <w:spacing w:line="276" w:lineRule="auto" w:after="100"/>
      </w:pPr>
      <w:r>
        <w:rPr>
          <w:sz w:val="18"/>
        </w:rPr>
        <w:t xml:space="preserve">[D09] EuroCrops v2.0 original article。全文网页定向精读摘要、数据和限制部分。 </w:t>
      </w:r>
      <w:hyperlink r:id="rId39">
        <w:r>
          <w:rPr>
            <w:color w:val="264F73"/>
            <w:sz w:val="18"/>
          </w:rPr>
          <w:t>原始来源</w:t>
        </w:r>
      </w:hyperlink>
    </w:p>
    <w:p>
      <w:pPr>
        <w:keepLines/>
        <w:spacing w:line="276" w:lineRule="auto" w:after="100"/>
      </w:pPr>
      <w:r>
        <w:rPr>
          <w:sz w:val="18"/>
        </w:rPr>
        <w:t xml:space="preserve">[D10] JRC EuroCropsV2 data README/index。README、schema、CRS与版本历史已读。 </w:t>
      </w:r>
      <w:hyperlink r:id="rId49">
        <w:r>
          <w:rPr>
            <w:color w:val="264F73"/>
            <w:sz w:val="18"/>
          </w:rPr>
          <w:t>原始来源</w:t>
        </w:r>
      </w:hyperlink>
    </w:p>
    <w:p>
      <w:pPr>
        <w:keepLines/>
        <w:spacing w:line="276" w:lineRule="auto" w:after="100"/>
      </w:pPr>
      <w:r>
        <w:rPr>
          <w:sz w:val="18"/>
        </w:rPr>
        <w:t xml:space="preserve">[D11] JRC EuroCropsV2 copyright。11行许可全文已读。 </w:t>
      </w:r>
      <w:hyperlink r:id="rId50">
        <w:r>
          <w:rPr>
            <w:color w:val="264F73"/>
            <w:sz w:val="18"/>
          </w:rPr>
          <w:t>原始来源</w:t>
        </w:r>
      </w:hyperlink>
    </w:p>
    <w:p>
      <w:pPr>
        <w:keepLines/>
        <w:spacing w:line="276" w:lineRule="auto" w:after="100"/>
      </w:pPr>
      <w:r>
        <w:rPr>
          <w:sz w:val="18"/>
        </w:rPr>
        <w:t xml:space="preserve">[D12] Rosario v2 author project site。序列、坐标、ground-truth、修正、许可与下载入口已读。 </w:t>
      </w:r>
      <w:hyperlink r:id="rId51">
        <w:r>
          <w:rPr>
            <w:color w:val="264F73"/>
            <w:sz w:val="18"/>
          </w:rPr>
          <w:t>原始来源</w:t>
        </w:r>
      </w:hyperlink>
    </w:p>
    <w:p>
      <w:pPr>
        <w:keepLines/>
        <w:spacing w:line="276" w:lineRule="auto" w:after="100"/>
      </w:pPr>
      <w:r>
        <w:rPr>
          <w:sz w:val="18"/>
        </w:rPr>
        <w:t xml:space="preserve">[D13] CVRPLIB official instances。实例目录及集合标签已读。 </w:t>
      </w:r>
      <w:hyperlink r:id="rId34">
        <w:r>
          <w:rPr>
            <w:color w:val="264F73"/>
            <w:sz w:val="18"/>
          </w:rPr>
          <w:t>原始来源</w:t>
        </w:r>
      </w:hyperlink>
    </w:p>
    <w:p>
      <w:pPr>
        <w:keepLines/>
        <w:spacing w:line="276" w:lineRule="auto" w:after="100"/>
      </w:pPr>
      <w:r>
        <w:rPr>
          <w:sz w:val="18"/>
        </w:rPr>
        <w:t xml:space="preserve">[D14] SINTEF Solomon 100-customer benchmark。实例说明、目标/精度、下载入口和BKS表已读。 </w:t>
      </w:r>
      <w:hyperlink r:id="rId35">
        <w:r>
          <w:rPr>
            <w:color w:val="264F73"/>
            <w:sz w:val="18"/>
          </w:rPr>
          <w:t>原始来源</w:t>
        </w:r>
      </w:hyperlink>
    </w:p>
    <w:p>
      <w:pPr>
        <w:keepLines/>
        <w:spacing w:line="276" w:lineRule="auto" w:after="100"/>
      </w:pPr>
      <w:r>
        <w:rPr>
          <w:sz w:val="18"/>
        </w:rPr>
        <w:t xml:space="preserve">[D15] RFC 7946 GeoJSON。第3.1.1、3.1.10、4节定向精读。 </w:t>
      </w:r>
      <w:hyperlink r:id="rId52">
        <w:r>
          <w:rPr>
            <w:color w:val="264F73"/>
            <w:sz w:val="18"/>
          </w:rPr>
          <w:t>原始来源</w:t>
        </w:r>
      </w:hyperlink>
    </w:p>
    <w:p>
      <w:pPr>
        <w:keepLines/>
        <w:spacing w:line="276" w:lineRule="auto" w:after="100"/>
      </w:pPr>
      <w:r>
        <w:rPr>
          <w:sz w:val="18"/>
        </w:rPr>
        <w:t xml:space="preserve">[D16] GDAL Geotransform Tutorial。教程全文已读。 </w:t>
      </w:r>
      <w:hyperlink r:id="rId53">
        <w:r>
          <w:rPr>
            <w:color w:val="264F73"/>
            <w:sz w:val="18"/>
          </w:rPr>
          <w:t>原始来源</w:t>
        </w:r>
      </w:hyperlink>
    </w:p>
    <w:p>
      <w:pPr>
        <w:keepLines/>
        <w:spacing w:line="276" w:lineRule="auto" w:after="100"/>
      </w:pPr>
      <w:r>
        <w:rPr>
          <w:sz w:val="18"/>
        </w:rPr>
        <w:t xml:space="preserve">[D17] Fields2Cover basic types。车辆参数、几何类型部分已读。 </w:t>
      </w:r>
      <w:hyperlink r:id="rId89">
        <w:r>
          <w:rPr>
            <w:color w:val="264F73"/>
            <w:sz w:val="18"/>
          </w:rPr>
          <w:t>原始来源</w:t>
        </w:r>
      </w:hyperlink>
    </w:p>
    <w:p>
      <w:pPr>
        <w:keepLines/>
        <w:spacing w:line="276" w:lineRule="auto" w:after="100"/>
      </w:pPr>
      <w:r>
        <w:rPr>
          <w:sz w:val="18"/>
        </w:rPr>
        <w:t xml:space="preserve">[D18] Fields2Cover objective functions。distance with/without turns段落已读。 </w:t>
      </w:r>
      <w:hyperlink r:id="rId90">
        <w:r>
          <w:rPr>
            <w:color w:val="264F73"/>
            <w:sz w:val="18"/>
          </w:rPr>
          <w:t>原始来源</w:t>
        </w:r>
      </w:hyperlink>
    </w:p>
    <w:p>
      <w:pPr>
        <w:keepLines/>
        <w:spacing w:line="276" w:lineRule="auto" w:after="100"/>
      </w:pPr>
      <w:r>
        <w:rPr>
          <w:sz w:val="18"/>
        </w:rPr>
        <w:t xml:space="preserve">[D19] Moving AI grid/scenario format。格式页全文已读。 </w:t>
      </w:r>
      <w:hyperlink r:id="rId54">
        <w:r>
          <w:rPr>
            <w:color w:val="264F73"/>
            <w:sz w:val="18"/>
          </w:rPr>
          <w:t>原始来源</w:t>
        </w:r>
      </w:hyperlink>
    </w:p>
    <w:p>
      <w:pPr>
        <w:keepLines/>
        <w:spacing w:line="276" w:lineRule="auto" w:after="100"/>
      </w:pPr>
      <w:r>
        <w:rPr>
          <w:sz w:val="18"/>
        </w:rPr>
        <w:t xml:space="preserve">[D20] OSRM API v5.24.0。Route、Table、fallback和返回值定向精读。 </w:t>
      </w:r>
      <w:hyperlink r:id="rId55">
        <w:r>
          <w:rPr>
            <w:color w:val="264F73"/>
            <w:sz w:val="18"/>
          </w:rPr>
          <w:t>原始来源</w:t>
        </w:r>
      </w:hyperlink>
    </w:p>
    <w:p>
      <w:pPr>
        <w:keepLines/>
        <w:spacing w:line="276" w:lineRule="auto" w:after="100"/>
      </w:pPr>
      <w:r>
        <w:rPr>
          <w:sz w:val="18"/>
        </w:rPr>
        <w:t xml:space="preserve">[D21] OpenStreetMap Copyright and License。版权页及contributors disclaimer已读。 </w:t>
      </w:r>
      <w:hyperlink r:id="rId91">
        <w:r>
          <w:rPr>
            <w:color w:val="264F73"/>
            <w:sz w:val="18"/>
          </w:rPr>
          <w:t>原始来源</w:t>
        </w:r>
      </w:hyperlink>
    </w:p>
    <w:p>
      <w:pPr>
        <w:keepLines/>
        <w:spacing w:line="276" w:lineRule="auto" w:after="100"/>
      </w:pPr>
      <w:r>
        <w:rPr>
          <w:sz w:val="18"/>
        </w:rPr>
        <w:t xml:space="preserve">[D22] Amazon Last Mile official open-data registry。规模、年份、匿名化、许可、获取说明已读。 </w:t>
      </w:r>
      <w:hyperlink r:id="rId40">
        <w:r>
          <w:rPr>
            <w:color w:val="264F73"/>
            <w:sz w:val="18"/>
          </w:rPr>
          <w:t>原始来源</w:t>
        </w:r>
      </w:hyperlink>
    </w:p>
    <w:p>
      <w:pPr>
        <w:keepLines/>
        <w:spacing w:line="276" w:lineRule="auto" w:after="100"/>
      </w:pPr>
      <w:r>
        <w:rPr>
          <w:sz w:val="18"/>
        </w:rPr>
        <w:t xml:space="preserve">[D23] Amazon challenge data structures。Data Field Definitions与JSON格式已读。 </w:t>
      </w:r>
      <w:hyperlink r:id="rId41">
        <w:r>
          <w:rPr>
            <w:color w:val="264F73"/>
            <w:sz w:val="18"/>
          </w:rPr>
          <w:t>原始来源</w:t>
        </w:r>
      </w:hyperlink>
    </w:p>
    <w:p>
      <w:pPr>
        <w:keepLines/>
        <w:spacing w:line="276" w:lineRule="auto" w:after="100"/>
      </w:pPr>
      <w:r>
        <w:rPr>
          <w:sz w:val="18"/>
        </w:rPr>
        <w:t xml:space="preserve">[D24] Stern et al. MAPF definitions/variants/benchmarks。8页PDF定向精读第1–4页定义/冲突/运动学；其余浏览。 </w:t>
      </w:r>
      <w:hyperlink r:id="rId56">
        <w:r>
          <w:rPr>
            <w:color w:val="264F73"/>
            <w:sz w:val="18"/>
          </w:rPr>
          <w:t>原始来源</w:t>
        </w:r>
      </w:hyperlink>
    </w:p>
    <w:p>
      <w:pPr>
        <w:keepLines/>
        <w:spacing w:line="276" w:lineRule="auto" w:after="100"/>
      </w:pPr>
      <w:r>
        <w:rPr>
          <w:sz w:val="18"/>
        </w:rPr>
        <w:t xml:space="preserve">[D25] Uchoa et al. CVRP new benchmark original report。摘要及生成设计相关章节定向阅读。 </w:t>
      </w:r>
      <w:hyperlink r:id="rId36">
        <w:r>
          <w:rPr>
            <w:color w:val="264F73"/>
            <w:sz w:val="18"/>
          </w:rPr>
          <w:t>原始来源</w:t>
        </w:r>
      </w:hyperlink>
    </w:p>
    <w:p>
      <w:pPr>
        <w:keepLines/>
        <w:spacing w:line="276" w:lineRule="auto" w:after="100"/>
      </w:pPr>
      <w:r>
        <w:rPr>
          <w:sz w:val="18"/>
        </w:rPr>
        <w:t xml:space="preserve">[D26] USDA NAIP official metadata。采样、时效、下载和license字段已读。 </w:t>
      </w:r>
      <w:hyperlink r:id="rId92">
        <w:r>
          <w:rPr>
            <w:color w:val="264F73"/>
            <w:sz w:val="18"/>
          </w:rPr>
          <w:t>原始来源</w:t>
        </w:r>
      </w:hyperlink>
    </w:p>
    <w:p>
      <w:pPr>
        <w:keepLines/>
        <w:spacing w:line="276" w:lineRule="auto" w:after="100"/>
      </w:pPr>
      <w:r>
        <w:rPr>
          <w:sz w:val="18"/>
        </w:rPr>
        <w:t xml:space="preserve">[D27] Agricultural GNSS repository lead。README/根目录已查看，未读rar或运行。 </w:t>
      </w:r>
      <w:hyperlink r:id="rId93">
        <w:r>
          <w:rPr>
            <w:color w:val="264F73"/>
            <w:sz w:val="18"/>
          </w:rPr>
          <w:t>原始来源</w:t>
        </w:r>
      </w:hyperlink>
    </w:p>
    <w:p>
      <w:pPr>
        <w:keepLines/>
        <w:spacing w:line="276" w:lineRule="auto" w:after="100"/>
      </w:pPr>
      <w:r>
        <w:rPr>
          <w:sz w:val="18"/>
        </w:rPr>
        <w:t xml:space="preserve">[D28] Fields2Benchmark publication at WUR。机构摘要和出版信息已读；PDF/出版社打开失败。 </w:t>
      </w:r>
      <w:hyperlink r:id="rId44">
        <w:r>
          <w:rPr>
            <w:color w:val="264F73"/>
            <w:sz w:val="18"/>
          </w:rPr>
          <w:t>原始来源</w:t>
        </w:r>
      </w:hyperlink>
    </w:p>
    <w:p>
      <w:pPr>
        <w:keepLines/>
        <w:spacing w:line="276" w:lineRule="auto" w:after="100"/>
      </w:pPr>
      <w:r>
        <w:rPr>
          <w:sz w:val="18"/>
        </w:rPr>
        <w:t xml:space="preserve">[D29] Fields2Cover complete flow。教程全文已读。 </w:t>
      </w:r>
      <w:hyperlink r:id="rId94">
        <w:r>
          <w:rPr>
            <w:color w:val="264F73"/>
            <w:sz w:val="18"/>
          </w:rPr>
          <w:t>原始来源</w:t>
        </w:r>
      </w:hyperlink>
    </w:p>
    <w:p>
      <w:pPr>
        <w:keepLines/>
        <w:spacing w:line="276" w:lineRule="auto" w:after="100"/>
      </w:pPr>
      <w:r>
        <w:rPr>
          <w:sz w:val="18"/>
        </w:rPr>
        <w:t xml:space="preserve">[T01] OR-Tools功能与模型边界。官方文档及指定源码。 </w:t>
      </w:r>
      <w:hyperlink r:id="rId57">
        <w:r>
          <w:rPr>
            <w:color w:val="264F73"/>
            <w:sz w:val="18"/>
          </w:rPr>
          <w:t>原始来源</w:t>
        </w:r>
      </w:hyperlink>
    </w:p>
    <w:p>
      <w:pPr>
        <w:keepLines/>
        <w:spacing w:line="276" w:lineRule="auto" w:after="100"/>
      </w:pPr>
      <w:r>
        <w:rPr>
          <w:sz w:val="18"/>
        </w:rPr>
        <w:t xml:space="preserve">[T02] OR-Tools v9.15源码接口。官方文档及指定源码。 </w:t>
      </w:r>
      <w:hyperlink r:id="rId58">
        <w:r>
          <w:rPr>
            <w:color w:val="264F73"/>
            <w:sz w:val="18"/>
          </w:rPr>
          <w:t>原始来源</w:t>
        </w:r>
      </w:hyperlink>
    </w:p>
    <w:p>
      <w:pPr>
        <w:keepLines/>
        <w:spacing w:line="276" w:lineRule="auto" w:after="100"/>
      </w:pPr>
      <w:r>
        <w:rPr>
          <w:sz w:val="18"/>
        </w:rPr>
        <w:t xml:space="preserve">[T03] OR-Tools平台与许可。官方文档及指定源码。 </w:t>
      </w:r>
      <w:hyperlink r:id="rId59">
        <w:r>
          <w:rPr>
            <w:color w:val="264F73"/>
            <w:sz w:val="18"/>
          </w:rPr>
          <w:t>原始来源</w:t>
        </w:r>
      </w:hyperlink>
    </w:p>
    <w:p>
      <w:pPr>
        <w:keepLines/>
        <w:spacing w:line="276" w:lineRule="auto" w:after="100"/>
      </w:pPr>
      <w:r>
        <w:rPr>
          <w:sz w:val="18"/>
        </w:rPr>
        <w:t xml:space="preserve">[T04] OR-Tools状态。官方文档及指定源码。 </w:t>
      </w:r>
      <w:hyperlink r:id="rId60">
        <w:r>
          <w:rPr>
            <w:color w:val="264F73"/>
            <w:sz w:val="18"/>
          </w:rPr>
          <w:t>原始来源</w:t>
        </w:r>
      </w:hyperlink>
    </w:p>
    <w:p>
      <w:pPr>
        <w:keepLines/>
        <w:spacing w:line="276" w:lineRule="auto" w:after="100"/>
      </w:pPr>
      <w:r>
        <w:rPr>
          <w:sz w:val="18"/>
        </w:rPr>
        <w:t xml:space="preserve">[T05] PyVRP固定稳定版能力。官方文档及指定源码。 </w:t>
      </w:r>
      <w:hyperlink r:id="rId61">
        <w:r>
          <w:rPr>
            <w:color w:val="264F73"/>
            <w:sz w:val="18"/>
          </w:rPr>
          <w:t>原始来源</w:t>
        </w:r>
      </w:hyperlink>
    </w:p>
    <w:p>
      <w:pPr>
        <w:keepLines/>
        <w:spacing w:line="276" w:lineRule="auto" w:after="100"/>
      </w:pPr>
      <w:r>
        <w:rPr>
          <w:sz w:val="18"/>
        </w:rPr>
        <w:t xml:space="preserve">[T06] PyVRP算法与环境。官方文档及指定源码。 </w:t>
      </w:r>
      <w:hyperlink r:id="rId62">
        <w:r>
          <w:rPr>
            <w:color w:val="264F73"/>
            <w:sz w:val="18"/>
          </w:rPr>
          <w:t>原始来源</w:t>
        </w:r>
      </w:hyperlink>
    </w:p>
    <w:p>
      <w:pPr>
        <w:keepLines/>
        <w:spacing w:line="276" w:lineRule="auto" w:after="100"/>
      </w:pPr>
      <w:r>
        <w:rPr>
          <w:sz w:val="18"/>
        </w:rPr>
        <w:t xml:space="preserve">[T07] PyVRP在线文档版本陷阱。官方文档及指定源码。 </w:t>
      </w:r>
      <w:hyperlink r:id="rId63">
        <w:r>
          <w:rPr>
            <w:color w:val="264F73"/>
            <w:sz w:val="18"/>
          </w:rPr>
          <w:t>原始来源</w:t>
        </w:r>
      </w:hyperlink>
    </w:p>
    <w:p>
      <w:pPr>
        <w:keepLines/>
        <w:spacing w:line="276" w:lineRule="auto" w:after="100"/>
      </w:pPr>
      <w:r>
        <w:rPr>
          <w:sz w:val="18"/>
        </w:rPr>
        <w:t xml:space="preserve">[T08] VROOM稳定版API与许可。官方文档及指定源码。 </w:t>
      </w:r>
      <w:hyperlink r:id="rId64">
        <w:r>
          <w:rPr>
            <w:color w:val="264F73"/>
            <w:sz w:val="18"/>
          </w:rPr>
          <w:t>原始来源</w:t>
        </w:r>
      </w:hyperlink>
    </w:p>
    <w:p>
      <w:pPr>
        <w:keepLines/>
        <w:spacing w:line="276" w:lineRule="auto" w:after="100"/>
      </w:pPr>
      <w:r>
        <w:rPr>
          <w:sz w:val="18"/>
        </w:rPr>
        <w:t xml:space="preserve">[T09] VROOM构建与源码阅读范围。官方文档及指定源码。 </w:t>
      </w:r>
      <w:hyperlink r:id="rId65">
        <w:r>
          <w:rPr>
            <w:color w:val="264F73"/>
            <w:sz w:val="18"/>
          </w:rPr>
          <w:t>原始来源</w:t>
        </w:r>
      </w:hyperlink>
    </w:p>
    <w:p>
      <w:pPr>
        <w:keepLines/>
        <w:spacing w:line="276" w:lineRule="auto" w:after="100"/>
      </w:pPr>
      <w:r>
        <w:rPr>
          <w:sz w:val="18"/>
        </w:rPr>
        <w:t xml:space="preserve">[T10] OSRM当前稳定API与发行。官方文档及指定源码。 </w:t>
      </w:r>
      <w:hyperlink r:id="rId66">
        <w:r>
          <w:rPr>
            <w:color w:val="264F73"/>
            <w:sz w:val="18"/>
          </w:rPr>
          <w:t>原始来源</w:t>
        </w:r>
      </w:hyperlink>
    </w:p>
    <w:p>
      <w:pPr>
        <w:keepLines/>
        <w:spacing w:line="276" w:lineRule="auto" w:after="100"/>
      </w:pPr>
      <w:r>
        <w:rPr>
          <w:sz w:val="18"/>
        </w:rPr>
        <w:t xml:space="preserve">[T11] OSRM构建、离线与许可。官方文档及指定源码。 </w:t>
      </w:r>
      <w:hyperlink r:id="rId67">
        <w:r>
          <w:rPr>
            <w:color w:val="264F73"/>
            <w:sz w:val="18"/>
          </w:rPr>
          <w:t>原始来源</w:t>
        </w:r>
      </w:hyperlink>
    </w:p>
    <w:p>
      <w:pPr>
        <w:keepLines/>
        <w:spacing w:line="276" w:lineRule="auto" w:after="100"/>
      </w:pPr>
      <w:r>
        <w:rPr>
          <w:sz w:val="18"/>
        </w:rPr>
        <w:t xml:space="preserve">[T12] Valhalla路径/矩阵/排序。官方文档及指定源码。 </w:t>
      </w:r>
      <w:hyperlink r:id="rId69">
        <w:r>
          <w:rPr>
            <w:color w:val="264F73"/>
            <w:sz w:val="18"/>
          </w:rPr>
          <w:t>原始来源</w:t>
        </w:r>
      </w:hyperlink>
    </w:p>
    <w:p>
      <w:pPr>
        <w:keepLines/>
        <w:spacing w:line="276" w:lineRule="auto" w:after="100"/>
      </w:pPr>
      <w:r>
        <w:rPr>
          <w:sz w:val="18"/>
        </w:rPr>
        <w:t xml:space="preserve">[T13] Valhalla许可/部署。官方文档及指定源码。 </w:t>
      </w:r>
      <w:hyperlink r:id="rId70">
        <w:r>
          <w:rPr>
            <w:color w:val="264F73"/>
            <w:sz w:val="18"/>
          </w:rPr>
          <w:t>原始来源</w:t>
        </w:r>
      </w:hyperlink>
    </w:p>
    <w:p>
      <w:pPr>
        <w:keepLines/>
        <w:spacing w:line="276" w:lineRule="auto" w:after="100"/>
      </w:pPr>
      <w:r>
        <w:rPr>
          <w:sz w:val="18"/>
        </w:rPr>
        <w:t xml:space="preserve">[T14] GraphHopper本地引擎与商业优化的区别。官方文档及指定源码。 </w:t>
      </w:r>
      <w:hyperlink r:id="rId71">
        <w:r>
          <w:rPr>
            <w:color w:val="264F73"/>
            <w:sz w:val="18"/>
          </w:rPr>
          <w:t>原始来源</w:t>
        </w:r>
      </w:hyperlink>
    </w:p>
    <w:p>
      <w:pPr>
        <w:keepLines/>
        <w:spacing w:line="276" w:lineRule="auto" w:after="100"/>
      </w:pPr>
      <w:r>
        <w:rPr>
          <w:sz w:val="18"/>
        </w:rPr>
        <w:t xml:space="preserve">[T15] GraphHopper托管能力与成本。官方文档及指定源码。 </w:t>
      </w:r>
      <w:hyperlink r:id="rId72">
        <w:r>
          <w:rPr>
            <w:color w:val="264F73"/>
            <w:sz w:val="18"/>
          </w:rPr>
          <w:t>原始来源</w:t>
        </w:r>
      </w:hyperlink>
    </w:p>
    <w:p>
      <w:pPr>
        <w:keepLines/>
        <w:spacing w:line="276" w:lineRule="auto" w:after="100"/>
      </w:pPr>
      <w:r>
        <w:rPr>
          <w:sz w:val="18"/>
        </w:rPr>
        <w:t xml:space="preserve">[T16] Leaflet。官方文档及指定源码。 </w:t>
      </w:r>
      <w:hyperlink r:id="rId68">
        <w:r>
          <w:rPr>
            <w:color w:val="264F73"/>
            <w:sz w:val="18"/>
          </w:rPr>
          <w:t>原始来源</w:t>
        </w:r>
      </w:hyperlink>
    </w:p>
    <w:p>
      <w:pPr>
        <w:keepLines/>
        <w:spacing w:line="276" w:lineRule="auto" w:after="100"/>
      </w:pPr>
      <w:r>
        <w:rPr>
          <w:sz w:val="18"/>
        </w:rPr>
        <w:t xml:space="preserve">[T17] MapLibre GL JS。官方文档及指定源码。 </w:t>
      </w:r>
      <w:hyperlink r:id="rId73">
        <w:r>
          <w:rPr>
            <w:color w:val="264F73"/>
            <w:sz w:val="18"/>
          </w:rPr>
          <w:t>原始来源</w:t>
        </w:r>
      </w:hyperlink>
    </w:p>
    <w:p>
      <w:pPr>
        <w:keepLines/>
        <w:spacing w:line="276" w:lineRule="auto" w:after="100"/>
      </w:pPr>
      <w:r>
        <w:rPr>
          <w:sz w:val="18"/>
        </w:rPr>
        <w:t xml:space="preserve">[T18] deck.gl。官方文档及指定源码。 </w:t>
      </w:r>
      <w:hyperlink r:id="rId74">
        <w:r>
          <w:rPr>
            <w:color w:val="264F73"/>
            <w:sz w:val="18"/>
          </w:rPr>
          <w:t>原始来源</w:t>
        </w:r>
      </w:hyperlink>
    </w:p>
    <w:p>
      <w:pPr>
        <w:keepLines/>
        <w:spacing w:line="276" w:lineRule="auto" w:after="100"/>
      </w:pPr>
      <w:r>
        <w:rPr>
          <w:sz w:val="18"/>
        </w:rPr>
        <w:t xml:space="preserve">[T19] React Flow。官方文档及指定源码。 </w:t>
      </w:r>
      <w:hyperlink r:id="rId75">
        <w:r>
          <w:rPr>
            <w:color w:val="264F73"/>
            <w:sz w:val="18"/>
          </w:rPr>
          <w:t>原始来源</w:t>
        </w:r>
      </w:hyperlink>
    </w:p>
    <w:p>
      <w:pPr>
        <w:keepLines/>
        <w:spacing w:line="276" w:lineRule="auto" w:after="100"/>
      </w:pPr>
      <w:r>
        <w:rPr>
          <w:sz w:val="18"/>
        </w:rPr>
        <w:t xml:space="preserve">[T20] VROOM端到端演示。官方文档及指定源码。 </w:t>
      </w:r>
      <w:hyperlink r:id="rId76">
        <w:r>
          <w:rPr>
            <w:color w:val="264F73"/>
            <w:sz w:val="18"/>
          </w:rPr>
          <w:t>原始来源</w:t>
        </w:r>
      </w:hyperlink>
    </w:p>
    <w:p>
      <w:pPr>
        <w:keepLines/>
        <w:spacing w:line="276" w:lineRule="auto" w:after="100"/>
      </w:pPr>
      <w:r>
        <w:rPr>
          <w:sz w:val="18"/>
        </w:rPr>
        <w:t xml:space="preserve">[T21] Google Fleet Routing App。官方文档及指定源码。 </w:t>
      </w:r>
      <w:hyperlink r:id="rId77">
        <w:r>
          <w:rPr>
            <w:color w:val="264F73"/>
            <w:sz w:val="18"/>
          </w:rPr>
          <w:t>原始来源</w:t>
        </w:r>
      </w:hyperlink>
    </w:p>
    <w:p>
      <w:pPr>
        <w:keepLines/>
        <w:spacing w:line="276" w:lineRule="auto" w:after="100"/>
      </w:pPr>
      <w:r>
        <w:rPr>
          <w:sz w:val="18"/>
        </w:rPr>
        <w:t xml:space="preserve">[T22] OSM数据许可与标准瓦片限制。官方文档及指定源码。 </w:t>
      </w:r>
      <w:hyperlink r:id="rId78">
        <w:r>
          <w:rPr>
            <w:color w:val="264F73"/>
            <w:sz w:val="18"/>
          </w:rPr>
          <w:t>原始来源</w:t>
        </w:r>
      </w:hyperlink>
    </w:p>
    <w:p>
      <w:pPr>
        <w:keepLines/>
        <w:spacing w:line="276" w:lineRule="auto" w:after="100"/>
      </w:pPr>
      <w:r>
        <w:rPr>
          <w:sz w:val="18"/>
        </w:rPr>
        <w:t xml:space="preserve">[P01] 本项目CVRP规模扩展 n100和n200 (2026)。项目报告与现成图读取。 </w:t>
      </w:r>
      <w:r>
        <w:rPr>
          <w:sz w:val="18"/>
        </w:rPr>
        <w:t>项目归档报告 CVRP_SCALE_REPORT_ZH.md</w:t>
      </w:r>
    </w:p>
    <w:p>
      <w:pPr>
        <w:keepLines/>
        <w:spacing w:line="276" w:lineRule="auto" w:after="100"/>
      </w:pPr>
      <w:r>
        <w:rPr>
          <w:sz w:val="18"/>
        </w:rPr>
        <w:t xml:space="preserve">[P02] 本项目固定航向Dubins几何组件验证 (2026)。项目报告与现成图读取。 </w:t>
      </w:r>
      <w:r>
        <w:rPr>
          <w:sz w:val="18"/>
        </w:rPr>
        <w:t>项目归档报告 CURVATURE_CONCLUSIONS_ZH.txt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936" w:left="108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2026年10月7日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提示词到可编辑多车任务地图  技术调研与实验方案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20"/>
    </w:pPr>
    <w:rPr>
      <w:rFonts w:ascii="Noto Sans CJK SC" w:hAnsi="Noto Sans CJK SC" w:eastAsia="Noto Sans CJK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40"/>
    </w:pPr>
    <w:rPr>
      <w:rFonts w:ascii="Noto Sans CJK SC" w:hAnsi="Noto Sans CJK SC" w:eastAsia="Noto Sans CJK SC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arxiv.org/html/2509.16865v1" TargetMode="External"/><Relationship Id="rId12" Type="http://schemas.openxmlformats.org/officeDocument/2006/relationships/hyperlink" Target="https://arxiv.org/html/2602.22465v1" TargetMode="External"/><Relationship Id="rId13" Type="http://schemas.openxmlformats.org/officeDocument/2006/relationships/hyperlink" Target="https://arxiv.org/html/2602.02188v1" TargetMode="External"/><Relationship Id="rId14" Type="http://schemas.openxmlformats.org/officeDocument/2006/relationships/hyperlink" Target="https://arxiv.org/html/2510.07073v1" TargetMode="External"/><Relationship Id="rId15" Type="http://schemas.openxmlformats.org/officeDocument/2006/relationships/hyperlink" Target="https://arxiv.org/html/2602.23092v2" TargetMode="External"/><Relationship Id="rId16" Type="http://schemas.openxmlformats.org/officeDocument/2006/relationships/hyperlink" Target="https://galgos.inf.puc-rio.br/cvrplib/en/updates/" TargetMode="External"/><Relationship Id="rId17" Type="http://schemas.openxmlformats.org/officeDocument/2006/relationships/hyperlink" Target="https://www.nature.com/articles/s41586-023-06924-6" TargetMode="External"/><Relationship Id="rId18" Type="http://schemas.openxmlformats.org/officeDocument/2006/relationships/hyperlink" Target="https://arxiv.org/html/2604.07872v1" TargetMode="External"/><Relationship Id="rId19" Type="http://schemas.openxmlformats.org/officeDocument/2006/relationships/hyperlink" Target="https://arxiv.org/html/2303.08233v2" TargetMode="External"/><Relationship Id="rId20" Type="http://schemas.openxmlformats.org/officeDocument/2006/relationships/hyperlink" Target="https://arxiv.org/html/2402.10172v1" TargetMode="External"/><Relationship Id="rId21" Type="http://schemas.openxmlformats.org/officeDocument/2006/relationships/hyperlink" Target="https://proceedings.iclr.cc/paper_files/paper/2025/hash/73d6c3e4b214deebbbf8256e26d2cf45-Abstract-Conference.html" TargetMode="External"/><Relationship Id="rId22" Type="http://schemas.openxmlformats.org/officeDocument/2006/relationships/hyperlink" Target="https://arxiv.org/html/2412.09879v2" TargetMode="External"/><Relationship Id="rId23" Type="http://schemas.openxmlformats.org/officeDocument/2006/relationships/hyperlink" Target="https://arxiv.org/html/2502.15359v3" TargetMode="External"/><Relationship Id="rId24" Type="http://schemas.openxmlformats.org/officeDocument/2006/relationships/hyperlink" Target="https://arxiv.org/html/2401.02051v3" TargetMode="External"/><Relationship Id="rId25" Type="http://schemas.openxmlformats.org/officeDocument/2006/relationships/hyperlink" Target="https://arxiv.org/html/2402.01145v3" TargetMode="External"/><Relationship Id="rId26" Type="http://schemas.openxmlformats.org/officeDocument/2006/relationships/hyperlink" Target="https://proceedings.mlr.press/v267/zheng25o.html" TargetMode="External"/><Relationship Id="rId27" Type="http://schemas.openxmlformats.org/officeDocument/2006/relationships/hyperlink" Target="https://ojs.aaai.org/index.php/AAAI/article/view/41038" TargetMode="External"/><Relationship Id="rId28" Type="http://schemas.openxmlformats.org/officeDocument/2006/relationships/hyperlink" Target="https://github.com/Optima-CityU/LLM4AD" TargetMode="External"/><Relationship Id="rId29" Type="http://schemas.openxmlformats.org/officeDocument/2006/relationships/hyperlink" Target="https://arxiv.org/html/2506.13131v1" TargetMode="External"/><Relationship Id="rId30" Type="http://schemas.openxmlformats.org/officeDocument/2006/relationships/hyperlink" Target="https://galgos.inf.puc-rio.br/cvrplib/uploads/teams/OptVerse-CityU-20260109-203156.pdf" TargetMode="External"/><Relationship Id="rId31" Type="http://schemas.openxmlformats.org/officeDocument/2006/relationships/hyperlink" Target="https://optima.cs.cityu.edu.hk/allnews.html" TargetMode="External"/><Relationship Id="rId32" Type="http://schemas.openxmlformats.org/officeDocument/2006/relationships/hyperlink" Target="https://www.ijcai.org/proceedings/2024/579" TargetMode="External"/><Relationship Id="rId33" Type="http://schemas.openxmlformats.org/officeDocument/2006/relationships/hyperlink" Target="https://github.com/coseal/aslib_data" TargetMode="External"/><Relationship Id="rId34" Type="http://schemas.openxmlformats.org/officeDocument/2006/relationships/hyperlink" Target="https://galgos.inf.puc-rio.br/cvrplib/en/instances" TargetMode="External"/><Relationship Id="rId35" Type="http://schemas.openxmlformats.org/officeDocument/2006/relationships/hyperlink" Target="https://www.sintef.no/projectweb/top/vrptw/100-customers/" TargetMode="External"/><Relationship Id="rId36" Type="http://schemas.openxmlformats.org/officeDocument/2006/relationships/hyperlink" Target="https://optimization-online.org/wp-content/uploads/2014/10/4597.pdf" TargetMode="External"/><Relationship Id="rId37" Type="http://schemas.openxmlformats.org/officeDocument/2006/relationships/hyperlink" Target="https://www.pdok.nl/introductie/-/article/basisregistratie-gewaspercelen-brp-" TargetMode="External"/><Relationship Id="rId38" Type="http://schemas.openxmlformats.org/officeDocument/2006/relationships/hyperlink" Target="https://www.data.gouv.fr/datasets/rpg" TargetMode="External"/><Relationship Id="rId39" Type="http://schemas.openxmlformats.org/officeDocument/2006/relationships/hyperlink" Target="https://essd.copernicus.org/articles/18/4075/2026/" TargetMode="External"/><Relationship Id="rId40" Type="http://schemas.openxmlformats.org/officeDocument/2006/relationships/hyperlink" Target="https://registry.opendata.aws/amazon-last-mile-challenges/" TargetMode="External"/><Relationship Id="rId41" Type="http://schemas.openxmlformats.org/officeDocument/2006/relationships/hyperlink" Target="https://github.com/MIT-CAVE/rc-cli/blob/main/templates/data_structures.md" TargetMode="External"/><Relationship Id="rId42" Type="http://schemas.openxmlformats.org/officeDocument/2006/relationships/hyperlink" Target="https://zenodo.org/records/14524735" TargetMode="External"/><Relationship Id="rId43" Type="http://schemas.openxmlformats.org/officeDocument/2006/relationships/hyperlink" Target="https://zenodo.org/records/14524735/files/LICENSE?download=1" TargetMode="External"/><Relationship Id="rId44" Type="http://schemas.openxmlformats.org/officeDocument/2006/relationships/hyperlink" Target="https://research.wur.nl/en/publications/fields2benchmark-an-open-source-benchmark-for-coverage-path-plann/" TargetMode="External"/><Relationship Id="rId45" Type="http://schemas.openxmlformats.org/officeDocument/2006/relationships/hyperlink" Target="https://api.pdok.nl/rvo/gewaspercelen/ogc/v1/collections?f=json" TargetMode="External"/><Relationship Id="rId46" Type="http://schemas.openxmlformats.org/officeDocument/2006/relationships/hyperlink" Target="https://api.pdok.nl/rvo/gewaspercelen/ogc/v1/collections/brpgewas/items?f=json&amp;limit=1" TargetMode="External"/><Relationship Id="rId47" Type="http://schemas.openxmlformats.org/officeDocument/2006/relationships/hyperlink" Target="https://www.data.gouv.fr/api/1/datasets/r/2ad94dab-e69d-4f71-bbe5-74f4d78208c9" TargetMode="External"/><Relationship Id="rId48" Type="http://schemas.openxmlformats.org/officeDocument/2006/relationships/hyperlink" Target="https://www.data.gouv.fr/datasets/bd-topo-r" TargetMode="External"/><Relationship Id="rId49" Type="http://schemas.openxmlformats.org/officeDocument/2006/relationships/hyperlink" Target="https://jeodpp.jrc.ec.europa.eu/ftp/jrc-opendata/DRLL/EuroCropsV2/" TargetMode="External"/><Relationship Id="rId50" Type="http://schemas.openxmlformats.org/officeDocument/2006/relationships/hyperlink" Target="https://jeodpp.jrc.ec.europa.eu/ftp/jrc-opendata/DRLL/EuroCropsV2/copyright.txt" TargetMode="External"/><Relationship Id="rId51" Type="http://schemas.openxmlformats.org/officeDocument/2006/relationships/hyperlink" Target="https://cifasis.github.io/rosariov2/" TargetMode="External"/><Relationship Id="rId52" Type="http://schemas.openxmlformats.org/officeDocument/2006/relationships/hyperlink" Target="https://www.rfc-editor.org/rfc/rfc7946" TargetMode="External"/><Relationship Id="rId53" Type="http://schemas.openxmlformats.org/officeDocument/2006/relationships/hyperlink" Target="https://gdal.org/en/stable/tutorials/geotransforms_tut.html" TargetMode="External"/><Relationship Id="rId54" Type="http://schemas.openxmlformats.org/officeDocument/2006/relationships/hyperlink" Target="https://www.movingai.com/benchmarks/formats.html" TargetMode="External"/><Relationship Id="rId55" Type="http://schemas.openxmlformats.org/officeDocument/2006/relationships/hyperlink" Target="https://project-osrm.org/docs/v5.24.0/api/" TargetMode="External"/><Relationship Id="rId56" Type="http://schemas.openxmlformats.org/officeDocument/2006/relationships/hyperlink" Target="https://www.cs.du.edu/~sturtevant/papers/stern-mapf.pdf" TargetMode="External"/><Relationship Id="rId57" Type="http://schemas.openxmlformats.org/officeDocument/2006/relationships/hyperlink" Target="https://developers.google.com/optimization/routing" TargetMode="External"/><Relationship Id="rId58" Type="http://schemas.openxmlformats.org/officeDocument/2006/relationships/hyperlink" Target="https://raw.githubusercontent.com/google/or-tools/v9.15/ortools/constraint_solver/routing.h" TargetMode="External"/><Relationship Id="rId59" Type="http://schemas.openxmlformats.org/officeDocument/2006/relationships/hyperlink" Target="https://pypi.org/project/ortools/" TargetMode="External"/><Relationship Id="rId60" Type="http://schemas.openxmlformats.org/officeDocument/2006/relationships/hyperlink" Target="https://developers.google.com/optimization/routing/routing_options" TargetMode="External"/><Relationship Id="rId61" Type="http://schemas.openxmlformats.org/officeDocument/2006/relationships/hyperlink" Target="https://github.com/PyVRP/PyVRP/releases/tag/v0.14.0" TargetMode="External"/><Relationship Id="rId62" Type="http://schemas.openxmlformats.org/officeDocument/2006/relationships/hyperlink" Target="https://raw.githubusercontent.com/PyVRP/PyVRP/v0.14.0/pyvrp/solve.py" TargetMode="External"/><Relationship Id="rId63" Type="http://schemas.openxmlformats.org/officeDocument/2006/relationships/hyperlink" Target="https://pyvrp.org/" TargetMode="External"/><Relationship Id="rId64" Type="http://schemas.openxmlformats.org/officeDocument/2006/relationships/hyperlink" Target="https://raw.githubusercontent.com/VROOM-Project/vroom/v1.15.0/docs/API.md" TargetMode="External"/><Relationship Id="rId65" Type="http://schemas.openxmlformats.org/officeDocument/2006/relationships/hyperlink" Target="https://github.com/VROOM-Project/vroom/wiki/Building" TargetMode="External"/><Relationship Id="rId66" Type="http://schemas.openxmlformats.org/officeDocument/2006/relationships/hyperlink" Target="https://github.com/Project-OSRM/osrm-backend/releases/tag/v26.10.0" TargetMode="External"/><Relationship Id="rId67" Type="http://schemas.openxmlformats.org/officeDocument/2006/relationships/hyperlink" Target="https://github.com/Project-OSRM/osrm-backend" TargetMode="External"/><Relationship Id="rId68" Type="http://schemas.openxmlformats.org/officeDocument/2006/relationships/hyperlink" Target="https://github.com/Leaflet/Leaflet/releases/tag/v1.9.4" TargetMode="External"/><Relationship Id="rId69" Type="http://schemas.openxmlformats.org/officeDocument/2006/relationships/hyperlink" Target="https://valhalla.github.io/valhalla/api/matrix/" TargetMode="External"/><Relationship Id="rId70" Type="http://schemas.openxmlformats.org/officeDocument/2006/relationships/hyperlink" Target="https://github.com/valhalla/valhalla" TargetMode="External"/><Relationship Id="rId71" Type="http://schemas.openxmlformats.org/officeDocument/2006/relationships/hyperlink" Target="https://raw.githubusercontent.com/graphhopper/graphhopper/11.1/README.md" TargetMode="External"/><Relationship Id="rId72" Type="http://schemas.openxmlformats.org/officeDocument/2006/relationships/hyperlink" Target="https://www.graphhopper.com/route-optimization/" TargetMode="External"/><Relationship Id="rId73" Type="http://schemas.openxmlformats.org/officeDocument/2006/relationships/hyperlink" Target="https://maplibre.org/maplibre-gl-js/docs/" TargetMode="External"/><Relationship Id="rId74" Type="http://schemas.openxmlformats.org/officeDocument/2006/relationships/hyperlink" Target="https://deck.gl/docs/developer-guide/performance" TargetMode="External"/><Relationship Id="rId75" Type="http://schemas.openxmlformats.org/officeDocument/2006/relationships/hyperlink" Target="https://reactflow.dev/" TargetMode="External"/><Relationship Id="rId76" Type="http://schemas.openxmlformats.org/officeDocument/2006/relationships/hyperlink" Target="https://github.com/VROOM-Project/vroom-frontend" TargetMode="External"/><Relationship Id="rId77" Type="http://schemas.openxmlformats.org/officeDocument/2006/relationships/hyperlink" Target="https://github.com/googlemaps/js-route-optimization-app" TargetMode="External"/><Relationship Id="rId78" Type="http://schemas.openxmlformats.org/officeDocument/2006/relationships/hyperlink" Target="https://www.openstreetmap.org/copyright" TargetMode="External"/><Relationship Id="rId79" Type="http://schemas.openxmlformats.org/officeDocument/2006/relationships/hyperlink" Target="https://arxiv.org/html/2504.04310v2" TargetMode="External"/><Relationship Id="rId80" Type="http://schemas.openxmlformats.org/officeDocument/2006/relationships/hyperlink" Target="https://arxiv.org/html/2605.25246v1" TargetMode="External"/><Relationship Id="rId81" Type="http://schemas.openxmlformats.org/officeDocument/2006/relationships/hyperlink" Target="https://arxiv.org/abs/2508.13180" TargetMode="External"/><Relationship Id="rId82" Type="http://schemas.openxmlformats.org/officeDocument/2006/relationships/hyperlink" Target="https://arxiv.org/html/2506.07972v2" TargetMode="External"/><Relationship Id="rId83" Type="http://schemas.openxmlformats.org/officeDocument/2006/relationships/image" Target="media/image1.png"/><Relationship Id="rId84" Type="http://schemas.openxmlformats.org/officeDocument/2006/relationships/hyperlink" Target="https://arxiv.org/html/2402.01817v2" TargetMode="External"/><Relationship Id="rId85" Type="http://schemas.openxmlformats.org/officeDocument/2006/relationships/hyperlink" Target="https://openreview.net/forum?id=fsDZwS49uY" TargetMode="External"/><Relationship Id="rId86" Type="http://schemas.openxmlformats.org/officeDocument/2006/relationships/hyperlink" Target="https://arxiv.org/html/2602.08253v1" TargetMode="External"/><Relationship Id="rId87" Type="http://schemas.openxmlformats.org/officeDocument/2006/relationships/hyperlink" Target="https://arxiv.org/html/2607.00604v1" TargetMode="External"/><Relationship Id="rId88" Type="http://schemas.openxmlformats.org/officeDocument/2006/relationships/hyperlink" Target="https://sites.google.com/view/words-to-routes/" TargetMode="External"/><Relationship Id="rId89" Type="http://schemas.openxmlformats.org/officeDocument/2006/relationships/hyperlink" Target="https://fields2cover.github.io/source/tutorials/basic_types.html" TargetMode="External"/><Relationship Id="rId90" Type="http://schemas.openxmlformats.org/officeDocument/2006/relationships/hyperlink" Target="https://fields2cover.github.io/source/tutorials/objective_functions.html" TargetMode="External"/><Relationship Id="rId91" Type="http://schemas.openxmlformats.org/officeDocument/2006/relationships/hyperlink" Target="https://www.openstreetmap.org/copyright/en" TargetMode="External"/><Relationship Id="rId92" Type="http://schemas.openxmlformats.org/officeDocument/2006/relationships/hyperlink" Target="https://catalog.data.gov/dataset/national-agriculture-imagery-program-naip-imagery" TargetMode="External"/><Relationship Id="rId93" Type="http://schemas.openxmlformats.org/officeDocument/2006/relationships/hyperlink" Target="https://github.com/AgriMachineryBigData/Field-road_mode_mining" TargetMode="External"/><Relationship Id="rId94" Type="http://schemas.openxmlformats.org/officeDocument/2006/relationships/hyperlink" Target="https://fields2cover.github.io/source/tutorials/complete_flow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提示词到可编辑多车任务地图</dc:title>
  <dc:subject>VRP可视化路线调研与公平实验方案</dc:subject>
  <dc:creator>项目研究助理</dc:creator>
  <cp:keywords/>
  <dc:description>外部研究未在本轮复现；所有性能结论保留来源与适用条件。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