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napToGrid w:val="0"/>
      </w:pPr>
      <w:r>
        <w:rPr>
          <w:rFonts w:ascii="Liberation Serif" w:hAnsi="Liberation Serif" w:eastAsia="Noto Serif CJK SC"/>
          <w:color w:val="000000"/>
        </w:rPr>
        <w:t>遗传算法与粒子群算法的函数优化比较</w:t>
      </w:r>
    </w:p>
    <w:p>
      <w:pPr>
        <w:pStyle w:val="Subtitle"/>
        <w:jc w:val="center"/>
        <w:snapToGrid w:val="0"/>
      </w:pPr>
      <w:r>
        <w:rPr>
          <w:rFonts w:ascii="Liberation Serif" w:hAnsi="Liberation Serif" w:eastAsia="Noto Serif CJK SC"/>
          <w:color w:val="000000"/>
        </w:rPr>
        <w:t>十维基准函数上的等评估预算先导实验</w:t>
      </w:r>
    </w:p>
    <w:p>
      <w:pPr>
        <w:spacing w:after="200"/>
        <w:jc w:val="center"/>
        <w:snapToGrid w:val="0"/>
      </w:pPr>
      <w:r>
        <w:rPr>
          <w:rFonts w:ascii="Liberation Serif" w:hAnsi="Liberation Serif" w:eastAsia="Noto Serif CJK SC"/>
          <w:color w:val="000000"/>
          <w:sz w:val="18"/>
        </w:rPr>
        <w:t>P1 实验报告　2026 年 10 月 4 日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摘要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在相同目标评估预算下，比较实数编码遗传算法（GA）与同步全局最优粒子群算法（PSO）在 Sphere、Rastrigin 和 Ackley 三个十维函数上的表现。每个函数使用 20 组配对随机种子，每次运行以相同的 50 个初始点出发，严格进行 10,000 次目标评估。主实验共完成 120 次运行，保存 1,200,000 个原始目标值。结果表明，PSO 在 Sphere 与 Ackley 上的最终目标值均低于对应的 GA，且两函数均有 20/20 次达到预设的 10⁻⁶ 阈值；Rastrigin 上 GA 在 16/20 个配对种子中更优，但两算法均未达标。三组配对检验经 Holm 校正后仍呈现差异。该结论仅适用于本轮函数、预算及固定参数，不能推广为算法的普遍排名。</w:t>
      </w:r>
    </w:p>
    <w:p>
      <w:pPr>
        <w:jc w:val="left"/>
        <w:snapToGrid w:val="0"/>
      </w:pPr>
      <w:r>
        <w:rPr>
          <w:rFonts w:ascii="Liberation Serif" w:hAnsi="Liberation Serif" w:eastAsia="Noto Serif CJK SC"/>
          <w:color w:val="000000"/>
          <w:sz w:val="19"/>
        </w:rPr>
        <w:t>关键词　遗传算法　粒子群优化　配对实验　评估预算　可复现性</w:t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1 实验目标与问题定义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本实验考察两个问题：在相同计算机会下，两种基线能达到怎样的解精度；其相对表现是否随目标函数改变。采用已知最优解的解析函数，可以直接衡量最终误差，并将算法实现是否正确与是否找到高精度解分开判断。所有问题均为盒约束连续最小化，维度 d = 10，全局最优解 x* = 0，最优值 f* = 0。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(1)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</m:d>
            </m:e>
          </m:nary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(2)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y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0.2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e>
          </m:d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+</m:t>
          </m:r>
          <m:r>
            <m:t>e</m:t>
          </m:r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(3)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Sphere 与 Rastrigin 每个坐标的定义域均为 [−5.12, 5.12]，Ackley 为 [−32.768, 32.768]，函数及常用定义域见文献 [1–3]。Sphere 是平滑单峰函数；Rastrigin 具有周期性分布的多个局部极小值；Ackley 在中心最优区域之外存在较平缓且带振荡的区域。三者用于观察不同景观下的搜索差别，但不构成全面的优化问题集合。Rastrigin 按式（2）计算，以减少原点附近的大数相减，并以 expm1 计算 Ackley 的指数差，提高近零处的数值稳定性；目标值没有人为截断。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2 实数编码遗传算法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GA 直接以十维实向量表示候选解，种群规模为 50。初始种群在指定盒域内均匀采样并完成 50 次评估。每代采用有放回二元锦标赛：为每个父代位置随机抽取两个候选个体，选择目标值较小者，得到 50 个父代位置，再依次两两配对。算法由选择、模拟二进制交叉、变异和精英保留组成。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2.1 模拟二进制交叉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每对父代以 0.9 的概率启动交叉；启动后，每个坐标以 0.5 的概率使用模拟二进制交叉（SBX）[4]。令该坐标父代值为 a、b，取 u ∼ U[0, 1)，分布指数 ηc = 15，则扩展系数与两个子代坐标为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u</m:t>
                            </m:r>
                          </m:e>
                        </m:d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u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u</m:t>
                                    </m:r>
                                  </m:e>
                                </m:d>
                              </m:e>
                            </m:d>
                          </m:e>
                        </m:d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η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u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(4)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β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(5)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未参与交叉的坐标继承对应父代。随后将子代截断至上下界 [L, U]。因此，本实验的操作符是“无界 SBX 加截断修复”，而非先按边界条件改变采样分布的有界 SBX。两种实现不能仅因名称相同而视作同一算法配置。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2.2 边界距离缩放的多项式变异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每个子代坐标以 pm = 1/d = 0.1 的概率独立变异。采用 Deb 与 Deb [5] 的边界距离缩放形式，分布指数 ηm = 20。对被选中的坐标 x 重新采样 u ∼ U[0, 1)，位移为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u</m:t>
                                </m:r>
                              </m:e>
                            </m:d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η</m:t>
                                    </m:r>
                                  </m:e>
                                  <m:sub>
                                    <m:r>
                                      <m:t>m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u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−</m:t>
                                    </m:r>
                                    <m:r>
                                      <m:t>u</m:t>
                                    </m:r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η</m:t>
                                    </m:r>
                                  </m:e>
                                  <m:sub>
                                    <m:r>
                                      <m:t>m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u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(6)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变异后取 x′ = clip(x + Δx, L, U)。左向位移按 x − L 缩放，右向位移按 U − x 缩放；该式不同于常见的 NSGA-II 全区间多项式变异公式。这里按明确公式实现，不将其他变异版本的结果或性质直接套用到本实验。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2.3 精英保留与预算计数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每代重新评估全部 50 个子代，将它们与父代中最好的 2 个精英合并，从 52 个候选中保留最好的 50 个作为下一代。父代精英沿用已经得到的适应度；若新生成的子代与过去个体重复，仍执行并计入一次新的评估。这样，保留已有知识不产生额外评估，所有新采样点又受同一计数规则约束。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本轮共进行 199 代更新，连同初始化共消耗 50 + 199 × 50 = 10,000 次评估。达到成功阈值后也不提前终止，以保证最终结果对应相同预算。精英策略使历史最优值不会因换代而丢失，但不保证种群维持足够多样性，也不保证到达全局最优点。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3 同步全局最优粒子群算法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PSO 用粒子的位置表示候选解，以个人历史最优和群体历史最优引导移动，其基本思想见文献 [6]。粒子数为 50，位置与对应 GA 完全相同，初速度为零。第 t 次更新时，粒子 i 的速度与候选位置为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v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Sup>
            <m:e>
              <m:r>
                <m:rPr>
                  <m:sty m:val="b"/>
                </m:rP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b"/>
                </m:rPr>
                <m:t>r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⊙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g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(7)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acc>
                    <m:accPr>
                      <m:chr m:val="̃"/>
                    </m:accPr>
                    <m:e>
                      <m:r>
                        <m:rPr>
                          <m:sty m:val="b"/>
                        </m:rP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x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v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,</m:t>
          </m:r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(8)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其中，pᵢ 是个人历史最优位置，g 是群体历史最优位置；两个随机向量的各坐标独立服从 U[0, 1)，⊙ 表示逐坐标相乘。认知与社会系数均取 1.5，速度上限为每个坐标定义域宽度的 20%。199 次更新使用线性递减惯性权重：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0.9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0.4</m:t>
              </m:r>
              <m:r>
                <m:rPr>
                  <m:sty m:val="p"/>
                </m:rPr>
                <m:t>−</m:t>
              </m:r>
              <m:r>
                <m:t>0.9</m:t>
              </m:r>
            </m:e>
          </m:d>
          <m:f>
            <m:fPr>
              <m:type m:val="bar"/>
            </m:fPr>
            <m:num>
              <m:r>
                <m:t>t</m:t>
              </m:r>
            </m:num>
            <m:den>
              <m:r>
                <m:t>198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198</m:t>
          </m:r>
          <m:r>
            <m:rPr>
              <m:sty m:val="p"/>
            </m:rPr>
            <m:t>.</m:t>
          </m:r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(9)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若候选位置越界，将该坐标截断到边界，同时将该坐标速度置零，并保留修复后的速度供下一批使用。每批 50 个粒子全部移动并评估完成后，统一更新个人最优；下一批再据此确定群体最优。因此，这里采用同步全局最优拓扑，而非逐粒子立即传播新最优的异步版本。惯性权重、速度限幅和边界修复是本实验明确选择的配置，不声称复现 1995 年原始 PSO 的全部设置。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3.1 固定参数汇总</w:t>
      </w:r>
    </w:p>
    <w:p>
      <w:pPr>
        <w:pStyle w:val="Caption"/>
        <w:keepNext/>
        <w:snapToGrid w:val="0"/>
      </w:pPr>
      <w:r>
        <w:rPr>
          <w:rFonts w:ascii="Liberation Serif" w:hAnsi="Liberation Serif" w:eastAsia="Noto Serif CJK SC"/>
          <w:color w:val="000000"/>
        </w:rPr>
        <w:t>表 1　两算法的主要参数与共同约束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928"/>
        <w:gridCol w:w="6350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8"/>
              </w:rPr>
              <w:t>取值或规则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共同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维度与种群规模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d = 10；N = 50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共同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单次评估预算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10,000，含初始 50 次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共同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0–19，每函数 20 组配对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共同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终止方式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预算耗尽，无提前终止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GA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选择与精英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二元锦标赛；父代精英 2 个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GA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SBX 交叉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每对 0.9；每坐标 0.5；ηc = 15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GA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多项式变异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每坐标 0.1；ηm = 20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PSO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惯性与学习系数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w：0.9 → 0.4；c1 = c2 = 1.5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PSO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初速度与限幅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初速度 0；vmax = 0.2(U − L)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PSO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拓扑与边界</w:t>
            </w:r>
          </w:p>
        </w:tc>
        <w:tc>
          <w:tcPr>
            <w:tcW w:type="dxa" w:w="635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8"/>
              </w:rPr>
              <w:t>同步全局最优；截断并清零越界速度</w:t>
            </w:r>
          </w:p>
        </w:tc>
      </w:tr>
    </w:tbl>
    <w:p>
      <w:pPr>
        <w:spacing w:after="20" w:before="0" w:line="60" w:lineRule="auto"/>
        <w:snapToGrid w:val="0"/>
      </w:pPr>
      <w:r>
        <w:rPr>
          <w:sz w:val="2"/>
        </w:rPr>
        <w:t xml:space="preserve"> 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三函数共用表 1 的参数，不根据本轮结果为个别函数重新调参。统一设置便于描述基线差别，但并不意味着两种算法获得了相同程度的参数优化；结论应理解为这两套完整配置之间的比较。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4 实验设计与统计方法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4.1 配对起点与随机流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主实验按 3 个函数 × 2 个算法 × 20 个种子组织，共 120 次运行。每个“函数—种子”组合只生成一组初始种群，GA 与 PSO 使用逐元素相同的 50 个初始点，共保留 60 组初始种群及其 SHA256 指纹。相同起点降低初始采样优劣对算法比较的干扰，但不要求两算法后续搜索路径相同。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随机数生成器为 NumPy PCG64，根种子为 20261004。初始化流和两个算法操作流由函数编号、种子编号及流编号分别派生，避免算法调用顺序改变随机序列。不同种子的运行承担随机重复角色；单次运行内的 10,000 个目标值彼此相关，不能当作 10,000 个独立统计样本。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4.2 等评估预算与运行环境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所有目标函数调用均经过统一计数器。初始化、重复候选点均计费；未向算法提供已知最优点，也未在不同运行之间复用目标评估。每批检查数组形状、有穷值、边界和剩余预算，记录历史最优值及当批统计。每次运行有 200 个检查点，主实验合计 24,000 个。横轴统一使用目标评估次数，而不是代数或迭代编号。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实验于 2026 年 10 月 4 日在云端完成，实际环境为 Debian GNU/Linux 13.6、Python 3.12.14、NumPy 2.3.5、SciPy 1.17.0、Matplotlib 3.10.8，计算类型为 float64。目标 Ubuntu 22.04 环境尚未验证。本轮计时包含 Python 检查和记录开销，不包含绘图及落盘，且云端负载未经控制，因此只保留运行耗时记录，不据此比较算法速度。等评估预算约束的是目标查询机会，并不等同于相同墙钟时间。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4.3 指标与配对推断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主要终点为预算耗尽时的历史最优目标值，越小越好。由于三个函数 f* = 0，目标值本身也是绝对最优值误差。按函数和算法汇总中位数、四分位数、均值、样本标准差和极值，并将最终值 ≤ 10⁻⁶ 定义为达标。该阈值在运行前固定，用于区别“相对较优”与“达到指定精度”。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对同函数的 20 对最终值进行双侧 Wilcoxon 符号秩检验，使用原始未舍入差值、zero_method = wilcox 和 method = auto；三个函数的 p 值作 Holm 校正。配对输赢另采用绝对差 10⁻¹² 的平局容差。本轮无平局。效应方向以配对对数差表示：</w:t>
      </w:r>
    </w:p>
    <w:p>
      <w:pPr>
        <w:keepLines/>
        <w:spacing w:line="240" w:lineRule="auto" w:before="60" w:after="120"/>
        <w:jc w:val="center"/>
        <w:snapToGrid w:val="0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16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16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  <w:r>
        <w:rPr>
          <w:rFonts w:ascii="Liberation Serif" w:hAnsi="Liberation Serif" w:eastAsia="Noto Serif CJK SC"/>
          <w:color w:val="000000"/>
          <w:sz w:val="18"/>
        </w:rPr>
        <w:t xml:space="preserve">  (10)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Ds &gt; 0 表示 PSO 更优，Ds &lt; 0 表示 GA 更优。以种子对为单位进行 10,000 次 bootstrap 重抽样，计算 Ds 中位数的百分位 95% 区间，随机种子为 918273。区间未作多重性校正，仅作先导性描述。10⁻¹⁶ 下限只用于对数效应量和作图，不修改原始目标值、达标数或 Wilcoxon 检验。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5 最终优化结果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主实验 120 次运行均正常完成，且都恰好消耗 10,000 次评估。表 2 给出未经对数下限截断的最终统计量。每行对应 20 次运行，标准差采用样本标准差。三函数的最优值都为零，但尺度与搜索景观不同，因此不将它们的原始目标值直接混合取平均。</w:t>
      </w:r>
    </w:p>
    <w:p>
      <w:pPr>
        <w:pStyle w:val="Caption"/>
        <w:keepNext/>
        <w:snapToGrid w:val="0"/>
      </w:pPr>
      <w:r>
        <w:rPr>
          <w:rFonts w:ascii="Liberation Serif" w:hAnsi="Liberation Serif" w:eastAsia="Noto Serif CJK SC"/>
          <w:color w:val="000000"/>
        </w:rPr>
        <w:t>表 2　最终历史最优值及达标次数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624"/>
        <w:gridCol w:w="1928"/>
        <w:gridCol w:w="4365"/>
        <w:gridCol w:w="90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函数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算法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中位数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均值 ± 样本标准差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达标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Sphere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GA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2.4228×10⁻⁴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3.0140×10⁻⁴ ± 2.0575×10⁻⁴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0/20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Sphere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PSO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2.0921×10⁻¹⁶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4.6058×10⁻¹⁶ ± 5.9235×10⁻¹⁶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20/20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Rastrigin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GA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3.7628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3.9069 ± 1.6892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0/20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Rastrigin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PSO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7.9601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7.8603 ± 3.4602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0/20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Ackley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GA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1.6755×10⁻¹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1.9178×10⁻¹ ± 1.0109×10⁻¹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0/20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Ackley</w:t>
            </w:r>
          </w:p>
        </w:tc>
        <w:tc>
          <w:tcPr>
            <w:tcW w:type="dxa" w:w="6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PSO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8.2951×10⁻⁸</w:t>
            </w:r>
          </w:p>
        </w:tc>
        <w:tc>
          <w:tcPr>
            <w:tcW w:type="dxa" w:w="436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1.6290×10⁻⁷ ± 1.5317×10⁻⁷</w:t>
            </w:r>
          </w:p>
        </w:tc>
        <w:tc>
          <w:tcPr>
            <w:tcW w:type="dxa" w:w="90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20/20</w:t>
            </w:r>
          </w:p>
        </w:tc>
      </w:tr>
    </w:tbl>
    <w:p>
      <w:pPr>
        <w:spacing w:after="20" w:before="0" w:line="60" w:lineRule="auto"/>
        <w:snapToGrid w:val="0"/>
      </w:pPr>
      <w:r>
        <w:rPr>
          <w:sz w:val="2"/>
        </w:rPr>
        <w:t xml:space="preserve"> 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5.1 Sphere 与 Ackley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Sphere 上，PSO 的最终中位数为 2.0921×10⁻¹⁶，GA 为 2.4228×10⁻⁴；20 个配对中 PSO 均较优。PSO 的最大最终值仍为 2.2837×10⁻¹⁵，全部达到 10⁻⁶ 阈值；GA 的最小最终值为 1.9674×10⁻⁵，因此本轮没有一次达标。接近零的结果仍应按浮点数值理解，不将其表述为数学意义上的精确最优解。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Ackley 上，PSO 的中位数为 8.2951×10⁻⁸，20 次结果介于 2.8806×10⁻⁸ 与 4.9053×10⁻⁷，全部达标。GA 的中位数为 0.16755，结果介于 0.060072 与 0.38694，全部未达标。两函数均显示出这套 PSO 配置在最终精度上的优势，但不能据此推断它在所有多峰问题上也有优势。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5.2 Rastrigin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Rastrigin 的结果相反：GA 中位数 3.7628 低于 PSO 的 7.9601，在 16/20 对起点中得到更低目标值，另外 4 对由 PSO 更优。GA 四分位区间为 [2.9043, 5.3022]，PSO 为 [4.9749, 9.2035]；分布存在重叠，说明相同初始化下的优势并非每次都出现。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GA 的最好一次结果为 1.1573，PSO 为 2.9849，二者仍远高于 10⁻⁶。因而，该函数支持“GA 在这组配置下相对更好”，不支持“GA 已可靠求得全局最优”。两算法的 0/20 达标也提示，当前预算与参数组合不足以在这些种子上实现目标精度。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5.3 配对统计结果</w:t>
      </w:r>
    </w:p>
    <w:p>
      <w:pPr>
        <w:pStyle w:val="Caption"/>
        <w:keepNext/>
        <w:snapToGrid w:val="0"/>
      </w:pPr>
      <w:r>
        <w:rPr>
          <w:rFonts w:ascii="Liberation Serif" w:hAnsi="Liberation Serif" w:eastAsia="Noto Serif CJK SC"/>
          <w:color w:val="000000"/>
        </w:rPr>
        <w:t>表 3　配对比较与多重检验校正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531"/>
        <w:gridCol w:w="1757"/>
        <w:gridCol w:w="1361"/>
        <w:gridCol w:w="3175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函数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GA : PSO 较优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Holm 校正 p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Ds 中位数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  <w:shd w:fill="EDEDED"/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/>
                <w:color w:val="000000"/>
                <w:sz w:val="17"/>
              </w:rPr>
              <w:t>描述性 95% 区间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Sphere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0 : 20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5.7220×10⁻⁶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11.951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[11.582, 12.302]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Rastrigin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16 : 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8.2016×10⁻⁵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−0.310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[−0.403, −0.181]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Ackley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0 : 20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5.7220×10⁻⁶</w:t>
            </w:r>
          </w:p>
        </w:tc>
        <w:tc>
          <w:tcPr>
            <w:tcW w:type="dxa" w:w="136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6.278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tcBorders>
              <w:top w:val="single" w:sz="4" w:color="B8B8B8"/>
              <w:bottom w:val="single" w:sz="4" w:color="B8B8B8"/>
            </w:tcBorders>
          </w:tcPr>
          <w:p>
            <w:pPr>
              <w:spacing w:after="0" w:before="0" w:line="264" w:lineRule="auto"/>
              <w:jc w:val="left"/>
            </w:pPr>
            <w:r>
              <w:rPr>
                <w:rFonts w:ascii="Liberation Serif" w:hAnsi="Liberation Serif" w:eastAsia="Noto Serif CJK SC"/>
                <w:b w:val="0"/>
                <w:color w:val="000000"/>
                <w:sz w:val="17"/>
              </w:rPr>
              <w:t>[5.871, 6.585]</w:t>
            </w:r>
          </w:p>
        </w:tc>
      </w:tr>
    </w:tbl>
    <w:p>
      <w:pPr>
        <w:spacing w:after="20" w:before="0" w:line="60" w:lineRule="auto"/>
        <w:snapToGrid w:val="0"/>
      </w:pPr>
      <w:r>
        <w:rPr>
          <w:sz w:val="2"/>
        </w:rPr>
        <w:t xml:space="preserve"> 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检验结果与配对方向一致。Ds 的中位数不是两个边际中位数之比的对数，二者不应混用。尤其 Sphere 的部分值低于作图下限，其对数效应量受 10⁻¹⁶ 下限影响；最终精度应优先读取表 2 的原始尺度统计。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6 收敛轨迹与种子间差异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03999" cy="1855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855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napToGrid w:val="0"/>
      </w:pPr>
      <w:r>
        <w:rPr>
          <w:rFonts w:ascii="Liberation Serif" w:hAnsi="Liberation Serif" w:eastAsia="Noto Serif CJK SC"/>
          <w:color w:val="000000"/>
        </w:rPr>
        <w:t>图 1　随目标评估预算变化的历史最优值。实线为 20 个种子的中位数，阴影为四分位区间，并非置信区间；初始 50 次评估已计入横轴。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Sphere 上，PSO 在中后段仍持续降低目标值，而 GA 后段改进较慢。Ackley 上，两算法前段都降低了目标值；约 4,000 次评估后，PSO 的中位轨迹下降明显加快。Rastrigin 上，PSO 的后段中位轨迹接近平台，GA 则继续缓慢下降。这些曲线描述既定预算内已观察到的过程，不证明继续增加预算后仍保持相同排序。</w:t>
      </w:r>
    </w:p>
    <w:p>
      <w:pPr>
        <w:keepNext/>
        <w:spacing w:line="240" w:lineRule="auto" w:after="6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903999" cy="2043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4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napToGrid w:val="0"/>
      </w:pPr>
      <w:r>
        <w:rPr>
          <w:rFonts w:ascii="Liberation Serif" w:hAnsi="Liberation Serif" w:eastAsia="Noto Serif CJK SC"/>
          <w:color w:val="000000"/>
        </w:rPr>
        <w:t>图 2　10,000 次评估后的全部种子结果。点表示单次运行，浅色连线连接相同种子的 GA 与 PSO，箱体表示四分位区间；纵轴为对数尺度。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配对连线保留了共同起点信息。Sphere 与 Ackley 的全部配对方向一致，Rastrigin 则同时出现两个方向，与 16 : 4 的输赢统计相符。只展示均值或一条最优曲线会掩盖这种差异，因此同时报告完整散点、分位数和配对统计。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两个图的纵轴均为对数尺度，不同子图的范围不同，不宜直接比较曲线的视觉斜率。10⁻¹⁶ 的绘图下限使更小数值落在同一显示位置；这不代表它们的原始值相等，也未改变 CSV 中保留的结果。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7 结果解释与适用边界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7.1 搜索机制的可能作用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GA 通过锦标赛和精英保留强化较优个体，又通过交叉、变异生成新候选；PSO 通过个人与群体历史最优引导整个群体，并在本设置下逐渐降低惯性。Sphere 的平滑单峰结构与 PSO 后期集中搜索的轨迹相容；Ackley 的后段快速下降也提示群体在部分阶段进入了较有利的搜索区域。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Rastrigin 上的排序反转表明，仅以“单峰或多峰”概括问题仍不充分。GA 持续引入坐标扰动、PSO 向当前历史最优收缩，可能有助于理解后期差异；但本轮没有直接测量种群多样性，也没有去掉变异、改变拓扑或替换边界处理的消融对照。因此不能把“变异避免了局部最优”或“PSO 必然早熟”当作已被验证的原因。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7.2 公平性与结论范围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相同维度、种群数、初始点和目标评估预算，控制了几个影响较大的实验因素。两算法仍有不同的状态、操作开销和边界处理：GA 的 SBX 可先产生域外候选再截断，PSO 则对越界速度额外清零。故本实验比较的是公开列明的完整实现，不能把观察到的差异归因于某一个操作符。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参数在三个函数上固定，有利于避免事后选择最有利结果；与此同时，只比较一组参数无法回答“充分调参后的 GA 与 PSO 谁更好”。本次配置冻结与源码哈希在运行前保留，属于本地方案冻结，并非公开预注册。后续若据本轮结果改参，应将当前种子作为开发资料，并另设未使用的测试种子，防止调参与评价使用同一批数据。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7.3 样本与统计限制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20 个种子给出了这套随机初始化与操作流下的重复结果，未涵盖所有可能起点。Wilcoxon 符号秩检验的解释还依赖配对差值分布等条件；本报告没有据此建立跨问题总体模型。较小的 p 值支持当前配置间存在稳定差异，但不表示差异在其他维度、预算或函数上也成立。bootstrap 区间同样只反映这 20 对样本，且未作同时覆盖保证。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三函数均未作平移或旋转，全局最优位于域中心；因此无法充分考察坐标旋转、非均匀尺度、噪声或约束耦合的影响。只使用 d = 10 和 10,000 次评估，也无法区分维度增长、预算不足与参数选择各自造成的变化。当前实验是基础基线比较，不包含真实工程问题或先进方法的性能竞赛。</w:t>
      </w:r>
    </w:p>
    <w:p>
      <w:pPr>
        <w:pStyle w:val="Heading2"/>
        <w:snapToGrid w:val="0"/>
      </w:pPr>
      <w:r>
        <w:rPr>
          <w:rFonts w:ascii="Liberation Serif" w:hAnsi="Liberation Serif" w:eastAsia="Noto Serif CJK SC"/>
          <w:color w:val="000000"/>
        </w:rPr>
        <w:t>7.4 后续可检验的问题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下一轮宜先冻结独立种子与分析规则，再逐项增加维度和预算、平移或旋转版本，以及有限范围的参数敏感性试验。若研究机制，应优先比较变异强度、PSO 拓扑和边界修复的受控变化，并记录多样性等过程指标。若研究速度，则需单独控制硬件、负载、计时范围和重复次数。上述研究尚未执行，不作为本报告结论的证据。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8 结论与可复现性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在三种十维函数、20 组配对种子和每次 10,000 次评估的条件下，PSO 在 Sphere 与 Ackley 上的最终精度更高，且各有 20/20 次达到 10⁻⁶；GA 在 Rastrigin 上有 16/20 次相对较优，但两算法均未达标。结果说明，算法表现依赖问题和完整参数配置；达成相对优势与达到指定精度是两个不同结论。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全部主实验无运行失败，不能据此说全部求得了最优解。实现检查包括已知最优值、非零解析值、独立标量公式、边界与预算拒绝，以及 SBX、变异和 PSO 更新的手算对照。12 项单元测试通过；187 项运行数据、预算和复现审计通过。另做两轮各 6 次 seed 0 全预算复验，目标值序列均逐位一致。两轮共额外使用 120,000 次评估，不计入主实验的 120 个样本；单元测试的小预算调用也不计入统计样本。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实验目录保留配置、源码、初始种群、全部原始目标值、逐批轨迹、汇总表及验证记录。数据中有 60 组初始种群、120 个主运行和 24,000 个检查点。复现时应比较初始种群、目标值和轨迹，不以机器负载相关的计时字段、时间戳或压缩文件打包元数据是否相同作为判据。</w:t>
      </w:r>
    </w:p>
    <w:p>
      <w:pPr>
        <w:spacing w:line="264" w:lineRule="auto" w:before="40"/>
        <w:jc w:val="left"/>
        <w:snapToGrid w:val="0"/>
      </w:pPr>
      <w:r>
        <w:rPr>
          <w:rFonts w:ascii="Liberation Mono" w:hAnsi="Liberation Mono" w:eastAsia="Noto Serif CJK SC"/>
          <w:color w:val="000000"/>
          <w:sz w:val="18"/>
        </w:rPr>
        <w:t>python -m unittest discover -s tests -v</w:t>
        <w:br/>
        <w:t>python src/run_experiment.py --output results_reproduction</w:t>
      </w:r>
    </w:p>
    <w:p>
      <w:pPr>
        <w:jc w:val="both"/>
        <w:snapToGrid w:val="0"/>
      </w:pPr>
      <w:r>
        <w:rPr>
          <w:rFonts w:ascii="Liberation Serif" w:hAnsi="Liberation Serif" w:eastAsia="Noto Serif CJK SC"/>
          <w:color w:val="000000"/>
        </w:rPr>
        <w:t>以上命令在 experiments/function_optimization 目录执行，使用已记录版本的依赖。脚本拒绝覆盖已有结果，应为复验指定新目录。当前证据覆盖 Debian 13.6；迁移至 Ubuntu 22.04 后仍需重新完成环境和确定性检查。</w:t>
      </w:r>
    </w:p>
    <w:p>
      <w:pPr>
        <w:pStyle w:val="Heading1"/>
        <w:snapToGrid w:val="0"/>
      </w:pPr>
      <w:r>
        <w:rPr>
          <w:rFonts w:ascii="Liberation Serif" w:hAnsi="Liberation Serif" w:eastAsia="Noto Serif CJK SC"/>
          <w:color w:val="000000"/>
        </w:rPr>
        <w:t>参考文献</w:t>
      </w:r>
    </w:p>
    <w:p>
      <w:pPr>
        <w:spacing w:line="269" w:lineRule="auto" w:after="6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[1] SFU Virtual Library of Simulation Experiments. Sphere Function.</w:t>
      </w:r>
      <w:hyperlink r:id="rId12">
        <w:r>
          <w:rPr>
            <w:color w:val="000000"/>
          </w:rPr>
          <w:t> [原文]</w:t>
        </w:r>
      </w:hyperlink>
    </w:p>
    <w:p>
      <w:pPr>
        <w:spacing w:line="269" w:lineRule="auto" w:after="6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[2] SFU Virtual Library of Simulation Experiments. Rastrigin Function.</w:t>
      </w:r>
      <w:hyperlink r:id="rId13">
        <w:r>
          <w:rPr>
            <w:color w:val="000000"/>
          </w:rPr>
          <w:t> [原文]</w:t>
        </w:r>
      </w:hyperlink>
    </w:p>
    <w:p>
      <w:pPr>
        <w:spacing w:line="269" w:lineRule="auto" w:after="6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[3] SFU Virtual Library of Simulation Experiments. Ackley Function.</w:t>
      </w:r>
      <w:hyperlink r:id="rId14">
        <w:r>
          <w:rPr>
            <w:color w:val="000000"/>
          </w:rPr>
          <w:t> [原文]</w:t>
        </w:r>
      </w:hyperlink>
    </w:p>
    <w:p>
      <w:pPr>
        <w:spacing w:line="269" w:lineRule="auto" w:after="6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[4] Deb K. Resources on Real-Coded Genetic Algorithms and SBX.</w:t>
      </w:r>
      <w:hyperlink r:id="rId15">
        <w:r>
          <w:rPr>
            <w:color w:val="000000"/>
          </w:rPr>
          <w:t> [原文]</w:t>
        </w:r>
      </w:hyperlink>
    </w:p>
    <w:p>
      <w:pPr>
        <w:spacing w:line="269" w:lineRule="auto" w:after="6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[5] Deb K, Deb D. Analyzing Mutation Schemes for Real-Parameter Genetic Algorithms. KanGAL Report 2012016, 2012.</w:t>
      </w:r>
      <w:hyperlink r:id="rId16">
        <w:r>
          <w:rPr>
            <w:color w:val="000000"/>
          </w:rPr>
          <w:t> [原文]</w:t>
        </w:r>
      </w:hyperlink>
    </w:p>
    <w:p>
      <w:pPr>
        <w:spacing w:line="269" w:lineRule="auto" w:after="6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[6] Kennedy J, Eberhart R. Particle Swarm Optimization. Proceedings of ICNN, 1995: 1942–1948. DOI: 10.1109/ICNN.1995.488968.</w:t>
      </w:r>
      <w:hyperlink r:id="rId17">
        <w:r>
          <w:rPr>
            <w:color w:val="000000"/>
          </w:rPr>
          <w:t> [原文]</w:t>
        </w:r>
      </w:hyperlink>
    </w:p>
    <w:p>
      <w:pPr>
        <w:spacing w:before="100"/>
        <w:jc w:val="both"/>
        <w:snapToGrid w:val="0"/>
      </w:pPr>
      <w:r>
        <w:rPr>
          <w:rFonts w:ascii="Liberation Serif" w:hAnsi="Liberation Serif" w:eastAsia="Noto Serif CJK SC"/>
          <w:color w:val="000000"/>
          <w:sz w:val="17"/>
        </w:rPr>
        <w:t>网络文献核对日期为 2026 年 10 月 4 日。文献用于核对函数与操作符来源，表 2–3 和图 1–2 均为本次实际运行结果。</w:t>
      </w:r>
    </w:p>
    <w:sectPr w:rsidR="00FC693F" w:rsidRPr="0006063C" w:rsidSect="00034616">
      <w:footerReference w:type="default" r:id="rId9"/>
      <w:pgSz w:w="11906" w:h="16838"/>
      <w:pgMar w:top="1049" w:right="1304" w:bottom="1020" w:left="1304" w:header="34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</w:pPr>
    <w:rPr>
      <w:rFonts w:ascii="Liberation Serif" w:hAnsi="Liberation Serif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Liberation Serif" w:hAnsi="Liberation Serif" w:eastAsia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erif" w:hAnsi="Liberation Serif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Liberation Serif" w:hAnsi="Liberation Serif" w:eastAsia="Noto Serif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Liberation Serif" w:hAnsi="Liberation Serif" w:eastAsia="Noto Serif CJK SC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Liberation Serif" w:hAnsi="Liberation Serif" w:eastAsia="Noto Serif CJK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sfu.ca/~ssurjano/spheref.html" TargetMode="External"/><Relationship Id="rId13" Type="http://schemas.openxmlformats.org/officeDocument/2006/relationships/hyperlink" Target="https://www.sfu.ca/~ssurjano/rastr.html" TargetMode="External"/><Relationship Id="rId14" Type="http://schemas.openxmlformats.org/officeDocument/2006/relationships/hyperlink" Target="https://www.sfu.ca/~ssurjano/ackley.html" TargetMode="External"/><Relationship Id="rId15" Type="http://schemas.openxmlformats.org/officeDocument/2006/relationships/hyperlink" Target="https://www.egr.msu.edu/~kdeb/resources.shtml" TargetMode="External"/><Relationship Id="rId16" Type="http://schemas.openxmlformats.org/officeDocument/2006/relationships/hyperlink" Target="https://www.egr.msu.edu/~kdeb/papers/k2012016.pdf" TargetMode="External"/><Relationship Id="rId17" Type="http://schemas.openxmlformats.org/officeDocument/2006/relationships/hyperlink" Target="https://staff.washington.edu/paymana/swarm/kennedy95-ijcn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遗传算法与粒子群算法的函数优化比较</dc:title>
  <dc:subject>P1 函数优化实验报告</dc:subject>
  <dc:creator/>
  <cp:keywords>GA, PSO, Sphere, Rastrigin, Ackley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