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原132槽研究第一代阶段报告</w:t>
      </w:r>
    </w:p>
    <w:p>
      <w:pPr>
        <w:pStyle w:val="Subtitle"/>
      </w:pPr>
      <w:r>
        <w:t>五设计集数值结果与证据审计</w:t>
      </w:r>
    </w:p>
    <w:p>
      <w:r>
        <w:rPr>
          <w:b w:val="0"/>
        </w:rPr>
        <w:t>报告日期  2026年10月6日 UTC</w:t>
      </w:r>
    </w:p>
    <w:p>
      <w:r>
        <w:rPr>
          <w:b/>
        </w:rPr>
        <w:t>P1已于2026年10月6日07:55 UTC通过独立最终验收。本报告截止P1；P2后续单独推进，不计入此结果。</w:t>
      </w:r>
    </w:p>
    <w:p>
      <w:r>
        <w:rPr>
          <w:b w:val="0"/>
        </w:rPr>
        <w:t>第一代 P1 的固定60个生成槽已全部取得终态。31槽原始文本为空且 finish_reason 为 length；其余29个文本候选全部通过准入，并完成145个设计集评估包。EOH_TC 与 IID_TC 的最佳设计集 fitness 分别为0.9933047810099356与0.990238653410723，均高于各臂P0的0.961687165485736。[S1–S5]</w:t>
      </w:r>
    </w:p>
    <w:p>
      <w:r>
        <w:rPr>
          <w:b w:val="0"/>
        </w:rPr>
        <w:t>这些结果仅描述一个实验区块、五个固定设计集上的候选选择。没有 held-out 评估、没有本次数值执行新增的 control，也没有父代重评；不能据此宣称稳定优越性、统计显著性、泛化性能或完整132槽研究已完成。</w:t>
      </w:r>
    </w:p>
    <w:p>
      <w:pPr>
        <w:pStyle w:val="Heading2"/>
      </w:pPr>
      <w:r>
        <w:t>完成数量与固定分母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1800"/>
        <w:gridCol w:w="1728"/>
        <w:gridCol w:w="1584"/>
        <w:gridCol w:w="2088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>范围</w:t>
            </w:r>
          </w:p>
        </w:tc>
        <w:tc>
          <w:tcPr>
            <w:tcW w:type="dxa" w:w="18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生成槽终态</w:t>
            </w:r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空文本失败</w:t>
            </w:r>
          </w:p>
        </w:tc>
        <w:tc>
          <w:tcPr>
            <w:tcW w:type="dxa" w:w="158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准入候选</w:t>
            </w:r>
          </w:p>
        </w:tc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完成设计包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EOH_TC</w:t>
            </w:r>
          </w:p>
        </w:tc>
        <w:tc>
          <w:tcPr>
            <w:tcW w:type="dxa" w:w="18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30</w:t>
            </w:r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13</w:t>
            </w:r>
          </w:p>
        </w:tc>
        <w:tc>
          <w:tcPr>
            <w:tcW w:type="dxa" w:w="158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17</w:t>
            </w:r>
          </w:p>
        </w:tc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85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IID_TC</w:t>
            </w:r>
          </w:p>
        </w:tc>
        <w:tc>
          <w:tcPr>
            <w:tcW w:type="dxa" w:w="18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30</w:t>
            </w:r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18</w:t>
            </w:r>
          </w:p>
        </w:tc>
        <w:tc>
          <w:tcPr>
            <w:tcW w:type="dxa" w:w="158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合计</w:t>
            </w:r>
          </w:p>
        </w:tc>
        <w:tc>
          <w:tcPr>
            <w:tcW w:type="dxa" w:w="18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60</w:t>
            </w:r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31</w:t>
            </w:r>
          </w:p>
        </w:tc>
        <w:tc>
          <w:tcPr>
            <w:tcW w:type="dxa" w:w="158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29</w:t>
            </w:r>
          </w:p>
        </w:tc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145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P0 加 P1 累计</w:t>
            </w:r>
          </w:p>
        </w:tc>
        <w:tc>
          <w:tcPr>
            <w:tcW w:type="dxa" w:w="18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72</w:t>
            </w:r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39</w:t>
            </w:r>
          </w:p>
        </w:tc>
        <w:tc>
          <w:tcPr>
            <w:tcW w:type="dxa" w:w="158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33</w:t>
            </w:r>
          </w:p>
        </w:tc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165</w:t>
            </w:r>
          </w:p>
        </w:tc>
      </w:tr>
    </w:tbl>
    <w:p>
      <w:pPr>
        <w:spacing w:after="0"/>
      </w:pPr>
    </w:p>
    <w:p>
      <w:r>
        <w:rPr>
          <w:b w:val="0"/>
        </w:rPr>
        <w:t>P1准入率按原始生成分母为29/60，即48.33%；EOH为17/30，即56.67%，IID为12/30，即40.00%。29/29通过准入只适用于非空、可提取的文本候选，不能替代60槽分母。31个空输出不重抽、不补位，仍占原始预算和分母。</w:t>
      </w:r>
    </w:p>
    <w:p>
      <w:pPr>
        <w:pStyle w:val="Heading2"/>
      </w:pPr>
      <w:r>
        <w:t>原计划保留情况</w:t>
      </w:r>
    </w:p>
    <w:p>
      <w:r>
        <w:rPr>
          <w:b w:val="0"/>
        </w:rPr>
        <w:t>完整账本仍保留132行 generation 与780行 score，包含未执行项目。在该P1封存账本中，60个P2生成槽均为 planned。780评分行中165行 verified、615行 not_run：P0空输出对应40行、P1空输出对应155行、P2对应300行、control对应20行、封存确认集对应100行。[S4]</w:t>
      </w:r>
    </w:p>
    <w:p>
      <w:r>
        <w:rPr>
          <w:b w:val="0"/>
        </w:rPr>
        <w:t>累计完成72/132个生成槽不等于完成全部计划；未运行评分行既没有被删除，也没有被当作实际测得的零分。</w:t>
      </w:r>
    </w:p>
    <w:p>
      <w:r>
        <w:br w:type="page"/>
      </w:r>
    </w:p>
    <w:p>
      <w:pPr>
        <w:pStyle w:val="Heading1"/>
      </w:pPr>
      <w:r>
        <w:t>设计集与主要数值结果</w:t>
      </w:r>
    </w:p>
    <w:p>
      <w:r>
        <w:rPr>
          <w:b w:val="0"/>
        </w:rPr>
        <w:t>评估问题为容量100的在线装箱。五个固定设计集各含5000项，索引0至4的L1依次为2012、1983、1978、1986、1980，总计9939。候选仅以当前 item 与可行 bins 计算分数，由宿主选择分数最大的可行箱；评分不访问未来项。[S4]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1325"/>
        <w:gridCol w:w="1325"/>
        <w:gridCol w:w="1325"/>
        <w:gridCol w:w="1325"/>
        <w:gridCol w:w="1325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>设计集索引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0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1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2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3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项目数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5000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5000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5000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5000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5000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容量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L1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2012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1983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1978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1986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1980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P0 箱数 两臂相同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2094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2059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2057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2067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2058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EOH 最佳箱数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2026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1997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1995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1995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1993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IID 最佳箱数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2032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1997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1997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2007</w:t>
            </w:r>
          </w:p>
        </w:tc>
        <w:tc>
          <w:tcPr>
            <w:tcW w:type="dxa" w:w="132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2004</w:t>
            </w:r>
          </w:p>
        </w:tc>
      </w:tr>
    </w:tbl>
    <w:p>
      <w:pPr>
        <w:spacing w:after="0"/>
      </w:pPr>
    </w:p>
    <w:p>
      <w:pPr>
        <w:pStyle w:val="Heading2"/>
      </w:pPr>
      <w:r>
        <w:t>选择指标与报告指标</w:t>
      </w:r>
    </w:p>
    <w:p>
      <w:r>
        <w:rPr>
          <w:b w:val="0"/>
        </w:rPr>
        <w:t>主选择指标为五个比值 L1_i / used_bins_i 的算术平均，使用精确 Fraction 比较，越高越好。报告附带的 gap 为100 × (Σ used_bins_i − Σ L1_i) / Σ L1_i，越低越好；它不参与主排序。两种指标不互换。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744"/>
        <w:gridCol w:w="2736"/>
        <w:gridCol w:w="1728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>记录</w:t>
            </w:r>
          </w:p>
        </w:tc>
        <w:tc>
          <w:tcPr>
            <w:tcW w:type="dxa" w:w="374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精确 fitness</w:t>
            </w:r>
          </w:p>
        </w:tc>
        <w:tc>
          <w:tcPr>
            <w:tcW w:type="dxa" w:w="273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十进制 fitness</w:t>
            </w:r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报告 gap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 两臂</w:t>
            </w:r>
          </w:p>
        </w:tc>
        <w:tc>
          <w:tcPr>
            <w:tcW w:type="dxa" w:w="374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5039117513623279 / 5239871856954735</w:t>
            </w:r>
          </w:p>
        </w:tc>
        <w:tc>
          <w:tcPr>
            <w:tcW w:type="dxa" w:w="273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0.961687165485736</w:t>
            </w:r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3.984304256%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P1 EOH 最佳</w:t>
            </w:r>
          </w:p>
        </w:tc>
        <w:tc>
          <w:tcPr>
            <w:tcW w:type="dxa" w:w="374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39947558289907 / 40216818698175</w:t>
            </w:r>
          </w:p>
        </w:tc>
        <w:tc>
          <w:tcPr>
            <w:tcW w:type="dxa" w:w="273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0.9933047810099356</w:t>
            </w:r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0.674112084%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P1 IID 最佳</w:t>
            </w:r>
          </w:p>
        </w:tc>
        <w:tc>
          <w:tcPr>
            <w:tcW w:type="dxa" w:w="374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561169740881 / 566701510740</w:t>
            </w:r>
          </w:p>
        </w:tc>
        <w:tc>
          <w:tcPr>
            <w:tcW w:type="dxa" w:w="273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0.990238653410723</w:t>
            </w:r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0.986014690%</w:t>
            </w:r>
          </w:p>
        </w:tc>
      </w:tr>
    </w:tbl>
    <w:p>
      <w:pPr>
        <w:spacing w:after="0"/>
      </w:pPr>
    </w:p>
    <w:p>
      <w:r>
        <w:rPr>
          <w:b w:val="0"/>
        </w:rPr>
        <w:t>表中gap小数显示作舍入；精确报告gap分别为13200/3313、6700/9939、9800/9939。</w:t>
      </w:r>
    </w:p>
    <w:p>
      <w:r>
        <w:rPr>
          <w:b w:val="0"/>
        </w:rPr>
        <w:t>EOH最佳为 b01_EOH_TC_g1_m1_03，fitness较P0增加3.1617615524199563个百分点，五设计集合计少用329箱。IID最佳为 b01_IID_TC_g1_m2_04，增加2.8551487924987047个百分点，合计少用298箱。EOH与IID最佳在本设计面板上的差为0.30661275992126个百分点、31箱；这只是该面板的描述性比较。</w:t>
      </w:r>
    </w:p>
    <w:p>
      <w:pPr>
        <w:pStyle w:val="Heading2"/>
      </w:pPr>
      <w:r>
        <w:t>最佳源码的可见结构</w:t>
      </w:r>
    </w:p>
    <w:p>
      <w:r>
        <w:rPr>
          <w:b w:val="0"/>
        </w:rPr>
        <w:t>EOH最佳以放入物品后的剩余容量r计算两项指数之差，并减去0.000001 × r；r为0时返回1。IID最佳包含类似指数差项，另加中心约80.3682的高斯形状项，减去0.0001 × 剩余容量；精确装满时同样返回1。这是源码的结构描述，未对其公开文字中的概率解释、因果机制或分布外表现作额外验证；账本 description_consistency 仍为 undetermined。[S4]</w:t>
      </w:r>
    </w:p>
    <w:p>
      <w:r>
        <w:br w:type="page"/>
      </w:r>
    </w:p>
    <w:p>
      <w:pPr>
        <w:pStyle w:val="Heading1"/>
      </w:pPr>
      <w:r>
        <w:t>选择结果与多样性</w:t>
      </w:r>
    </w:p>
    <w:p>
      <w:r>
        <w:rPr>
          <w:b w:val="0"/>
        </w:rPr>
        <w:t>EOH的P1选择池为1个P0存活者加17个P1合格后代，容量6；IID选择池为P0与P1累计15个合格独立候选，保存1个最佳记录。先按冻结 order 顺序保留每个 joint identity 的最早代表，再以精确fitness降序、冻结 tie_priority 升序、ID升序排名。相同目标值本身不去重；相同代码、不同描述可并存。本次两个P1选择池均没有精确joint重复。[S2、S4、S8]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5472"/>
        <w:gridCol w:w="2880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>臂与序位</w:t>
            </w:r>
          </w:p>
        </w:tc>
        <w:tc>
          <w:tcPr>
            <w:tcW w:type="dxa" w:w="547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完整候选ID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fitness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EOH 1</w:t>
            </w:r>
          </w:p>
        </w:tc>
        <w:tc>
          <w:tcPr>
            <w:tcW w:type="dxa" w:w="547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b01_EOH_TC_g1_m1_03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0.9933047810099356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EOH 2</w:t>
            </w:r>
          </w:p>
        </w:tc>
        <w:tc>
          <w:tcPr>
            <w:tcW w:type="dxa" w:w="547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b01_EOH_TC_g1_e2_05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0.9746079703993848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EOH 3</w:t>
            </w:r>
          </w:p>
        </w:tc>
        <w:tc>
          <w:tcPr>
            <w:tcW w:type="dxa" w:w="547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b01_EOH_TC_g1_e1_05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0.9701447171891409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EOH 4</w:t>
            </w:r>
          </w:p>
        </w:tc>
        <w:tc>
          <w:tcPr>
            <w:tcW w:type="dxa" w:w="547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b01_EOH_TC_g1_m2_06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0.9641142869973359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EOH 5</w:t>
            </w:r>
          </w:p>
        </w:tc>
        <w:tc>
          <w:tcPr>
            <w:tcW w:type="dxa" w:w="547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b01_EOH_TC_g1_m1_06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0.9627087268207297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EOH 6</w:t>
            </w:r>
          </w:p>
        </w:tc>
        <w:tc>
          <w:tcPr>
            <w:tcW w:type="dxa" w:w="547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b01_EOH_TC_g1_e1_03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0.9626196085459475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IID 1</w:t>
            </w:r>
          </w:p>
        </w:tc>
        <w:tc>
          <w:tcPr>
            <w:tcW w:type="dxa" w:w="547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b01_IID_TC_g1_m2_04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0.990238653410723</w:t>
            </w:r>
          </w:p>
        </w:tc>
      </w:tr>
    </w:tbl>
    <w:p>
      <w:pPr>
        <w:spacing w:after="0"/>
      </w:pPr>
    </w:p>
    <w:p>
      <w:r>
        <w:rPr>
          <w:b w:val="0"/>
        </w:rPr>
        <w:t>六个EOH存活者全部属于唯一初始谱系 b01_EOH_TC_g0_i1_05。代码多样性并不等于独立初始谱系多样性。IID记录属于自身独立初始任务槽；IID槽名中的e1、e2、m1等为配对阶段标签，不意味着它接收了EOH式父代。</w:t>
      </w:r>
    </w:p>
    <w:p>
      <w:pPr>
        <w:pStyle w:val="Heading2"/>
      </w:pPr>
      <w:r>
        <w:t>P1候选的三层身份与观测轨迹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1224"/>
        <w:gridCol w:w="1656"/>
        <w:gridCol w:w="1656"/>
        <w:gridCol w:w="1728"/>
        <w:gridCol w:w="1656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>臂</w:t>
            </w:r>
          </w:p>
        </w:tc>
        <w:tc>
          <w:tcPr>
            <w:tcW w:type="dxa" w:w="12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候选数</w:t>
            </w:r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code identity</w:t>
            </w:r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joint identity</w:t>
            </w:r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五设计轨迹</w:t>
            </w:r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箱数向量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EOH_TC</w:t>
            </w:r>
          </w:p>
        </w:tc>
        <w:tc>
          <w:tcPr>
            <w:tcW w:type="dxa" w:w="12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17</w:t>
            </w:r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13</w:t>
            </w:r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17</w:t>
            </w:r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IID_TC</w:t>
            </w:r>
          </w:p>
        </w:tc>
        <w:tc>
          <w:tcPr>
            <w:tcW w:type="dxa" w:w="122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</w:tr>
    </w:tbl>
    <w:p>
      <w:pPr>
        <w:spacing w:after="0"/>
      </w:pPr>
    </w:p>
    <w:p>
      <w:r>
        <w:rPr>
          <w:b w:val="0"/>
        </w:rPr>
        <w:t>code identity采用冻结的规范化AST代码身份；joint identity联合规范化描述与该代码身份。五设计轨迹数按五个assignment hash组成的有序元组统计，箱数向量仅按五个used_bins统计。因此IID存在箱数相同但分配轨迹不同的情况。</w:t>
      </w:r>
    </w:p>
    <w:p>
      <w:r>
        <w:rPr>
          <w:b w:val="0"/>
        </w:rPr>
        <w:t>EOH的5个m3槽使用同一code identity；按轨迹维度，EOH有8个候选、IID有4个候选各自形成相同的五设计assignment-hash元组。EOH最终6个存活者有6种代码身份、6种joint身份、6种已观测轨迹；IID最终记录各为1种。</w:t>
      </w:r>
    </w:p>
    <w:p>
      <w:r>
        <w:rPr>
          <w:b w:val="0"/>
        </w:rPr>
        <w:t>这些hash统计只针对已验收回执所记载的五设计轨迹，不证明一般输入上的算法等价。完整分配向量未持久化，本报告未进行第二次离线向量回放；原快照的 behavior_diversity 字段保留 unknown_without_assignment_evidence，未改写为一般行为多样性结论。</w:t>
      </w:r>
    </w:p>
    <w:p>
      <w:r>
        <w:br w:type="page"/>
      </w:r>
    </w:p>
    <w:p>
      <w:pPr>
        <w:pStyle w:val="Heading1"/>
      </w:pPr>
      <w:r>
        <w:t>资源使用与计量边界</w:t>
      </w:r>
    </w:p>
    <w:p>
      <w:r>
        <w:rPr>
          <w:b w:val="0"/>
        </w:rPr>
        <w:t>本次数值执行以单次meter终态计量。退出码为0，meter终态记录 completed；回执后fsync时观测到5107.886133109001秒墙钟，约85.13分钟。这个时长覆盖本次数值执行外层流程，不是60槽模型生成的累计用时。[S1、S6]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2880"/>
        <w:gridCol w:w="3600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实测或约束</w:t>
            </w:r>
          </w:p>
        </w:tc>
        <w:tc>
          <w:tcPr>
            <w:tcW w:type="dxa" w:w="36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计量说明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外层meter墙钟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5107.886133109001 秒</w:t>
            </w:r>
          </w:p>
        </w:tc>
        <w:tc>
          <w:tcPr>
            <w:tcW w:type="dxa" w:w="36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receipt后fsync观察点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数值CPU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5089.824491 秒</w:t>
            </w:r>
          </w:p>
        </w:tc>
        <w:tc>
          <w:tcPr>
            <w:tcW w:type="dxa" w:w="36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准入加supervisor inclusive wait4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准入CPU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5.235439 秒</w:t>
            </w:r>
          </w:p>
        </w:tc>
        <w:tc>
          <w:tcPr>
            <w:tcW w:type="dxa" w:w="36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29次准入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supervisor inclusive CPU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5084.589052 秒</w:t>
            </w:r>
          </w:p>
        </w:tc>
        <w:tc>
          <w:tcPr>
            <w:tcW w:type="dxa" w:w="36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已包含子进程CPU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其中子进程CPU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2118.377858 秒</w:t>
            </w:r>
          </w:p>
        </w:tc>
        <w:tc>
          <w:tcPr>
            <w:tcW w:type="dxa" w:w="36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不再额外相加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其中supervisor自身CPU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2966.211194 秒</w:t>
            </w:r>
          </w:p>
        </w:tc>
        <w:tc>
          <w:tcPr>
            <w:tcW w:type="dxa" w:w="36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不与inclusive重复相加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可信harness及scheduler等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14.946956 CPU秒</w:t>
            </w:r>
          </w:p>
        </w:tc>
        <w:tc>
          <w:tcPr>
            <w:tcW w:type="dxa" w:w="36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合并开销；未单独观测scheduler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meter自身至receipt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216.356216 CPU秒</w:t>
            </w:r>
          </w:p>
        </w:tc>
        <w:tc>
          <w:tcPr>
            <w:tcW w:type="dxa" w:w="36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终态尾部未精测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数值CPU预留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17429 CPU秒</w:t>
            </w:r>
          </w:p>
        </w:tc>
        <w:tc>
          <w:tcPr>
            <w:tcW w:type="dxa" w:w="36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本次数值预算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准入及pack墙钟预留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13195 秒</w:t>
            </w:r>
          </w:p>
        </w:tc>
        <w:tc>
          <w:tcPr>
            <w:tcW w:type="dxa" w:w="36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29×5准入 + 145×90 pack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pack实测墙钟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5097.428222 秒</w:t>
            </w:r>
          </w:p>
        </w:tc>
        <w:tc>
          <w:tcPr>
            <w:tcW w:type="dxa" w:w="36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仅pack实测，不含准入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前向可信开销硬界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900 CPU秒</w:t>
            </w:r>
          </w:p>
        </w:tc>
        <w:tc>
          <w:tcPr>
            <w:tcW w:type="dxa" w:w="36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新补充；并非历史余额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前向外层inclusive墙钟界</w:t>
            </w:r>
          </w:p>
        </w:tc>
        <w:tc>
          <w:tcPr>
            <w:tcW w:type="dxa" w:w="28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14095 秒</w:t>
            </w:r>
          </w:p>
        </w:tc>
        <w:tc>
          <w:tcPr>
            <w:tcW w:type="dxa" w:w="36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新补充；持续生效的fatal alarm</w:t>
            </w:r>
          </w:p>
        </w:tc>
      </w:tr>
    </w:tbl>
    <w:p>
      <w:pPr>
        <w:spacing w:after="0"/>
      </w:pPr>
    </w:p>
    <w:p>
      <w:r>
        <w:rPr>
          <w:b w:val="0"/>
        </w:rPr>
        <w:t>数值CPU采用5.235439 + 5084.589052 = 5089.824491秒，不再加子进程2118.377858秒。score函数计时为26649328851纳秒，已包含在子进程CPU内，且不含准备、检查和序列化，不能当作整次评估总成本。</w:t>
      </w:r>
    </w:p>
    <w:p>
      <w:pPr>
        <w:pStyle w:val="Heading2"/>
      </w:pPr>
      <w:r>
        <w:t>可认证范围</w:t>
      </w:r>
    </w:p>
    <w:p>
      <w:r>
        <w:rPr>
          <w:b w:val="0"/>
        </w:rPr>
        <w:t>可信开销900 CPU秒是meter、主harness及至多一个继承限额scheduler各300秒的静态上界，并非一个已安装的聚合内核CPU上限。meter自身最后stdout与退出尾部没有精确测量，但仍在硬限制保护内；不能将其表述为完全精测的总CPU。</w:t>
      </w:r>
    </w:p>
    <w:p>
      <w:r>
        <w:rPr>
          <w:b w:val="0"/>
        </w:rPr>
        <w:t>前向补充明确设置14095秒外层墙钟和900 CPU秒可信开销界。原历史shared balance为unknown，旧shared cap全程合规未获认证；报告不把新补充追溯为原历史预算的全程证明。所有子进程清理的回执均通过，在本次P1审计边界没有遗留的unknown claim。[S3、S6]</w:t>
      </w:r>
    </w:p>
    <w:p>
      <w:r>
        <w:br w:type="page"/>
      </w:r>
    </w:p>
    <w:p>
      <w:pPr>
        <w:pStyle w:val="Heading1"/>
      </w:pPr>
      <w:r>
        <w:t>审计范围与结论限制</w:t>
      </w:r>
    </w:p>
    <w:p>
      <w:pPr>
        <w:pStyle w:val="Heading2"/>
      </w:pPr>
      <w:r>
        <w:t>数值与身份绑定</w:t>
      </w:r>
    </w:p>
    <w:p>
      <w:r>
        <w:rPr>
          <w:b w:val="0"/>
        </w:rPr>
        <w:t>基础审计核对29次准入、145份supervisor回执、174份worker回执与174组runtime claim/result，核对来源文件、清理状态、assignment hash、精确有理数fitness及选择结果。运行时用精确整数独立检查每个完整分配；离线审计复核通过的checker回执，不声称重新运行候选或回放未持久化向量。[S3]</w:t>
      </w:r>
    </w:p>
    <w:p>
      <w:r>
        <w:rPr>
          <w:b w:val="0"/>
        </w:rPr>
        <w:t>旧基础审计在完整archive源码、identity与winner绑定方面存在验证覆盖缺口。增强审计额外从已核实候选重建完整33行archive，保留4行历史P0；重建完整780行score账本与P1全快照；核对全132/780的精确、唯一ID序列；逐P1槽确认一次logical request；确认非P1记录不变以及P2 winner仍为空。[S2、S8]</w:t>
      </w:r>
    </w:p>
    <w:p>
      <w:r>
        <w:rPr>
          <w:b w:val="0"/>
        </w:rPr>
        <w:t>这描述的是审计覆盖补强，不是发现运行结果曾被篡改。增强审计passed且冻结状态未改变，审计期间没有模型调用、候选AST解析或候选执行。测试记录共10项通过，其中1项基线与9项变异检查，包括历史或当前源码、joint identity、重复ID、错误评分路由、逻辑次数、快照附属字段与伪造P2 winner。[S7]</w:t>
      </w:r>
    </w:p>
    <w:p>
      <w:r>
        <w:rPr>
          <w:b w:val="0"/>
        </w:rPr>
        <w:t>独立最终验收于2026年10月6日07:55:22 UTC完成，accepted为true。独立复跑base与strong审计的输出与原结果全等，原scheduler的纯数据replay与封存ledger精确一致；认证index版本120、meter工具退出码0、receipt后墙钟界与清理证据均绑定同一P1结果。最终边界文件固定了审计、账本、输入packet、报告与验收记录的哈希。[S9、S10]</w:t>
      </w:r>
    </w:p>
    <w:p>
      <w:pPr>
        <w:pStyle w:val="Heading2"/>
      </w:pPr>
      <w:r>
        <w:t>模型生成记录的可见性</w:t>
      </w:r>
    </w:p>
    <w:p>
      <w:r>
        <w:rPr>
          <w:b w:val="0"/>
        </w:rPr>
        <w:t>60槽记录60个不同session ID；29个非空输出均为finish_reason stop，31个空输出均为length。固定配置为glm-5.3、effort high、max_completion_tokens 32000、temperature 0.7、top_p 0.9、steps 2、tools false、单槽900秒、outer_retries 0、无付费provider fallback。记录证明配置值及会话捕获，不证明网络线上参数逐项可见；physical HTTP attempts仍为unknown，不宣称物理HTTP次数或实际token完全相等。[S4]</w:t>
      </w:r>
    </w:p>
    <w:p>
      <w:pPr>
        <w:pStyle w:val="Heading2"/>
      </w:pPr>
      <w:r>
        <w:t>哪些结论仍未建立</w:t>
      </w:r>
    </w:p>
    <w:p>
      <w:r>
        <w:rPr>
          <w:b w:val="0"/>
        </w:rPr>
        <w:t>本研究仅一个区块，模型采样种子未受可验证控制。29个成功文本候选的结果不能消除31槽空输出带来的生成效率损失。五设计集用于选择，未使用held-out；尚不能估计分布外泛化、重复运行稳定性、显著性或完整论文设置复现程度。EOH与IID最佳值的差也不直接识别进化机制的因果效果。</w:t>
      </w:r>
    </w:p>
    <w:p>
      <w:pPr>
        <w:pStyle w:val="Heading2"/>
      </w:pPr>
      <w:r>
        <w:t>下一步边界</w:t>
      </w:r>
    </w:p>
    <w:p>
      <w:r>
        <w:rPr>
          <w:b w:val="0"/>
        </w:rPr>
        <w:t>P1已于2026年10月6日07:55 UTC通过独立最终验收。本报告截止P1；P2后续单独推进，不计入此结果。</w:t>
      </w:r>
    </w:p>
    <w:p>
      <w:r>
        <w:rPr>
          <w:b w:val="0"/>
        </w:rPr>
        <w:t>独立验收已固定P1账本、两臂完整快照与源文件哈希，接受的范围仅为精确的P1证据，不授予P2、control或held-out执行。P2须在其适用授权、资源门槛与冻结协议下单独推进。本报告保留P1边界的原计划状态，后续P2进展不反向计入本报告；31个空输出不重抽、父代不重评。</w:t>
      </w:r>
    </w:p>
    <w:p>
      <w:r>
        <w:br w:type="page"/>
      </w:r>
    </w:p>
    <w:p>
      <w:pPr>
        <w:pStyle w:val="Heading1"/>
      </w:pPr>
      <w:r>
        <w:t>附录一 P1候选逐项结果</w:t>
      </w:r>
    </w:p>
    <w:p>
      <w:r>
        <w:rPr>
          <w:b w:val="0"/>
        </w:rPr>
        <w:t>下表包含全部29个通过准入的P1候选，按各臂的冻结order排列。E对应前缀b01_EOH_TC_，I对应b01_IID_TC_；保留列表示进入P1存活集合。完整ID、精确分数、代码与joint身份见 P1_CANDIDATES.csv；31个空输出在原账本保留，不混入此候选表。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4608"/>
        <w:gridCol w:w="2232"/>
        <w:gridCol w:w="864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候选缩写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五设计箱数 索引0至4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fitness 显示舍入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CE6ED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 g1_e1_01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2099, 2063, 2062, 2069, 2062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0.9598305701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 g1_e1_03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2093, 2058, 2056, 2063, 2055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0.9626196085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 g1_e1_05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2080, 2036, 2044, 2044, 2041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0.9701447172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 g1_e2_04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2095, 2059, 2057, 2065, 2058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0.9617815523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 g1_e2_05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2067, 2033, 2027, 2039, 2032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0.9746079704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 g1_m1_01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2094, 2059, 2057, 2067, 2058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0.9616871655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 g1_m1_02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2950, 2984, 3007, 3003, 2994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0.6654075822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 g1_m1_03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2026, 1997, 1995, 1995, 1993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0.9933047810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 g1_m1_06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2090, 2056, 2059, 2060, 2059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0.9627087268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 g1_m2_05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2094, 2059, 2057, 2067, 2058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0.9616871655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 g1_m2_06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2090, 2055, 2053, 2060, 2051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0.9641142870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 g1_m3_01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2094, 2059, 2057, 2067, 2058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0.9616871655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 g1_m3_02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2094, 2059, 2057, 2067, 2058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0.9616871655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 g1_m3_03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2094, 2059, 2057, 2067, 2058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0.9616871655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 g1_m3_04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2094, 2059, 2057, 2067, 2058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0.9616871655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 g1_m3_05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2094, 2059, 2057, 2067, 2058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0.9616871655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 g1_m3_06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2094, 2059, 2057, 2067, 2058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0.9616871655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 g1_e1_02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2094, 2059, 2057, 2067, 2058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0.9616871655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 g1_e1_03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2094, 2059, 2057, 2067, 2058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0.9616871655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 g1_e2_02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2080, 2042, 2049, 2056, 2048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0.9673027167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 g1_e2_03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2112, 2075, 2076, 2085, 2076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0.9534766422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 g1_e2_05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2094, 2059, 2057, 2067, 2058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0.9616871655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 g1_e2_06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2094, 2059, 2057, 2067, 2058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0.9616871655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 g1_m1_01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2094, 2059, 2057, 2067, 2058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0.9616871655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 g1_m2_02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2094, 2061, 2057, 2065, 2058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0.9616863625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 g1_m2_04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2032, 1997, 1997, 2007, 2004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0.9902386534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 g1_m2_05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2902, 2910, 2952, 2948, 2925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0.6790825202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 g1_m3_01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2119, 2082, 2079, 2086, 2079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0.9515630632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A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 g1_m3_03</w:t>
            </w:r>
          </w:p>
        </w:tc>
        <w:tc>
          <w:tcPr>
            <w:tcW w:type="dxa" w:w="460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2060, 2026, 2048, 2033, 2035</w:t>
            </w:r>
          </w:p>
        </w:tc>
        <w:tc>
          <w:tcPr>
            <w:tcW w:type="dxa" w:w="223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0.9742299367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FFFFF"/>
          </w:tcPr>
          <w:p>
            <w:pPr>
              <w:spacing w:after="0" w:line="24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</w:tbl>
    <w:p>
      <w:pPr>
        <w:spacing w:after="0"/>
      </w:pPr>
    </w:p>
    <w:p>
      <w:r>
        <w:rPr>
          <w:b w:val="0"/>
        </w:rPr>
        <w:t>表内小数仅为显示而舍入，排序依据未舍入的精确Fraction。</w:t>
      </w:r>
    </w:p>
    <w:p>
      <w:r>
        <w:br w:type="page"/>
      </w:r>
    </w:p>
    <w:p>
      <w:pPr>
        <w:pStyle w:val="Heading1"/>
      </w:pPr>
      <w:r>
        <w:t>附录二 证据文件与哈希</w:t>
      </w:r>
    </w:p>
    <w:p>
      <w:r>
        <w:rPr>
          <w:b w:val="0"/>
        </w:rPr>
        <w:t>以下均为包内相对路径，SHA256按文件原始字节计算。账本自身sha256字段采用其规范化内容口径，与文件字节哈希不同；二者不得混用。JSON源文件是完整证据，正文表格是便于阅读的派生摘要。</w:t>
      </w:r>
    </w:p>
    <w:p>
      <w:pPr>
        <w:spacing w:after="40"/>
      </w:pPr>
      <w:r>
        <w:rPr>
          <w:b/>
          <w:sz w:val="18"/>
        </w:rPr>
        <w:t>S1  终态交付摘要</w:t>
      </w:r>
    </w:p>
    <w:p>
      <w:pPr>
        <w:spacing w:after="40" w:line="200" w:lineRule="exact"/>
      </w:pPr>
      <w:r>
        <w:rPr>
          <w:rFonts w:ascii="DejaVu Sans Mono" w:hAnsi="DejaVu Sans Mono"/>
          <w:sz w:val="15"/>
        </w:rPr>
        <w:t>../original132_phase1_coordination_20261006/TERMINAL_DELIVERY.json</w:t>
      </w:r>
    </w:p>
    <w:p>
      <w:pPr>
        <w:spacing w:after="120" w:line="200" w:lineRule="exact"/>
      </w:pPr>
      <w:r>
        <w:rPr>
          <w:rFonts w:ascii="DejaVu Sans Mono" w:hAnsi="DejaVu Sans Mono"/>
          <w:sz w:val="15"/>
        </w:rPr>
        <w:t>SHA256  915180c59454ad330e4cd96e78eeb381fdb7c20fa66fbd5ddf1927aaed7a1c3d</w:t>
      </w:r>
    </w:p>
    <w:p>
      <w:pPr>
        <w:spacing w:after="40"/>
      </w:pPr>
      <w:r>
        <w:rPr>
          <w:b/>
          <w:sz w:val="18"/>
        </w:rPr>
        <w:t>S2  增强终态审计</w:t>
      </w:r>
    </w:p>
    <w:p>
      <w:pPr>
        <w:spacing w:after="40" w:line="200" w:lineRule="exact"/>
      </w:pPr>
      <w:r>
        <w:rPr>
          <w:rFonts w:ascii="DejaVu Sans Mono" w:hAnsi="DejaVu Sans Mono"/>
          <w:sz w:val="15"/>
        </w:rPr>
        <w:t>../original132_phase1_evaluation_ready_20261006/STRONG_TERMINAL_AUDIT.json</w:t>
      </w:r>
    </w:p>
    <w:p>
      <w:pPr>
        <w:spacing w:after="120" w:line="200" w:lineRule="exact"/>
      </w:pPr>
      <w:r>
        <w:rPr>
          <w:rFonts w:ascii="DejaVu Sans Mono" w:hAnsi="DejaVu Sans Mono"/>
          <w:sz w:val="15"/>
        </w:rPr>
        <w:t>SHA256  8549ebbbd773d1c83146dc5a789bc181e4f462f31b19d65152681020c96f9689</w:t>
      </w:r>
    </w:p>
    <w:p>
      <w:pPr>
        <w:spacing w:after="40"/>
      </w:pPr>
      <w:r>
        <w:rPr>
          <w:b/>
          <w:sz w:val="18"/>
        </w:rPr>
        <w:t>S3  回执与精确评分基础审计</w:t>
      </w:r>
    </w:p>
    <w:p>
      <w:pPr>
        <w:spacing w:after="40" w:line="200" w:lineRule="exact"/>
      </w:pPr>
      <w:r>
        <w:rPr>
          <w:rFonts w:ascii="DejaVu Sans Mono" w:hAnsi="DejaVu Sans Mono"/>
          <w:sz w:val="15"/>
        </w:rPr>
        <w:t>../original132_phase1_evaluation_ready_20261006/BASE_TERMINAL_AUDIT.json</w:t>
      </w:r>
    </w:p>
    <w:p>
      <w:pPr>
        <w:spacing w:after="120" w:line="200" w:lineRule="exact"/>
      </w:pPr>
      <w:r>
        <w:rPr>
          <w:rFonts w:ascii="DejaVu Sans Mono" w:hAnsi="DejaVu Sans Mono"/>
          <w:sz w:val="15"/>
        </w:rPr>
        <w:t>SHA256  5bd03441f306580f198e89c361d52966b0449306492450bea7e3c312a2f5bf33</w:t>
      </w:r>
    </w:p>
    <w:p>
      <w:pPr>
        <w:spacing w:after="40"/>
      </w:pPr>
      <w:r>
        <w:rPr>
          <w:b/>
          <w:sz w:val="18"/>
        </w:rPr>
        <w:t>S4  完整调度账本</w:t>
      </w:r>
    </w:p>
    <w:p>
      <w:pPr>
        <w:spacing w:after="40" w:line="200" w:lineRule="exact"/>
      </w:pPr>
      <w:r>
        <w:rPr>
          <w:rFonts w:ascii="DejaVu Sans Mono" w:hAnsi="DejaVu Sans Mono"/>
          <w:sz w:val="15"/>
        </w:rPr>
        <w:t>../urp132_20261005_b01_phase1_numerical_state/scheduler-ledger-01beb081fc2f939a551567107241f15978f369ed336175d4e90046dac48438e7.json</w:t>
      </w:r>
    </w:p>
    <w:p>
      <w:pPr>
        <w:spacing w:after="120" w:line="200" w:lineRule="exact"/>
      </w:pPr>
      <w:r>
        <w:rPr>
          <w:rFonts w:ascii="DejaVu Sans Mono" w:hAnsi="DejaVu Sans Mono"/>
          <w:sz w:val="15"/>
        </w:rPr>
        <w:t>SHA256  fe1b8365506f0ae0403d3411655066f6325588ed7137746a0a3e52389942a22f</w:t>
      </w:r>
    </w:p>
    <w:p>
      <w:pPr>
        <w:spacing w:after="40"/>
      </w:pPr>
      <w:r>
        <w:rPr>
          <w:b/>
          <w:sz w:val="18"/>
        </w:rPr>
        <w:t>S5  数值阶段报告</w:t>
      </w:r>
    </w:p>
    <w:p>
      <w:pPr>
        <w:spacing w:after="40" w:line="200" w:lineRule="exact"/>
      </w:pPr>
      <w:r>
        <w:rPr>
          <w:rFonts w:ascii="DejaVu Sans Mono" w:hAnsi="DejaVu Sans Mono"/>
          <w:sz w:val="15"/>
        </w:rPr>
        <w:t>../urp132_20261005_b01_phase1_numerical_state/report-6eab5ab8c5879c88a4348bd2e70acfa8ddde932352af43796cc302413e2ba357.json</w:t>
      </w:r>
    </w:p>
    <w:p>
      <w:pPr>
        <w:spacing w:after="120" w:line="200" w:lineRule="exact"/>
      </w:pPr>
      <w:r>
        <w:rPr>
          <w:rFonts w:ascii="DejaVu Sans Mono" w:hAnsi="DejaVu Sans Mono"/>
          <w:sz w:val="15"/>
        </w:rPr>
        <w:t>SHA256  021b823f06b966de761714d7470d169b6947b65914c0b1dc3fe193aea4abbfe7</w:t>
      </w:r>
    </w:p>
    <w:p>
      <w:pPr>
        <w:spacing w:after="40"/>
      </w:pPr>
      <w:r>
        <w:rPr>
          <w:b/>
          <w:sz w:val="18"/>
        </w:rPr>
        <w:t>S6  前向资源计量回执</w:t>
      </w:r>
    </w:p>
    <w:p>
      <w:pPr>
        <w:spacing w:after="40" w:line="200" w:lineRule="exact"/>
      </w:pPr>
      <w:r>
        <w:rPr>
          <w:rFonts w:ascii="DejaVu Sans Mono" w:hAnsi="DejaVu Sans Mono"/>
          <w:sz w:val="15"/>
        </w:rPr>
        <w:t>../original132_phase1_forward_accounting_20261006/run.receipt.json</w:t>
      </w:r>
    </w:p>
    <w:p>
      <w:pPr>
        <w:spacing w:after="120" w:line="200" w:lineRule="exact"/>
      </w:pPr>
      <w:r>
        <w:rPr>
          <w:rFonts w:ascii="DejaVu Sans Mono" w:hAnsi="DejaVu Sans Mono"/>
          <w:sz w:val="15"/>
        </w:rPr>
        <w:t>SHA256  3eec01f09d2bd3abc16b671f5a59ea2bd60a76761563a46ccd36fea81be5ce32</w:t>
      </w:r>
    </w:p>
    <w:p>
      <w:pPr>
        <w:spacing w:after="40"/>
      </w:pPr>
      <w:r>
        <w:rPr>
          <w:b/>
          <w:sz w:val="18"/>
        </w:rPr>
        <w:t>S7  源绑定回归测试记录</w:t>
      </w:r>
    </w:p>
    <w:p>
      <w:pPr>
        <w:spacing w:after="40" w:line="200" w:lineRule="exact"/>
      </w:pPr>
      <w:r>
        <w:rPr>
          <w:rFonts w:ascii="DejaVu Sans Mono" w:hAnsi="DejaVu Sans Mono"/>
          <w:sz w:val="15"/>
        </w:rPr>
        <w:t>../original132_phase1_evaluation_ready_20261006/TEST_SOURCE_BINDING.log</w:t>
      </w:r>
    </w:p>
    <w:p>
      <w:pPr>
        <w:spacing w:after="120" w:line="200" w:lineRule="exact"/>
      </w:pPr>
      <w:r>
        <w:rPr>
          <w:rFonts w:ascii="DejaVu Sans Mono" w:hAnsi="DejaVu Sans Mono"/>
          <w:sz w:val="15"/>
        </w:rPr>
        <w:t>SHA256  b107c4f296afe5e8144f21a4b329dd5b44bffd2ecfb96edd9c5b5d5e46a748fa</w:t>
      </w:r>
    </w:p>
    <w:p>
      <w:pPr>
        <w:spacing w:after="40"/>
      </w:pPr>
      <w:r>
        <w:rPr>
          <w:b/>
          <w:sz w:val="18"/>
        </w:rPr>
        <w:t>S8  源绑定审计实现</w:t>
      </w:r>
    </w:p>
    <w:p>
      <w:pPr>
        <w:spacing w:after="40" w:line="200" w:lineRule="exact"/>
      </w:pPr>
      <w:r>
        <w:rPr>
          <w:rFonts w:ascii="DejaVu Sans Mono" w:hAnsi="DejaVu Sans Mono"/>
          <w:sz w:val="15"/>
        </w:rPr>
        <w:t>../original132_phase1_evaluation_ready_20261006/audit_source_binding.py</w:t>
      </w:r>
    </w:p>
    <w:p>
      <w:pPr>
        <w:spacing w:after="120" w:line="200" w:lineRule="exact"/>
      </w:pPr>
      <w:r>
        <w:rPr>
          <w:rFonts w:ascii="DejaVu Sans Mono" w:hAnsi="DejaVu Sans Mono"/>
          <w:sz w:val="15"/>
        </w:rPr>
        <w:t>SHA256  c26eb06b65376c0ec8b45869c6f569ad3659a6bd376452cde166ea9137729699</w:t>
      </w:r>
    </w:p>
    <w:p>
      <w:pPr>
        <w:spacing w:after="40"/>
      </w:pPr>
      <w:r>
        <w:rPr>
          <w:b/>
          <w:sz w:val="18"/>
        </w:rPr>
        <w:t>S9  独立最终验收</w:t>
      </w:r>
    </w:p>
    <w:p>
      <w:pPr>
        <w:spacing w:after="40" w:line="200" w:lineRule="exact"/>
      </w:pPr>
      <w:r>
        <w:rPr>
          <w:rFonts w:ascii="DejaVu Sans Mono" w:hAnsi="DejaVu Sans Mono"/>
          <w:sz w:val="15"/>
        </w:rPr>
        <w:t>../audit_original132_phase1_terminal_independent_20261006/P1_INDEPENDENT_REVIEWER_ACCEPTANCE.json</w:t>
      </w:r>
    </w:p>
    <w:p>
      <w:pPr>
        <w:spacing w:after="120" w:line="200" w:lineRule="exact"/>
      </w:pPr>
      <w:r>
        <w:rPr>
          <w:rFonts w:ascii="DejaVu Sans Mono" w:hAnsi="DejaVu Sans Mono"/>
          <w:sz w:val="15"/>
        </w:rPr>
        <w:t>SHA256  db37f0c5f5a6bddd08ea033983554e6610db170e0bdfa6a7737c41b7d56bddff</w:t>
      </w:r>
    </w:p>
    <w:p>
      <w:pPr>
        <w:spacing w:after="40"/>
      </w:pPr>
      <w:r>
        <w:rPr>
          <w:b/>
          <w:sz w:val="18"/>
        </w:rPr>
        <w:t>S10  最终P1边界证据</w:t>
      </w:r>
    </w:p>
    <w:p>
      <w:pPr>
        <w:spacing w:after="40" w:line="200" w:lineRule="exact"/>
      </w:pPr>
      <w:r>
        <w:rPr>
          <w:rFonts w:ascii="DejaVu Sans Mono" w:hAnsi="DejaVu Sans Mono"/>
          <w:sz w:val="15"/>
        </w:rPr>
        <w:t>../audit_original132_phase1_terminal_independent_20261006/FINAL_P1_BOUNDARY_EVIDENCE.json</w:t>
      </w:r>
    </w:p>
    <w:p>
      <w:pPr>
        <w:spacing w:after="120" w:line="200" w:lineRule="exact"/>
      </w:pPr>
      <w:r>
        <w:rPr>
          <w:rFonts w:ascii="DejaVu Sans Mono" w:hAnsi="DejaVu Sans Mono"/>
          <w:sz w:val="15"/>
        </w:rPr>
        <w:t>SHA256  cb85e56d61f90dbf74e1e10df87f74b22275982921849a9c294f8d1e07718a40</w:t>
      </w:r>
    </w:p>
    <w:p>
      <w:r>
        <w:rPr>
          <w:b w:val="0"/>
        </w:rPr>
        <w:t>完整生成与评分账本的内部sha256：16423d0c433762de7640c6731c83f58dc8975a22822eab51a2bda078214cda4b。数值report内部sha256：6eab5ab8c5879c88a4348bd2e70acfa8ddde932352af43796cc302413e2ba357。</w:t>
      </w:r>
    </w:p>
    <w:p>
      <w:r>
        <w:rPr>
          <w:b w:val="0"/>
        </w:rPr>
        <w:t>报告派生文件：P1_CANDIDATES.csv提供逐候选数值及身份；DERIVED_STATISTICS.json记录只读统计结果；SOURCE_MANIFEST.json列出文件路径、字节数与文件SHA256。</w:t>
      </w:r>
    </w:p>
    <w:sectPr w:rsidR="00FC693F" w:rsidRPr="0006063C" w:rsidSect="00034616">
      <w:footerReference w:type="default" r:id="rId9"/>
      <w:pgSz w:w="12240" w:h="15840"/>
      <w:pgMar w:top="936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/>
        <w:sz w:val="16"/>
      </w:rPr>
      <w:t xml:space="preserve">原132槽研究  P1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0" w:lineRule="exact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原132槽研究第一代阶段报告</dc:title>
  <dc:subject>P1 五设计集数值结果与证据审计</dc:subject>
  <dc:creator/>
  <cp:keywords>P1,132,EOH_TC,IID_TC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