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60"/>
      </w:pPr>
      <w:r>
        <w:t>BPP 冻结前缀选择器分布转换验证</w:t>
      </w:r>
    </w:p>
    <w:p>
      <w:pPr>
        <w:spacing w:before="60"/>
      </w:pPr>
      <w:r>
        <w:t>2026年10月6日  36条转换流  18条平稳对照  216次真实运行</w:t>
      </w:r>
    </w:p>
    <w:p>
      <w:pPr>
        <w:pStyle w:val="Heading1"/>
        <w:spacing w:before="60"/>
      </w:pPr>
      <w:r>
        <w:t>结论与适用边界</w:t>
      </w:r>
    </w:p>
    <w:p>
      <w:pPr>
        <w:spacing w:before="60"/>
      </w:pPr>
      <w:r>
        <w:t>看前500件后只选一次策略，不能保证后续分布改变时仍选对。在本次36条转换流中，SELECTOR比固定训练基线平均多用7.81箱，7胜、20平、9负；最坏多69箱。对应18条平稳流平均省3.89箱，7胜、10平、1负，最坏多1箱。</w:t>
      </w:r>
    </w:p>
    <w:p>
      <w:pPr>
        <w:spacing w:before="60"/>
      </w:pPr>
      <w:r>
        <w:t>这是一项在已观察旧负例后提出、再冻结定义与新seed的合成时间分布变化验证。它复用原6种边际生成器，测试新的时序组合，不是新边际族发现或现实外部盲测。转换与平稳样本相关，不能据此宣称显著性。</w:t>
      </w:r>
    </w:p>
    <w:p>
      <w:pPr>
        <w:pStyle w:val="Heading1"/>
        <w:spacing w:before="60"/>
      </w:pPr>
      <w:r>
        <w:t>对照口径</w:t>
      </w:r>
    </w:p>
    <w:p>
      <w:pPr>
        <w:spacing w:before="60"/>
      </w:pPr>
      <w:r>
        <w:t>每流5000件、容量100，原模型、31维特征、k=5及四种策略口径完全冻结，无训练、调参或补跑。SELECTOR先用BF装入500件，在第501件到达前选定BF或BF_then_EoH，之后不再更新。SBS为原训练集选定的BF_then_EoH。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760"/>
        <w:gridCol w:w="2304"/>
        <w:gridCol w:w="2304"/>
      </w:tblGrid>
      <w:tr>
        <w:trPr>
          <w:tblHeader/>
        </w:trPr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7EDF3"/>
          </w:tcPr>
          <w:p>
            <w:pPr>
              <w:spacing w:after="0" w:line="245" w:lineRule="auto"/>
              <w:jc w:val="center"/>
            </w:pPr>
            <w:r>
              <w:rPr>
                <w:b/>
                <w:sz w:val="18"/>
              </w:rPr>
              <w:t>策略或参照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7EDF3"/>
          </w:tcPr>
          <w:p>
            <w:pPr>
              <w:spacing w:after="0" w:line="245" w:lineRule="auto"/>
              <w:jc w:val="center"/>
            </w:pPr>
            <w:r>
              <w:rPr>
                <w:b/>
                <w:sz w:val="18"/>
              </w:rPr>
              <w:t>转换流均值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7EDF3"/>
          </w:tcPr>
          <w:p>
            <w:pPr>
              <w:spacing w:after="0" w:line="245" w:lineRule="auto"/>
              <w:jc w:val="center"/>
            </w:pPr>
            <w:r>
              <w:rPr>
                <w:b/>
                <w:sz w:val="18"/>
              </w:rPr>
              <w:t>平稳流均值</w:t>
            </w:r>
          </w:p>
        </w:tc>
      </w:tr>
      <w:tr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全程BF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2565.972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2606.389</w:t>
            </w:r>
          </w:p>
        </w:tc>
      </w:tr>
      <w:tr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BF500后续EoH  固定SBS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2557.778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2597.667</w:t>
            </w:r>
          </w:p>
        </w:tc>
      </w:tr>
      <w:tr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全程published EoH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2557.389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2597.167</w:t>
            </w:r>
          </w:p>
        </w:tc>
      </w:tr>
      <w:tr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冻结SELECTOR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2565.583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2593.778</w:t>
            </w:r>
          </w:p>
        </w:tc>
      </w:tr>
      <w:tr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同BF500两分支事后oracle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2553.556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2593.722</w:t>
            </w:r>
          </w:p>
        </w:tc>
      </w:tr>
    </w:tbl>
    <w:p>
      <w:pPr>
        <w:spacing w:before="60"/>
      </w:pPr>
      <w:r>
        <w:t>两类流含不同项目总量，不应比较其平均绝对箱数来估计转换损失。核心比较均在同一条流的策略之间完成。oracle仅取BF和BF_then_EoH的较小最终箱数，保持同BF500初态；全程EoH从第1件起不同，严格另列。</w:t>
      </w:r>
    </w:p>
    <w:p>
      <w:pPr>
        <w:spacing w:before="60"/>
      </w:pPr>
      <w:r>
        <w:t>转换流平均oracle后悔12.028箱，平稳对照为0.056箱。转换流中固定SBS本有平均4.222箱改善余地，选择器却反向增加7.806箱，因此headroom收回比为-184.87%；该比例不是装箱提效。</w:t>
      </w:r>
    </w:p>
    <w:p>
      <w:r>
        <w:br w:type="page"/>
      </w:r>
    </w:p>
    <w:p>
      <w:pPr>
        <w:pStyle w:val="Heading1"/>
        <w:spacing w:before="60"/>
      </w:pPr>
      <w:r>
        <w:t>预先冻结的机制与流构造</w:t>
      </w:r>
    </w:p>
    <w:p>
      <w:pPr>
        <w:spacing w:before="60"/>
      </w:pPr>
      <w:r>
        <w:t>P1 小件与大件占比反转：A为100×Beta(2,5)，B为100×Beta(5,2)。P2 模态和离散程度改变：A为Normal(50,15)，B等概率取20至30或70至80的整数。P3 宽度和右侧质量改变：A为45×Weibull(shape=3)，B为Uniform整数1至100。P3同时改变均值、宽度与右侧质量，不是纯重尾或单变量因果对照。</w:t>
      </w:r>
    </w:p>
    <w:p>
      <w:pPr>
        <w:spacing w:before="60"/>
      </w:pPr>
      <w:r>
        <w:t>各生成器直接提取并执行原make函数，保持参数、裁剪到1至100及ties-to-even取整。每组/seed生成两条5000件源序列A、B，并按独立置换seed随机排列。转换A→B在t件后使用A[:t]+B[t:]，反向同理；t固定为500或2500。平稳对照是完整A和完整B。</w:t>
      </w:r>
    </w:p>
    <w:p>
      <w:pPr>
        <w:spacing w:before="60"/>
      </w:pPr>
      <w:r>
        <w:t>新seed根为202610069401、202610069402、202610069403。value_seed = 根 + 1000×配对索引0至2 + 100×端点索引0或1；permutation_seed = value_seed + 1000000。先冻结代码和seed，再冻结全部输入，通知独审后才执行。</w:t>
      </w:r>
    </w:p>
    <w:p>
      <w:pPr>
        <w:pStyle w:val="Heading1"/>
        <w:spacing w:before="60"/>
      </w:pPr>
      <w:r>
        <w:t>全部转换单元</w:t>
      </w:r>
    </w:p>
    <w:p>
      <w:pPr>
        <w:spacing w:before="60"/>
      </w:pPr>
      <w:r>
        <w:t>每格3条流。差值为SELECTOR减固定SBS；负值表示省箱。最大后悔相对同BF500分支oracle。选择次数按BF/续EoH排列。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1296"/>
        <w:gridCol w:w="1728"/>
        <w:gridCol w:w="1584"/>
        <w:gridCol w:w="1728"/>
        <w:gridCol w:w="1872"/>
      </w:tblGrid>
      <w:tr>
        <w:trPr>
          <w:tblHeader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7EDF3"/>
          </w:tcPr>
          <w:p>
            <w:pPr>
              <w:spacing w:after="0" w:line="245" w:lineRule="auto"/>
              <w:jc w:val="center"/>
            </w:pPr>
            <w:r>
              <w:rPr>
                <w:b/>
                <w:sz w:val="18"/>
              </w:rPr>
              <w:t>机制与方向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7EDF3"/>
          </w:tcPr>
          <w:p>
            <w:pPr>
              <w:spacing w:after="0" w:line="245" w:lineRule="auto"/>
              <w:jc w:val="center"/>
            </w:pPr>
            <w:r>
              <w:rPr>
                <w:b/>
                <w:sz w:val="18"/>
              </w:rPr>
              <w:t>转换点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7EDF3"/>
          </w:tcPr>
          <w:p>
            <w:pPr>
              <w:spacing w:after="0" w:line="245" w:lineRule="auto"/>
              <w:jc w:val="center"/>
            </w:pPr>
            <w:r>
              <w:rPr>
                <w:b/>
                <w:sz w:val="18"/>
              </w:rPr>
              <w:t>平均差值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7EDF3"/>
          </w:tcPr>
          <w:p>
            <w:pPr>
              <w:spacing w:after="0" w:line="245" w:lineRule="auto"/>
              <w:jc w:val="center"/>
            </w:pPr>
            <w:r>
              <w:rPr>
                <w:b/>
                <w:sz w:val="18"/>
              </w:rPr>
              <w:t>胜/平/负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7EDF3"/>
          </w:tcPr>
          <w:p>
            <w:pPr>
              <w:spacing w:after="0" w:line="245" w:lineRule="auto"/>
              <w:jc w:val="center"/>
            </w:pPr>
            <w:r>
              <w:rPr>
                <w:b/>
                <w:sz w:val="18"/>
              </w:rPr>
              <w:t>最大后悔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7EDF3"/>
          </w:tcPr>
          <w:p>
            <w:pPr>
              <w:spacing w:after="0" w:line="245" w:lineRule="auto"/>
              <w:jc w:val="center"/>
            </w:pPr>
            <w:r>
              <w:rPr>
                <w:b/>
                <w:sz w:val="18"/>
              </w:rPr>
              <w:t>选择次数</w:t>
            </w:r>
          </w:p>
        </w:tc>
      </w:tr>
      <w:t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P1 A→B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500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0/3/0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0/3</w:t>
            </w:r>
          </w:p>
        </w:tc>
      </w:tr>
      <w:t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P1 A→B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2500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0/3/0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0/3</w:t>
            </w:r>
          </w:p>
        </w:tc>
      </w:tr>
      <w:t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P1 B→A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500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0/3/0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0/3</w:t>
            </w:r>
          </w:p>
        </w:tc>
      </w:tr>
      <w:t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P1 B→A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2500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0/3/0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0/3</w:t>
            </w:r>
          </w:p>
        </w:tc>
      </w:tr>
      <w:t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P2 A→B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500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0.33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1/0/2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3/0</w:t>
            </w:r>
          </w:p>
        </w:tc>
      </w:tr>
      <w:t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P2 A→B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2500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-9.33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3/0/0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3/0</w:t>
            </w:r>
          </w:p>
        </w:tc>
      </w:tr>
      <w:t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P2 B→A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500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-4.33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2/1/0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2/1</w:t>
            </w:r>
          </w:p>
        </w:tc>
      </w:tr>
      <w:t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P2 B→A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2500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-1.33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1/1/1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2/1</w:t>
            </w:r>
          </w:p>
        </w:tc>
      </w:tr>
      <w:t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P3 A→B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500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0/3/0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0/3</w:t>
            </w:r>
          </w:p>
        </w:tc>
      </w:tr>
      <w:t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P3 A→B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2500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0/3/0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0/3</w:t>
            </w:r>
          </w:p>
        </w:tc>
      </w:tr>
      <w:t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P3 B→A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500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65.00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0/0/3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69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3/0</w:t>
            </w:r>
          </w:p>
        </w:tc>
      </w:tr>
      <w:t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P3 B→A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2500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43.33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0/0/3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46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3/0</w:t>
            </w:r>
          </w:p>
        </w:tc>
      </w:tr>
    </w:tbl>
    <w:p>
      <w:pPr>
        <w:spacing w:before="60"/>
      </w:pPr>
      <w:r>
        <w:t>全部12格和54条流均保留。9个配对/seed块中每块6流，共用两条源序列与部分后缀；共有18个独立设seed的源抽样。不能把36转换流、18平稳流或54总流当作相互独立的样本；本次不做bootstrap、置信区间或显著性检验。</w:t>
      </w:r>
    </w:p>
    <w:p>
      <w:r>
        <w:br w:type="page"/>
      </w:r>
    </w:p>
    <w:p>
      <w:pPr>
        <w:pStyle w:val="Heading1"/>
        <w:spacing w:before="60"/>
      </w:pPr>
      <w:r>
        <w:t>为何同一前缀会推荐失准</w:t>
      </w:r>
    </w:p>
    <w:p>
      <w:pPr>
        <w:spacing w:before="60"/>
      </w:pPr>
      <w:r>
        <w:t>18个原始端点各产生平稳、t500转换和t2500转换三条流，前500件完全一致。18组三元组的BF状态、特征、5个近邻、预测和选择全部一致；但36个转换相对其原分布平稳对照，15个严格oracle偏好发生翻转。后悔值增加17次、持平18次、降低1次；平均增加11.972箱，最大增加69箱。</w:t>
      </w:r>
    </w:p>
    <w:p>
      <w:pPr>
        <w:spacing w:before="60"/>
      </w:pPr>
      <w:r>
        <w:t>最坏例为P3第3个seed，先均匀后Weibull：同一前缀始终选BF。平稳均匀流BF为2577箱、SBS为2585箱，选择器省8箱；500件后转换时BF为2159箱、SBS为2090箱，选择器多69箱；2500件后转换时多46箱。这里比较的是每条流内部的策略差值，不是不同体积流之间的绝对箱数。</w:t>
      </w:r>
    </w:p>
    <w:p>
      <w:pPr>
        <w:spacing w:before="60"/>
      </w:pPr>
      <w:r>
        <w:t>上述三流完全相同的近邻索引为39、45、30、33、24，预测BF/续EoH最终箱数为2574.8/2587.0。这些预测仅来自旧训练近邻，不会得知后续转换。原前缀判断在平稳流正确，在这两条转换流失去适用性。</w:t>
      </w:r>
    </w:p>
    <w:p>
      <w:pPr>
        <w:pStyle w:val="Heading1"/>
        <w:spacing w:before="60"/>
      </w:pPr>
      <w:r>
        <w:t>全部平稳单元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016"/>
        <w:gridCol w:w="2016"/>
        <w:gridCol w:w="2016"/>
        <w:gridCol w:w="1872"/>
      </w:tblGrid>
      <w:tr>
        <w:trPr>
          <w:tblHeader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7EDF3"/>
          </w:tcPr>
          <w:p>
            <w:pPr>
              <w:spacing w:after="0" w:line="245" w:lineRule="auto"/>
              <w:jc w:val="center"/>
            </w:pPr>
            <w:r>
              <w:rPr>
                <w:b/>
                <w:sz w:val="18"/>
              </w:rPr>
              <w:t>机制与端点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7EDF3"/>
          </w:tcPr>
          <w:p>
            <w:pPr>
              <w:spacing w:after="0" w:line="245" w:lineRule="auto"/>
              <w:jc w:val="center"/>
            </w:pPr>
            <w:r>
              <w:rPr>
                <w:b/>
                <w:sz w:val="18"/>
              </w:rPr>
              <w:t>平均差值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7EDF3"/>
          </w:tcPr>
          <w:p>
            <w:pPr>
              <w:spacing w:after="0" w:line="245" w:lineRule="auto"/>
              <w:jc w:val="center"/>
            </w:pPr>
            <w:r>
              <w:rPr>
                <w:b/>
                <w:sz w:val="18"/>
              </w:rPr>
              <w:t>胜/平/负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7EDF3"/>
          </w:tcPr>
          <w:p>
            <w:pPr>
              <w:spacing w:after="0" w:line="245" w:lineRule="auto"/>
              <w:jc w:val="center"/>
            </w:pPr>
            <w:r>
              <w:rPr>
                <w:b/>
                <w:sz w:val="18"/>
              </w:rPr>
              <w:t>最大后悔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7EDF3"/>
          </w:tcPr>
          <w:p>
            <w:pPr>
              <w:spacing w:after="0" w:line="245" w:lineRule="auto"/>
              <w:jc w:val="center"/>
            </w:pPr>
            <w:r>
              <w:rPr>
                <w:b/>
                <w:sz w:val="18"/>
              </w:rPr>
              <w:t>选择次数</w:t>
            </w:r>
          </w:p>
        </w:tc>
      </w:tr>
      <w:t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P1 A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0/3/0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0/3</w:t>
            </w:r>
          </w:p>
        </w:tc>
      </w:tr>
      <w:t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P1 B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0/3/0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0/3</w:t>
            </w:r>
          </w:p>
        </w:tc>
      </w:tr>
      <w:t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P2 A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-12.33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3/0/0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3/0</w:t>
            </w:r>
          </w:p>
        </w:tc>
      </w:tr>
      <w:t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P2 B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-0.33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1/1/1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2/1</w:t>
            </w:r>
          </w:p>
        </w:tc>
      </w:tr>
      <w:t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P3 A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0/3/0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0/3</w:t>
            </w:r>
          </w:p>
        </w:tc>
      </w:tr>
      <w:t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P3 B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-10.67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3/0/0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3/0</w:t>
            </w:r>
          </w:p>
        </w:tc>
      </w:tr>
    </w:tbl>
    <w:p>
      <w:pPr>
        <w:pStyle w:val="Heading1"/>
        <w:spacing w:before="60"/>
      </w:pPr>
      <w:r>
        <w:t>结论不能超出的范围</w:t>
      </w:r>
    </w:p>
    <w:p>
      <w:pPr>
        <w:spacing w:before="60"/>
      </w:pPr>
      <w:r>
        <w:t>转换并非一概有害。P2正态→双峰在2500件后转换的3条流全部优于SBS，平均省9.33箱；P1多个方向与时间格仍达分支oracle。另一方面，与SBS打平也不代表选对：P1大→小、t2500时平均错过17.33箱。总体负值或正值都不能替代逐机制与分支后悔检查。</w:t>
      </w:r>
    </w:p>
    <w:p>
      <w:pPr>
        <w:spacing w:before="60"/>
      </w:pPr>
      <w:r>
        <w:t>适用建议是把“未来与前缀近似同分布”标为该冻结一次推荐的使用条件，并公开分布变化风险。本次没有实现或验证变化检测、再选择或在线更新，也不能宣称这些改造一定有效。t2500结果的oracle仍是第500件后固定分支选择，不是到2500件才允许重选的oracle。</w:t>
      </w:r>
    </w:p>
    <w:p>
      <w:r>
        <w:br w:type="page"/>
      </w:r>
    </w:p>
    <w:p>
      <w:pPr>
        <w:pStyle w:val="Heading1"/>
        <w:spacing w:before="60"/>
      </w:pPr>
      <w:r>
        <w:t>四种策略在所有转换单元的均值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7EDF3"/>
          </w:tcPr>
          <w:p>
            <w:pPr>
              <w:spacing w:after="0" w:line="245" w:lineRule="auto"/>
              <w:jc w:val="center"/>
            </w:pPr>
            <w:r>
              <w:rPr>
                <w:b/>
                <w:sz w:val="18"/>
              </w:rPr>
              <w:t>机制 方向 转换点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7EDF3"/>
          </w:tcPr>
          <w:p>
            <w:pPr>
              <w:spacing w:after="0" w:line="245" w:lineRule="auto"/>
              <w:jc w:val="center"/>
            </w:pPr>
            <w:r>
              <w:rPr>
                <w:b/>
                <w:sz w:val="18"/>
              </w:rPr>
              <w:t>全BF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7EDF3"/>
          </w:tcPr>
          <w:p>
            <w:pPr>
              <w:spacing w:after="0" w:line="245" w:lineRule="auto"/>
              <w:jc w:val="center"/>
            </w:pPr>
            <w:r>
              <w:rPr>
                <w:b/>
                <w:sz w:val="18"/>
              </w:rPr>
              <w:t>固定SBS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7EDF3"/>
          </w:tcPr>
          <w:p>
            <w:pPr>
              <w:spacing w:after="0" w:line="245" w:lineRule="auto"/>
              <w:jc w:val="center"/>
            </w:pPr>
            <w:r>
              <w:rPr>
                <w:b/>
                <w:sz w:val="18"/>
              </w:rPr>
              <w:t>全EoH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7EDF3"/>
          </w:tcPr>
          <w:p>
            <w:pPr>
              <w:spacing w:after="0" w:line="245" w:lineRule="auto"/>
              <w:jc w:val="center"/>
            </w:pPr>
            <w:r>
              <w:rPr>
                <w:b/>
                <w:sz w:val="18"/>
              </w:rPr>
              <w:t>SELECTOR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P1 A→B 500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4142.00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4140.00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4141.67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4140.00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P1 A→B 2500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2949.33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2943.00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2942.33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2943.00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P1 B→A 500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1663.33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1657.00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1658.67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1657.00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P1 B→A 2500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2527.00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2544.33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2544.00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2544.33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P2 A→B 500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2542.67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2542.33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2544.00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2542.67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P2 A→B 2500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2545.33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2554.67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2553.00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2545.33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P2 B→A 500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2564.00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2574.33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2573.67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2570.00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P2 B→A 2500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2566.67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2571.33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2570.33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2570.00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P3 A→B 500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2503.33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2511.00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2507.67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2511.00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P3 A→B 2500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2308.00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2283.67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2284.33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2283.67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P3 B→A 500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2145.00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2080.00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2078.33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2145.00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P3 B→A 2500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2335.00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2291.67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2290.67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2335.00</w:t>
            </w:r>
          </w:p>
        </w:tc>
      </w:tr>
    </w:tbl>
    <w:p>
      <w:pPr>
        <w:pStyle w:val="Heading1"/>
        <w:spacing w:before="60"/>
      </w:pPr>
      <w:r>
        <w:t>验证与资源</w:t>
      </w:r>
    </w:p>
    <w:p>
      <w:pPr>
        <w:spacing w:before="60"/>
      </w:pPr>
      <w:r>
        <w:t>216次完整实跑共1080000步全部完成，没有策略失败、丢弃单元或重跑。每步记录assignment、装入前后残量、可行箱数量、累计箱数及最终完整残量；SELECTOR记录31维特征、近邻、距离、预测和分支。</w:t>
      </w:r>
    </w:p>
    <w:p>
      <w:pPr>
        <w:spacing w:before="60"/>
      </w:pPr>
      <w:r>
        <w:t>同一受限进程中的独立标量评分与整数堆回放逐步验证capacity、score、首索引破同分、策略分支、总箱数与体积守恒；独立重算54次前缀特征和近邻，重新生成18源抽样与54流，确认所选完整轨迹等于合法分支。外部独审随后再次全量验证216次运行和108万步、54决策、18等前缀组、全部统计及4份CSV，结果通过，独审CPU为3.179856秒。</w:t>
      </w:r>
    </w:p>
    <w:p>
      <w:pPr>
        <w:spacing w:before="60"/>
      </w:pPr>
      <w:r>
        <w:t>正式单线程数值子进程CPU 57.950386秒，wall 92.039370秒（包含等待冻结通知）。其范围包含源快照、输入生成和冻结、216实跑、全部独立回放及正式统计；预设CPU硬上限180秒、wall硬上限600秒。报告渲染及独立外审另计，不计入正式数值子进程。零模型API调用、零付款。</w:t>
      </w:r>
    </w:p>
    <w:p>
      <w:pPr>
        <w:spacing w:before="60"/>
      </w:pPr>
      <w:r>
        <w:t>原8项模型/源码/许可证字节复制且前后哈希不变。已阅读前次新尺寸族报告以提出此协议；本次程序未读旧输入或原始成绩，不修改任何旧目录。所有失败文件若存在均保留，本次RUN_FAILURE不存在。完整输入、轨迹、逐流结果、配对差值、成本和哈希清单均随本地目录保留。</w:t>
      </w:r>
    </w:p>
    <w:p>
      <w:pPr>
        <w:spacing w:before="60"/>
      </w:pPr>
      <w:r>
        <w:t>模型SHA256：98991f0908867ff7de995b1e252d503c0180a5e74c67ac03d9444765fdede7ab</w:t>
      </w:r>
    </w:p>
    <w:sectPr w:rsidR="00FC693F" w:rsidRPr="0006063C" w:rsidSect="00034616">
      <w:pgSz w:w="12240" w:h="15840"/>
      <w:pgMar w:top="893" w:right="893" w:bottom="893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Noto Sans CJK SC" w:hAnsi="Noto Sans CJK SC" w:eastAsia="Noto Sans CJK SC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BPP 冻结前缀选择器分布转换验证</dc:title>
  <dc:subject>同前缀平稳与时间分布转换配对面板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