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0"/>
      </w:pPr>
      <w:r>
        <w:t>BPP 冻结选择器新尺寸族短实验</w:t>
      </w:r>
    </w:p>
    <w:p>
      <w:pPr>
        <w:spacing w:before="60"/>
      </w:pPr>
      <w:r>
        <w:t>2026年10月6日  48条新流  192次真实运行  描述性外部分布面板</w:t>
      </w:r>
    </w:p>
    <w:p>
      <w:pPr>
        <w:pStyle w:val="Heading1"/>
        <w:spacing w:before="60"/>
      </w:pPr>
      <w:r>
        <w:t>主要结果</w:t>
      </w:r>
    </w:p>
    <w:p>
      <w:pPr>
        <w:spacing w:before="60"/>
      </w:pPr>
      <w:r>
        <w:t>冻结选择器相对原训练集选定的固定基线 BF_then_EoH，平均少用 16.25 箱；17 胜、30 平、1 负。最坏单流比基线多 6 箱，相对同 BF500 前缀的两分支事后 oracle 最坏后悔 53 箱。</w:t>
      </w:r>
    </w:p>
    <w:p>
      <w:pPr>
        <w:spacing w:before="60"/>
      </w:pPr>
      <w:r>
        <w:t>该实验补充了旧留族分析复用已有数据的局限：它生成并真实执行了新定义的尺寸分布，但仍只支持本次有限合成面板的描述，不能推出任意新分布上的收益保证。</w:t>
      </w:r>
    </w:p>
    <w:p>
      <w:pPr>
        <w:pStyle w:val="Heading1"/>
        <w:spacing w:before="60"/>
      </w:pPr>
      <w:r>
        <w:t>先冻结再执行</w:t>
      </w:r>
    </w:p>
    <w:p>
      <w:pPr>
        <w:spacing w:before="60"/>
      </w:pPr>
      <w:r>
        <w:t>模型、31维前缀特征、k=5、控制函数和训练SBS均保持不变；没有训练、调参、模型API调用或策略补跑。每条流5000项，容量100；SELECTOR先用BF处理500项，在第501项到达前仅决定一次后续分支。四种策略各自完整执行，不能由已有分支记录复制冒充SELECTOR运行。</w:t>
      </w:r>
    </w:p>
    <w:p>
      <w:pPr>
        <w:spacing w:before="60"/>
      </w:pPr>
      <w:r>
        <w:t>4个尺寸族，每族4个固定新seed，每组同一多重集生成随机、升序和降序三种到达顺序，共16组48流。族按F1至F4排列，seed = 202610068801 + 重复索引0..3 + 100×族索引0..3；随机排列使用独立PCG64(seed+1000000)。</w:t>
      </w:r>
    </w:p>
    <w:p>
      <w:pPr>
        <w:spacing w:before="60"/>
      </w:pPr>
      <w:r>
        <w:t>F1：5/95，概率0.95/0.05；F2：10/50/90，概率0.2/0.6/0.2；F3：49/51，概率0.5/0.5；F4：连续三角分布Triangular(1,20,100)，裁剪1..100后按ties-to-even取整数。代码与种子先冻结，随后全部输入冻结，最后才开始策略执行。</w:t>
      </w:r>
    </w:p>
    <w:p>
      <w:pPr>
        <w:pStyle w:val="Heading1"/>
        <w:spacing w:before="60"/>
      </w:pPr>
      <w:r>
        <w:t>总体平均箱数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8"/>
        <w:gridCol w:w="2880"/>
      </w:tblGrid>
      <w:tr>
        <w:trPr>
          <w:tblHeader/>
        </w:trPr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策略或对照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平均箱数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全程BF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2047.667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BF500后续EoH  固定训练SBS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1975.896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全程published EoH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1962.938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冻结SELECTOR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1959.646</w:t>
            </w:r>
          </w:p>
        </w:tc>
      </w:tr>
      <w:tr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同BF500两分支事后oracle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1947.292</w:t>
            </w:r>
          </w:p>
        </w:tc>
      </w:tr>
    </w:tbl>
    <w:p>
      <w:pPr>
        <w:spacing w:before="60"/>
      </w:pPr>
      <w:r>
        <w:t>选择BF 23次，续EoH 25次。平均oracle后悔 12.354箱；固定SBS平均可改善余地 28.604箱，收回比例 56.81%。该比例不是整体装箱提效。</w:t>
      </w:r>
    </w:p>
    <w:p>
      <w:pPr>
        <w:spacing w:before="60"/>
      </w:pPr>
      <w:r>
        <w:t>published EoH从第1项开始使用EoH，不共享第500项的BF状态，因此只作固定全程baseline，未纳入分支oracle或重新挑选新SBS。</w:t>
      </w:r>
    </w:p>
    <w:p>
      <w:r>
        <w:br w:type="page"/>
      </w:r>
    </w:p>
    <w:p>
      <w:pPr>
        <w:pStyle w:val="Heading1"/>
        <w:spacing w:before="60"/>
      </w:pPr>
      <w:r>
        <w:t>全部尺寸族与到达顺序</w:t>
      </w:r>
    </w:p>
    <w:p>
      <w:pPr>
        <w:spacing w:before="60"/>
      </w:pPr>
      <w:r>
        <w:t>差值为 SELECTOR − 固定训练SBS，负值表示节省；每格4条流。选择列为BF/续EoH次数。最大后悔相对同BF500两分支oracle。全部12格和全部48流均保留，未过滤不利结果。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512"/>
        <w:gridCol w:w="1584"/>
        <w:gridCol w:w="1584"/>
        <w:gridCol w:w="1584"/>
        <w:gridCol w:w="2117"/>
      </w:tblGrid>
      <w:tr>
        <w:trPr>
          <w:tblHeader/>
        </w:trP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族与顺序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平均差值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胜/平/负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最大差值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最大后悔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选择次数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F1 随机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F1 升序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F1 降序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-56.00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-56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F2 随机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-7.50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-3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F2 升序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F2 降序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-1.75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3/1/0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F3 随机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1.50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0/3/1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3/1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F3 升序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F3 降序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-18.50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2/2/0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F4 随机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F4 升序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0/4</w:t>
            </w:r>
          </w:p>
        </w:tc>
      </w:tr>
      <w:tr>
        <w:tc>
          <w:tcPr>
            <w:tcW w:type="dxa" w:w="19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F4 降序</w:t>
            </w:r>
          </w:p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-112.75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4/0/0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-72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4/0</w:t>
            </w:r>
          </w:p>
        </w:tc>
      </w:tr>
    </w:tbl>
    <w:p>
      <w:pPr>
        <w:spacing w:before="60"/>
      </w:pPr>
      <w:r>
        <w:t>四策略各格平均箱数、每族总体和全部逐流结果见 analysis/SUMMARY.json、family_order_summary.csv 与 per_stream.csv。最大差值可为负，表示该格每条流均优于基线。</w:t>
      </w:r>
    </w:p>
    <w:p>
      <w:pPr>
        <w:pStyle w:val="Heading1"/>
        <w:spacing w:before="60"/>
      </w:pPr>
      <w:r>
        <w:t>负结果与外推边界</w:t>
      </w:r>
    </w:p>
    <w:p>
      <w:pPr>
        <w:spacing w:before="60"/>
      </w:pPr>
      <w:r>
        <w:t>F1随机与升序、F2升序，SELECTOR始终选续EoH并与SBS打平，却错过BF更优的分支；其中最坏oracle后悔为53箱。F3随机单元平均多用1.50箱，出现唯一负例；不能把总体平均收益理解为每族、每顺序或每条流都受益。</w:t>
      </w:r>
    </w:p>
    <w:p>
      <w:pPr>
        <w:spacing w:before="60"/>
      </w:pPr>
      <w:r>
        <w:t>“新族”仅相对于原6族训练生成器，不表示整个项目首次见到这些取值或结构；旧压力试验已有49/51类构造，支持集不要求互斥。这是看过既有研究后新增、预先冻结的合成面板，使用新seed和新真实运行，不是未经选择的现实外部盲测，也不是农业实测数据或原研究确认集。三顺序共享多重集，独立生成单位只有16组；本次不做bootstrap、置信区间或显著性检验，不能保证任意OOD表现。</w:t>
      </w:r>
    </w:p>
    <w:p>
      <w:r>
        <w:br w:type="page"/>
      </w:r>
    </w:p>
    <w:p>
      <w:pPr>
        <w:pStyle w:val="Heading1"/>
        <w:spacing w:before="60"/>
      </w:pPr>
      <w:r>
        <w:t>四策略完整单元均值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族与顺序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全BF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固定SBS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全EoH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DF3"/>
          </w:tcPr>
          <w:p>
            <w:pPr>
              <w:spacing w:after="0" w:line="245" w:lineRule="auto"/>
              <w:jc w:val="center"/>
            </w:pPr>
            <w:r>
              <w:rPr>
                <w:b/>
                <w:sz w:val="18"/>
              </w:rPr>
              <w:t>SELECTOR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F1 随机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480.75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531.25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536.75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531.25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F1 升序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493.50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546.50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552.75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546.50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F1 降序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480.75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536.75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536.75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480.75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F2 随机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2495.25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2502.75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2504.75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2495.25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F2 升序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2590.75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2624.50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2658.00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2624.50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F2 降序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2493.00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2494.75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2494.75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2493.00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F3 随机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2516.00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2524.00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2530.00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2525.50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F3 升序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3746.50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2743.00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2530.00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2743.00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F3 降序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2511.50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2530.00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2530.00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2511.50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F4 随机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2069.25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2036.00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2036.25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2036.00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F4 升序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2676.50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2510.25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2514.25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2510.25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F4 降序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2018.25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2131.00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2131.00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0" w:line="245" w:lineRule="auto"/>
              <w:jc w:val="center"/>
            </w:pPr>
            <w:r>
              <w:rPr>
                <w:b w:val="0"/>
                <w:sz w:val="18"/>
              </w:rPr>
              <w:t>2018.25</w:t>
            </w:r>
          </w:p>
        </w:tc>
      </w:tr>
    </w:tbl>
    <w:p>
      <w:pPr>
        <w:pStyle w:val="Heading1"/>
        <w:spacing w:before="60"/>
      </w:pPr>
      <w:r>
        <w:t>验证与资源</w:t>
      </w:r>
    </w:p>
    <w:p>
      <w:pPr>
        <w:spacing w:before="60"/>
      </w:pPr>
      <w:r>
        <w:t>192次实际运行共960000步全部完成。独立标量评分与整数状态回放逐步核对可行性、首索引破同分、箱残量、累计箱数和体积守恒；48次前缀状态及选择器邻居预测均核验，SELECTOR完整轨迹逐条等于其合法所选真实分支。该验证使用独立实现，在同一受限进程内运行。</w:t>
      </w:r>
    </w:p>
    <w:p>
      <w:pPr>
        <w:spacing w:before="60"/>
      </w:pPr>
      <w:r>
        <w:t>包含输入生成、全部策略、全轨迹验证和正式统计的子进程CPU 47.239409秒，wall 47.260420秒；预设CPU硬上限180秒、wall硬上限600秒。无失败重跑。报告排版及独立外部审计不属于这次正式数值子进程；其范围另有文件说明。</w:t>
      </w:r>
    </w:p>
    <w:p>
      <w:pPr>
        <w:spacing w:before="60"/>
      </w:pPr>
      <w:r>
        <w:t>模型、runner、selector、checker、原生成器代码、两个控制源及许可证均逐字节复制，原8项源文件在执行前后哈希一致；未读取原132、原heldout或旧输入/原始成绩。数值和复验边界见CHECK.json、SOURCE_ISOLATION_CHECK.json及外部审计文件。</w:t>
      </w:r>
    </w:p>
    <w:p>
      <w:pPr>
        <w:spacing w:before="60"/>
      </w:pPr>
      <w:r>
        <w:t>原MODEL SHA256：98991f0908867ff7de995b1e252d503c0180a5e74c67ac03d9444765fdede7ab</w:t>
      </w:r>
    </w:p>
    <w:p>
      <w:pPr>
        <w:spacing w:before="60"/>
      </w:pPr>
      <w:r>
        <w:t>输入及代码冻结清单：FREEZE.json。原768次历史实验、已交付包及本地科研面板数据范围保持不变，本结果独立封装。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BPP 冻结选择器新尺寸族短实验</dc:title>
  <dc:subject>48条新合成流的冻结模型有限外分布评估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