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BPP前缀选择器留一分布族外推</w:t>
      </w:r>
    </w:p>
    <w:p>
      <w:pPr>
        <w:pStyle w:val="Subtitle"/>
      </w:pPr>
      <w:r>
        <w:t>2026年10月6日  既有分支结果的离线反事实重放</w:t>
      </w:r>
    </w:p>
    <w:p>
      <w:pPr>
        <w:pStyle w:val="Heading1"/>
      </w:pPr>
      <w:r>
        <w:t>结论</w:t>
      </w:r>
    </w:p>
    <w:p>
      <w:r>
        <w:t>原同族平均收益未能延续到这次留族外推面板。六折合并结果比训练单一最佳分支更差，主要损失集中在裁剪正态与Weibull留出折。</w:t>
      </w:r>
    </w:p>
    <w:p>
      <w:r>
        <w:t>六折合并108条流，选择器相对各折训练SBS的平均箱数差为+30.519箱，负值表示节省。选择器平均2788.046箱，SBS平均2757.528箱。逐流胜／平／负为35／53／20。</w:t>
      </w:r>
    </w:p>
    <w:p>
      <w:r>
        <w:t>相对同一BF500前缀后的两条合法分支事后oracle，选择器平均后悔54.852箱、最坏622箱；相对SBS最坏多622箱。BF后切换到EoH的频率为46/108（42.6%），与该折SBS不同的选择为62/108。</w:t>
      </w:r>
    </w:p>
    <w:p>
      <w:r>
        <w:t>这是追加的探索性分析。我们已知原研究总体结果；本轮没有产生新流、执行新策略或获取盲测新资料，也不属于原研究预注册。结果只描述这六个已观察合成分布族之间的留族迁移，不能据此保证任意新分布表现。</w:t>
      </w:r>
    </w:p>
    <w:p>
      <w:pPr>
        <w:pStyle w:val="Heading1"/>
      </w:pPr>
      <w:r>
        <w:t>冻结设计</w:t>
      </w:r>
    </w:p>
    <w:p>
      <w:r>
        <w:t>每折剔除一个分布族，只用其余五族既有train中的120条流训练，并只在被剔除族的18条既有confirmation流评估。该族24条train流完全排除。六折覆盖原108条confirmation各一次；每个多重集的三种顺序保持在同一组。</w:t>
      </w:r>
    </w:p>
    <w:p>
      <w:r>
        <w:t>保持31个合法前缀／BF状态特征、训练均值与总体标准差、零标准差置1、k=5、平方欧氏距离、等权代价回归。邻居并列按原训练行序，预测并列退回该折训练SBS；SBS并列选BF。未搜索超参数，也未按结果改方法。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1656"/>
        <w:gridCol w:w="1584"/>
        <w:gridCol w:w="1440"/>
      </w:tblGrid>
      <w:tr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5"/>
          </w:tcPr>
          <w:p>
            <w:pPr>
              <w:spacing w:after="100" w:before="100"/>
            </w:pPr>
            <w:r>
              <w:rPr>
                <w:b/>
                <w:sz w:val="18"/>
              </w:rPr>
              <w:t>留出分布族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5"/>
          </w:tcPr>
          <w:p>
            <w:pPr>
              <w:spacing w:after="100" w:before="100"/>
            </w:pPr>
            <w:r>
              <w:rPr>
                <w:b/>
                <w:sz w:val="18"/>
              </w:rPr>
              <w:t>选择器−SBS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5"/>
          </w:tcPr>
          <w:p>
            <w:pPr>
              <w:spacing w:after="100" w:before="100"/>
            </w:pPr>
            <w:r>
              <w:rPr>
                <w:b/>
                <w:sz w:val="18"/>
              </w:rPr>
              <w:t>后悔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5"/>
          </w:tcPr>
          <w:p>
            <w:pPr>
              <w:spacing w:after="100" w:before="100"/>
            </w:pPr>
            <w:r>
              <w:rPr>
                <w:b/>
                <w:sz w:val="18"/>
              </w:rPr>
              <w:t>最坏后悔</w:t>
            </w:r>
          </w:p>
        </w:tc>
        <w:tc>
          <w:tcPr>
            <w:tcW w:type="dxa" w:w="201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5"/>
          </w:tcPr>
          <w:p>
            <w:pPr>
              <w:spacing w:after="100" w:before="100"/>
            </w:pPr>
            <w:r>
              <w:rPr>
                <w:b/>
                <w:sz w:val="18"/>
              </w:rPr>
              <w:t>切换／18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Weibull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+42.611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75.333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270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4/18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均匀整数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-4.333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12.000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53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12/18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偏小 Beta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-32.278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11.333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61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12/18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偏大 Beta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-0.111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0.222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6/18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裁剪正态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+189.556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205.944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622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6/18</w:t>
            </w:r>
          </w:p>
        </w:tc>
      </w:tr>
      <w:tr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双峰</w:t>
            </w:r>
          </w:p>
        </w:tc>
        <w:tc>
          <w:tcPr>
            <w:tcW w:type="dxa" w:w="21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-12.333</w:t>
            </w:r>
          </w:p>
        </w:tc>
        <w:tc>
          <w:tcPr>
            <w:tcW w:type="dxa" w:w="16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24.278</w:t>
            </w:r>
          </w:p>
        </w:tc>
        <w:tc>
          <w:tcPr>
            <w:tcW w:type="dxa" w:w="15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106</w:t>
            </w:r>
          </w:p>
        </w:tc>
        <w:tc>
          <w:tcPr>
            <w:tcW w:type="dxa" w:w="14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6/18</w:t>
            </w:r>
          </w:p>
        </w:tc>
      </w:tr>
    </w:tbl>
    <w:p>
      <w:r>
        <w:t>每族均为18条流。表中“后悔”为相对合法分支oracle的平均值；“最坏后悔”按单条流计。“切换”指BF前500项之后改用EoH，不是跨流切换。各折SBS及18个族×顺序单元完整记录在JSON中。</w:t>
      </w:r>
    </w:p>
    <w:p>
      <w:pPr>
        <w:pStyle w:val="Heading1"/>
      </w:pPr>
      <w:r>
        <w:t>反事实结果为何可重放</w:t>
      </w:r>
    </w:p>
    <w:p>
      <w:r>
        <w:t>只使用既有BF与BF后EoH两条完整5000步分支。已核对252条train／confirmation流的504条轨迹、2,520,000步整数状态、完整性和原审计哈希；每对分支前500步数组及残量状态完全一致，31维特征只来自这500项及状态。确定性分支在相同输入与相同切换状态下的归档最终箱数，足以支持本次一次切换选择的确切结果查表。</w:t>
      </w:r>
    </w:p>
    <w:p>
      <w:r>
        <w:t>本轮不重新评分、不再运行策略；策略first-argmax正确性承接旧独立审计。我们验证归档和合法状态对应关系，不能把“重放所得选择结果”写成“本轮真实部署执行”。oracle仅取这两合法分支的最小值，未使用全程EoH充当oracle。</w:t>
      </w:r>
    </w:p>
    <w:p>
      <w:pPr>
        <w:pStyle w:val="Heading1"/>
      </w:pPr>
      <w:r>
        <w:t>独立复核与资源边界</w:t>
      </w:r>
    </w:p>
    <w:p>
      <w:r>
        <w:t>另一份不导入主分析的实现从原始记录重建前缀特征，独立重算六组标准化、训练标签、SBS、全部108条邻居、代价预测、分支选择及聚合，并检查留出族和确认资料不进入训练。详见独立审计JSON与源码。</w:t>
      </w:r>
    </w:p>
    <w:p>
      <w:r>
        <w:t>预设前瞻总限为120 CPU秒，全部本轮数值、验证、报告制作与本地打包步骤通过同一计量入口，单线程，逐步记录CPU／墙时；每步计量器尾部另保守记0.05秒。报告生成前账面累计8.296 CPU秒；最终账本随交付归档。前期文件列举和文本阅读未计时，不被冒称为零或整体历史成本。旧研究900秒历史总预算无法认证的限制保持不变。</w:t>
      </w:r>
    </w:p>
    <w:p>
      <w:pPr>
        <w:pStyle w:val="Heading1"/>
      </w:pPr>
      <w:r>
        <w:t>解释与后续使用</w:t>
      </w:r>
    </w:p>
    <w:p>
      <w:r>
        <w:t>留一族使训练缺少该族，但确认流仍来自同一批已观察资料，且六折训练集高度重叠。三种顺序不是独立样本；合并平均是这张均衡合成面板的描述量，不附显著性或总体推广声明。应同时查看逐族差异、最坏风险与切换频率。</w:t>
      </w:r>
    </w:p>
    <w:p>
      <w:r>
        <w:t>原同族选择器的平均差−21.454箱、平均oracle后悔2.880箱仅作背景，未用于选择LOFO方案。模型训练样本从144减到120且同时剔除一族，因此两者差异不能单独归因为“分布外”因素。两项分析均不得反馈到原132研究。</w:t>
      </w:r>
    </w:p>
    <w:sectPr w:rsidR="00FC693F" w:rsidRPr="0006063C" w:rsidSect="00034616">
      <w:pgSz w:w="12240" w:h="15840"/>
      <w:pgMar w:top="979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Noto Sans CJK SC" w:hAnsi="Noto Sans CJK SC" w:eastAsia="Noto Sans CJK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