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嵌入式系统作业 2</w:t>
      </w:r>
    </w:p>
    <w:p>
      <w:pPr>
        <w:pStyle w:val="Subtitle"/>
      </w:pPr>
      <w:r>
        <w:t>彭俊杰　智装备241　2024306100324</w:t>
      </w:r>
    </w:p>
    <w:p>
      <w:pPr>
        <w:pStyle w:val="Heading1"/>
      </w:pPr>
      <w:r>
        <w:t>第1题 英文缩写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3402"/>
        <w:gridCol w:w="5102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英文全称或规范名称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ARM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RISC Machines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处理器体系结构与内核技术名称；早期源于 Acorn RISC Machine。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AHB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High-performance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AMBA 高性能总线，连接处理器、存储器和高速外设。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AHB-Lite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AHB-Lite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AHB 的单主设备简化接口，省去多主设备仲裁信号。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APB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Peripheral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面向低带宽外设的简单总线，常经 AHB–APB 桥接入。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PPB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Private Peripheral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内核私有外设总线，访问内核控制与调试部件。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DAP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Debug Access Port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调试访问端口，通过 JTAG 或 SWD 访问目标系统。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JTAG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Joint Test Action Group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IEEE 1149.1 边界扫描接口，也用于芯片调试。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SWD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Serial Wire Debug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串行线调试，核心信号为 SWDIO 和 SWCLK。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MPU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Memory Protection Unit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存储器保护单元，设置区域访问权限和属性。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FPU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Floating-Point Unit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浮点运算单元；Cortex-M4F 支持单精度浮点。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NVIC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Nested Vectored Interrupt Controller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嵌套向量中断控制器，管理中断使能、挂起和优先级。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ISR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Interrupt Service Routine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中断服务程序，响应并处理对应事件。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Bitband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Bit-banding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位带机制，将一个位映射到别名区的一个 32 位字。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SCS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System Control Space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系统控制空间，包含 SCB、NVIC、SysTick 等寄存器。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SysTick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System Tick Timer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内核 24 位递减定时器，可产生周期性时基中断。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MSR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Move to Special Register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写特殊寄存器的指令，如 MSR MSP, R0；MRS 为读取。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MSP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Main Stack Pointer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主栈指针；复位后使用，异常处理模式固定使用。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PC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Program Counter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程序计数器，即 R15，表示指令执行位置。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Stack Pointer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栈指针，即 R13；线程模式可选择 MSP 或 PSP。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GPIO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General-Purpose Input/Output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通用输入输出端口，用于数字电平输入和输出。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TIM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Timer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定时器，可用于计时、计数、输入捕获和 PWM。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UART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Universal Asynchronous Receiver/Transmitter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通用异步收发器；USART 还支持同步模式。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CANBUS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Controller Area Network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控制器局域网总线，支持多节点通信与逐位仲裁。</w:t>
            </w:r>
          </w:p>
        </w:tc>
      </w:tr>
    </w:tbl>
    <w:p>
      <w:pPr>
        <w:spacing w:after="40"/>
      </w:pPr>
    </w:p>
    <w:p>
      <w:pPr>
        <w:pStyle w:val="Caption"/>
      </w:pPr>
      <w:r>
        <w:t>依据 Cortex-M4 编程手册与 STM32F4 参考手册整理。[1, 2]</w:t>
      </w:r>
    </w:p>
    <w:p>
      <w:r>
        <w:br w:type="page"/>
      </w:r>
    </w:p>
    <w:p>
      <w:pPr>
        <w:pStyle w:val="Heading1"/>
      </w:pPr>
      <w:r>
        <w:t>第2题 存储器映射与外设地址</w:t>
      </w:r>
    </w:p>
    <w:p>
      <w:r>
        <w:t>Cortex-M4 使用 32 位地址，统一编址范围为 0x00000000～0xFFFFFFFF，共 4 GB。程序、数据和外设寄存器都通过地址访问；下图给出体系结构的主要分区。[1]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2872800"/>
            <wp:docPr id="1" name="Picture 1" descr="Cortex-M4 地址空间，GPIO和CAN位于外设区，SysTick位于系统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存储器映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Cortex-M4 统一地址空间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寄存器地址或基址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所属区域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GPIOA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0x40020000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外设区 → AHB1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GPIOF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0x40021400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外设区 → AHB1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CAN1 / CAN2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0x40006400 / 0x40006800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外设区 → APB1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SysTick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0xE000E010～0xE000E01C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系统区 → PPB → SCS</w:t>
            </w:r>
          </w:p>
        </w:tc>
      </w:tr>
    </w:tbl>
    <w:p>
      <w:pPr>
        <w:spacing w:after="40"/>
      </w:pPr>
    </w:p>
    <w:p>
      <w:r>
        <w:t>STM32F407ZGT6 的 1 MB Flash 位于 0x08000000～0x080FFFFF；SRAM1 与 SRAM2 合计 128 KB，位于 0x20000000～0x2001FFFF；64 KB CCM 数据 RAM 位于 0x10000000～0x1000FFFF，仅供 CPU 通过 D-bus 访问。[2]</w:t>
      </w:r>
    </w:p>
    <w:p>
      <w:pPr>
        <w:pStyle w:val="Heading2"/>
      </w:pPr>
      <w:r>
        <w:t>位带地址的含义</w:t>
      </w:r>
    </w:p>
    <w:p>
      <w:r>
        <w:t>SRAM 地址区的前 1 MB 和外设区的前 1 MB 分别具有位带别名区，基址为 0x22000000 和 0x42000000。别名地址 = 别名区基址 + 字节偏移 × 32 + 位号 × 4。对别名字进行读写，就能访问对应的单个位。[2]</w:t>
      </w:r>
    </w:p>
    <w:p>
      <w:r>
        <w:br w:type="page"/>
      </w:r>
    </w:p>
    <w:p>
      <w:pPr>
        <w:pStyle w:val="Heading1"/>
      </w:pPr>
      <w:r>
        <w:t>第3题 中断概念与异常向量表</w:t>
      </w:r>
    </w:p>
    <w:p>
      <w:r>
        <w:t>中断是外设或外部事件发出的处理请求。处理器在满足响应条件后暂停当前程序，转入中断服务程序，结束后恢复执行。Cortex-M4 将外部中断纳入异常机制，与故障、SVC、PendSV 和 SysTick 等内核异常统一处理。[1]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2444400"/>
            <wp:docPr id="2" name="Picture 2" descr="中断请求经过挂起仲裁、硬件压栈、ISR处理和异常返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4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中断响应过程</w:t>
      </w:r>
    </w:p>
    <w:p>
      <w:r>
        <w:t>关键词：中断源、使能、屏蔽、挂起、优先级、抢占、嵌套、向量、ISR、异常返回。优先级数值越小，优先级越高；高抢占优先级的异常可以打断低优先级的处理程序。外设标志通常由 ISR 按该外设规则清除。[1, 2]</w:t>
      </w:r>
    </w:p>
    <w:p>
      <w:pPr>
        <w:pStyle w:val="Heading2"/>
      </w:pPr>
      <w:r>
        <w:t>向量表的作用</w:t>
      </w:r>
    </w:p>
    <w:p>
      <w:r>
        <w:t>向量表把异常编号映射到处理函数入口。第 0 项保存初始 MSP，之后各项保存异常入口或保留值；每项占 4 字节。外部 IRQn 的向量偏移为 4 × (16 + IRQn)。VTOR 指定运行期间的向量表基址。[1]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2098"/>
        <w:gridCol w:w="6066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表项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偏移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0x00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初始主栈指针 __initial_sp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0x04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Reset_Handler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2 / 3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0x08 / 0x0C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NMI_Handler / HardFault_Handler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11 / 14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0x2C / 0x38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SVC_Handler / PendSV_Handler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0x3C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SysTick_Handler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16 + IRQn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 起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外部中断入口，例如 WWDG_IRQHandler</w:t>
            </w:r>
          </w:p>
        </w:tc>
      </w:tr>
    </w:tbl>
    <w:p>
      <w:pPr>
        <w:spacing w:after="40"/>
      </w:pPr>
    </w:p>
    <w:p>
      <w:r>
        <w:t>基本异常栈帧包含 R0～R3、R12、LR、PC 和 xPSR。STM32F407 的外部中断编号为 IRQ0～IRQ81，因此本工程启动文件含 16 个系统表项和 82 个外部中断表项，共 98 项。[1, 2, 7]</w:t>
      </w:r>
    </w:p>
    <w:p>
      <w:r>
        <w:br w:type="page"/>
      </w:r>
    </w:p>
    <w:p>
      <w:pPr>
        <w:pStyle w:val="Heading1"/>
      </w:pPr>
      <w:r>
        <w:t>第4题 STM32F407 片上总线</w:t>
      </w:r>
    </w:p>
    <w:p>
      <w:r>
        <w:t>STM32F407 通过 32 位多层 AHB 总线矩阵连接处理器、DMA、存储器和外设。主端口发起传输，从端口响应访问；RM0090 列出 8 个主端口和 7 个从端口。[2，第59～60页]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3175200"/>
            <wp:docPr id="3" name="Picture 3" descr="STM32F407总线矩阵的八个主端口和七个从端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总线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STM32F407 总线矩阵及端口</w:t>
      </w:r>
    </w:p>
    <w:p>
      <w:pPr>
        <w:pStyle w:val="Heading2"/>
      </w:pPr>
      <w:r>
        <w:t>题目指定外设的连接位置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701"/>
        <w:gridCol w:w="612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挂接总线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基址与用途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GPIO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AHB1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GPIOA 基址 0x40020000；通用输入输出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TIM2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APB1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0x40000000；32 位通用定时器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USART1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APB2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0x40011000；同步或异步串行通信</w:t>
            </w:r>
          </w:p>
        </w:tc>
      </w:tr>
    </w:tbl>
    <w:p>
      <w:pPr>
        <w:spacing w:after="40"/>
      </w:pPr>
    </w:p>
    <w:p>
      <w:r>
        <w:t>AHB1 侧还包含 RCC、CRC、DMA 等模块，并通过两座桥连接 APB1 和 APB2；AHB2 连接 USB OTG FS、DCMI、RNG 等模块；外部存储器经 FSMC 接入。开启某个 GPIO 端口前，需要先打开它在 RCC 中的 AHB1 时钟使能位。[2]</w:t>
      </w:r>
    </w:p>
    <w:p>
      <w:r>
        <w:br w:type="page"/>
      </w:r>
    </w:p>
    <w:p>
      <w:pPr>
        <w:pStyle w:val="Heading1"/>
      </w:pPr>
      <w:r>
        <w:t>第5题 时钟源与系统时钟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531"/>
        <w:gridCol w:w="629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时钟源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频率与用途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高速内部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HSI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 MHz RC；复位后的系统时钟来源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高速外部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HSE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4～26 MHz 晶体；本例采用 8 MHz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低速内部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LSI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标称约 32 kHz RC；可供独立看门狗、RTC 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低速外部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LSE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32.768 kHz 晶体；常用作 RTC 时钟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倍频输出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主 PLL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输入选择 HSI 或 HSE；经 M、N、P 得到 PLLCLK</w:t>
            </w:r>
          </w:p>
        </w:tc>
      </w:tr>
    </w:tbl>
    <w:p>
      <w:pPr>
        <w:spacing w:after="40"/>
      </w:pPr>
    </w:p>
    <w:p>
      <w:r>
        <w:t>SYSCLK 可以直接选择 HSI、HSE，或选择主 PLL 输出。采用 PLL 时，SYSCLK = f输入 ÷ M × N ÷ P。例如 8 MHz ÷ 8 × 336 ÷ 2 = 168 MHz。[2, 3]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2016000"/>
            <wp:docPr id="4" name="Picture 4" descr="8MHz外部时钟经PLL得到168MHz，APB1为42MHz，APB2为84MH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时钟树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4 168 MHz 配置示例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324"/>
        <w:gridCol w:w="436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时钟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最高频率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示例配置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SYSCLK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168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PLL 输出 168 MHz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AHB1 / HCLK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168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SYSCLK ÷ 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APB1 / PCLK1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42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HCLK ÷ 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APB2 / PCLK2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84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HCLK ÷ 2</w:t>
            </w:r>
          </w:p>
        </w:tc>
      </w:tr>
    </w:tbl>
    <w:p>
      <w:pPr>
        <w:spacing w:after="40"/>
      </w:pPr>
    </w:p>
    <w:p>
      <w:r>
        <w:t>配置顺序为开启时钟源、等待就绪、设置 PLL 和总线分频、设置供电档位与 Flash 等待周期，再切换 SYSCLK 并检查状态。以 2.7～3.6 V 供电运行在 168 MHz 时，Flash 配置 5 个等待周期。[2，表11]</w:t>
      </w:r>
    </w:p>
    <w:p>
      <w:r>
        <w:t>定时器时钟还需区分：APB 分频系数为 1 时，TIM 时钟等于 PCLK；大于 1 时，TIM 时钟为 2 × PCLK。因此本例 APB1 定时器为 84 MHz，APB2 定时器为 168 MHz。[2]</w:t>
      </w:r>
    </w:p>
    <w:p>
      <w:r>
        <w:br w:type="page"/>
      </w:r>
    </w:p>
    <w:p>
      <w:pPr>
        <w:pStyle w:val="Heading1"/>
      </w:pPr>
      <w:r>
        <w:t>第6题 复位引脚与典型电路</w:t>
      </w:r>
    </w:p>
    <w:p>
      <w:r>
        <w:t>STM32F407ZGT6 采用 LQFP144 封装，复位引脚为第 25 脚 NRST。NRST 中的 N 表示低电平有效，RST 表示复位。封装顶视图中先根据定位标记找到 1 脚，再沿引脚编号定位 25 脚。[3，表7]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1814400"/>
            <wp:docPr id="5" name="Picture 5" descr="NRST第25脚通过10k电阻上拉到3.3V，并接100nF电容和复位按键到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复位电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NRST 典型复位电路</w:t>
      </w:r>
    </w:p>
    <w:p>
      <w:r>
        <w:t>图中 10 kΩ 电阻将 NRST 上拉到 3.3 V，100 nF 电容接地，按键与电容并联。按下按键时 NRST 被拉低，芯片进入复位；松开后 NRST 恢复高电平，处理器按启动配置读取初始栈指针和复位入口。普中 F407-T100 原理图采用这一连接形式。[3, 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元件或信号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10 kΩ 上拉电阻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让复位脚在按键松开时保持高电平。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100 nF 电容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与上拉网络配合抑制复位脚上的短暂干扰。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常开按键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闭合时将 NRST 接地，实现手动复位。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调试器 NRST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连接同一复位网络，允许调试器控制复位。</w:t>
            </w:r>
          </w:p>
        </w:tc>
      </w:tr>
    </w:tbl>
    <w:p>
      <w:pPr>
        <w:spacing w:after="40"/>
      </w:pPr>
    </w:p>
    <w:p>
      <w:pPr>
        <w:pStyle w:val="Heading2"/>
      </w:pPr>
      <w:r>
        <w:t>复位的其他来源</w:t>
      </w:r>
    </w:p>
    <w:p>
      <w:r>
        <w:t>除了 NRST 外部复位，芯片还支持上电或掉电复位、欠压复位、独立看门狗复位、窗口看门狗复位和软件复位。RCC_CSR 中的复位标志可用于判断复位来源。[2]</w:t>
      </w:r>
    </w:p>
    <w:p>
      <w:r>
        <w:t>芯片内部已有弱上拉电阻，数据手册给出的典型值为 40 kΩ。官方推荐复位脚外接 0.1 μF 电容；图中的外部 10 kΩ 上拉对应开发板的实际方案。[3，第121页]</w:t>
      </w:r>
    </w:p>
    <w:p>
      <w:r>
        <w:br w:type="page"/>
      </w:r>
    </w:p>
    <w:p>
      <w:pPr>
        <w:pStyle w:val="Heading1"/>
      </w:pPr>
      <w:r>
        <w:t>第7题 主芯片数据手册与特征</w:t>
      </w:r>
    </w:p>
    <w:p>
      <w:r>
        <w:t>STM32F407ZGT6 侧重较高运算性能和丰富的高速接口；STM32L496 侧重低功耗与模拟、通信功能。两者均采用 Cortex-M4 内核，带单精度 FPU 和 DSP 指令。[3, 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3940"/>
        <w:gridCol w:w="3940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STM32F407ZGT6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STM32L496VET6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官方手册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DS8626 Rev 12</w:t>
              <w:br/>
              <w:t>STM32F405xx / STM32F407xx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DS11585 Rev 20</w:t>
              <w:br/>
              <w:t>STM32L496xx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CPU 最高频率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168 MHz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80 MHz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Flash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 MB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512 KB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SRAM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192 KB，其中 CCM 为 64 KB；另有 4 KB 备份 SRAM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320 KB，其中 64 KB 带硬件奇偶校验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封装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LQFP144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LQFP100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工作电源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1.8～3.6 V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1.71～3.6 V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主要接口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以太网 MAC、USB OTG FS/HS、CAN、USART、SPI、I²C、FSMC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USB OTG FS、CAN、LPUART、I²C、SPI、QUADSPI、SDMMC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模拟与控制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 个 12 位 ADC、2 个 DAC 通道、多组 TIM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 个 12 位 ADC、2 个 DAC 通道、运放、比较器、低功耗定时器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典型特点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较高主频，适合控制、图像采集和联网应用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多种低功耗模式，适合电池供电和物联网终端</w:t>
            </w:r>
          </w:p>
        </w:tc>
      </w:tr>
    </w:tbl>
    <w:p>
      <w:pPr>
        <w:spacing w:after="40"/>
      </w:pPr>
    </w:p>
    <w:p>
      <w:r>
        <w:t>L496 系列最高支持 1 MB Flash，表中按 VET6 的实际容量列为 512 KB。F407 的以太网模块是 MAC；外部网络连接还需要 PHY。USB HS 的高速通信需要外部 ULPI PHY。[3, 4]</w:t>
      </w:r>
    </w:p>
    <w:p>
      <w:pPr>
        <w:pStyle w:val="Heading2"/>
      </w:pPr>
      <w:r>
        <w:t>开发板与芯片型号的对应</w:t>
      </w:r>
    </w:p>
    <w:p>
      <w:r>
        <w:t>本地普中 F407-T100 原理图标注主芯片为 STM32F407ZGT6。RT-Thread 与正点原子公开的常见潘多拉板使用 STM32L475VET6，参数为 80 MHz、512 KB Flash、128 KB RAM；它与题目列出的 STM32L496 是不同型号。[5, 6]</w:t>
      </w:r>
    </w:p>
    <w:p>
      <w:r>
        <w:t>两份官方 PDF 已随作业放入“参考资料”目录：STM32F407ZGT6数据手册_ST.pdf、STM32L496数据手册_ST.pdf。</w:t>
      </w:r>
    </w:p>
    <w:p>
      <w:r>
        <w:br w:type="page"/>
      </w:r>
    </w:p>
    <w:p>
      <w:pPr>
        <w:pStyle w:val="Heading1"/>
      </w:pPr>
      <w:r>
        <w:t>第8题 扩展练习一 最小系统电路</w:t>
      </w:r>
    </w:p>
    <w:p>
      <w:r>
        <w:t>STM32F407ZGT6 的基本运行电路包括电源及去耦、复位、启动配置和调试接口。下图采用 3.3 V 供电与 8 MHz 外部晶振，并结合官方硬件指南与普中原理图重绘。[3, 5, 8]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3981600"/>
            <wp:docPr id="6" name="Picture 6" descr="STM32F407ZGT6最小系统，包含供电、VCAP电容、8MHz晶振、BOOT0、NRST与SW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最小系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STM32F407ZGT6 最小系统连接示意</w:t>
      </w:r>
    </w:p>
    <w:p>
      <w:r>
        <w:t>VDD 与 VDDA 接 3.3 V，VSS 与 VSSA 接地。每个 VDD 附近放置 100 nF 去耦电容；VCAP1、VCAP2 分别接 2.2 μF 电容到地，为片内调压器稳定工作提供条件。PDR_ON 接高电平，使内部复位电路工作。[3, 8]</w:t>
      </w:r>
    </w:p>
    <w:p>
      <w:r>
        <w:t>BOOT0 下拉时从用户 Flash 启动。PA13 和 PA14 分别用于 SWDIO 与 SWCLK；调试器同时连接 GND、3.3 V 参考和 NRST。RTC 若需要外部低速时钟，可在 PC14、PC15 之间增加 32.768 kHz 晶体及匹配电容。[2, 3]</w:t>
      </w:r>
    </w:p>
    <w:p>
      <w:r>
        <w:t>完整开发板原理图为“普中F407-T100开发板原理图_STM32F407ZGT6.pdf”，随作业附在“参考资料”目录，可对照其中 CPU、POWER、RESET、BOOT、JTAG 模块查看具体元件编号。[5]</w:t>
      </w:r>
    </w:p>
    <w:p>
      <w:r>
        <w:br w:type="page"/>
      </w:r>
    </w:p>
    <w:p>
      <w:pPr>
        <w:pStyle w:val="Heading1"/>
      </w:pPr>
      <w:r>
        <w:t>第8题 扩展练习二 工程模板</w:t>
      </w:r>
    </w:p>
    <w:p>
      <w:r>
        <w:t>标准库与 HAL 工程都由启动文件、CMSIS、库驱动和用户代码组成。Group 是 µVision 中的源文件分组；main.c 组织初始化与主循环。模板预先确定芯片、头文件路径、宏定义、存储器布局和编译器设置。</w:t>
      </w:r>
    </w:p>
    <w:p>
      <w:r>
        <w:t>两类目录中的 Blank.uvprojx 是空白模板，入口文件为 User/main_blank.c；Template.uvprojx 是 GPIO 示例，入口文件为 User/main.c。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3940"/>
        <w:gridCol w:w="3940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9"/>
              </w:rPr>
              <w:t>组成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9"/>
              </w:rPr>
              <w:t>标准库工程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9"/>
              </w:rPr>
              <w:t>HAL 工程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用户程序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User/main.c 与中断处理文件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User/main.c 与中断处理文件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启动与内核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startup_stm32f40_41xxx.s</w:t>
              <w:br/>
              <w:t>CMSIS 与 system_stm32f4xx.c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startup_stm32f407xx.s</w:t>
              <w:br/>
              <w:t>CMSIS 与 system_stm32f4xx.c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驱动库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STM32F4xx_StdPeriph_Driver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STM32F4xx_HAL_Driver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空白模板入口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main → while (1)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HAL_Init → SystemClock_Config</w:t>
              <w:br/>
              <w:t>→ while (1)</w:t>
            </w:r>
          </w:p>
        </w:tc>
      </w:tr>
    </w:tbl>
    <w:p>
      <w:pPr>
        <w:spacing w:after="40"/>
      </w:pPr>
    </w:p>
    <w:p>
      <w:pPr>
        <w:pStyle w:val="Heading1"/>
      </w:pPr>
      <w:r>
        <w:t>第8题 扩展练习三 启动文件</w:t>
      </w:r>
    </w:p>
    <w:p>
      <w:r>
        <w:t>实际 SPL 工程的启动文件设置 Stack_Size = 0x00000400，即 1 KB 栈；Heap_Size = 0x00000200，即 512 B 堆。SPACE 保留空间，DCD 放置 32 位数据或地址。以下节选自工程中的汇编文件。[7]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>__Vectors       DCD     __initial_sp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DCD     Reset_Handler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DCD     NMI_Handler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DCD     HardFault_Handler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>Reset_Handler   PROC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EXPORT  Reset_Handler [WEAK]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IMPORT  SystemInit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IMPORT  __main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LDR     R0, =SystemInit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BLX     R0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LDR     R0, =__main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BX      R0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ENDP</w:t>
      </w:r>
    </w:p>
    <w:p>
      <w:pPr>
        <w:spacing w:after="0"/>
      </w:pP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957600"/>
            <wp:docPr id="7" name="Picture 7" descr="复位后装载MSP，经过Reset_Handler、SystemInit和C运行时进入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启动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 从复位到 main 的执行顺序</w:t>
      </w:r>
    </w:p>
    <w:p>
      <w:r>
        <w:t>硬件从启动映射区读取初始 MSP 和复位向量。SystemInit 完成系统级初始化；__main 建立 C 运行环境，然后调用 main。启动文件把大部分异常处理函数定义为弱符号，用户定义同名函数后即可替换默认入口。[1, 7]</w:t>
      </w:r>
    </w:p>
    <w:p>
      <w:r>
        <w:br w:type="page"/>
      </w:r>
    </w:p>
    <w:p>
      <w:pPr>
        <w:pStyle w:val="Heading1"/>
      </w:pPr>
      <w:r>
        <w:t>第8题 扩展练习四 标准库 GPIO 工程</w:t>
      </w:r>
    </w:p>
    <w:p>
      <w:r>
        <w:t>两份工程使用相同的引脚连接：PF9 驱动低电平点亮的 LED，PE4 连接按下接地的按键。程序先开启端口时钟，配置 PF9 为推挽输出、PE4 为上拉输入，再循环读取按键并控制 LED。[5, 7]</w:t>
      </w:r>
    </w:p>
    <w:p>
      <w:pPr>
        <w:pStyle w:val="Caption"/>
      </w:pPr>
      <w:r>
        <w:t>代码 1 SPL_GPIO/User/main.c 完整内容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#include "stm32f4xx.h"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static</w:t>
      </w:r>
      <w:r>
        <w:rPr>
          <w:rFonts w:ascii="Consolas" w:hAnsi="Consolas" w:eastAsia="等线"/>
          <w:sz w:val="18"/>
        </w:rPr>
        <w:t xml:space="preserve"> 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 xml:space="preserve"> GPIO_Setup(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GPIO_InitTypeDef</w:t>
      </w:r>
      <w:r>
        <w:rPr>
          <w:rFonts w:ascii="Consolas" w:hAnsi="Consolas" w:eastAsia="等线"/>
          <w:sz w:val="18"/>
        </w:rPr>
        <w:t xml:space="preserve"> gpio;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RCC_AHB1PeriphClockCmd(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RCC_AHB1Periph_GPIOF | RCC_AHB1Periph_GPIOE, ENABLE);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GPIO_StructInit(&amp;gpio);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gpio.GPIO_Pin = GPIO_Pin_9;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gpio.GPIO_Mode = GPIO_Mode_OUT;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gpio.GPIO_OType = GPIO_OType_PP;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gpio.GPIO_Speed = GPIO_Speed_2MHz;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gpio.GPIO_PuPd = GPIO_PuPd_NOPULL;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GPIO_Init(GPIOF,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gpio.GPIO_Pin = GPIO_Pin_4;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gpio.GPIO_Mode = GPIO_Mode_IN;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gpio.GPIO_PuPd = GPIO_PuPd_UP;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GPIO_Init(GPIOE,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int</w:t>
      </w:r>
      <w:r>
        <w:rPr>
          <w:rFonts w:ascii="Consolas" w:hAnsi="Consolas" w:eastAsia="等线"/>
          <w:sz w:val="18"/>
        </w:rPr>
        <w:t xml:space="preserve"> main(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GPIO_Setup();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while</w:t>
      </w:r>
      <w:r>
        <w:rPr>
          <w:rFonts w:ascii="Consolas" w:hAnsi="Consolas" w:eastAsia="等线"/>
          <w:sz w:val="18"/>
        </w:rPr>
        <w:t xml:space="preserve"> (1)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</w:t>
      </w:r>
      <w:r>
        <w:rPr>
          <w:rFonts w:ascii="Consolas" w:hAnsi="Consolas" w:eastAsia="等线"/>
          <w:color w:val="236A73"/>
          <w:sz w:val="18"/>
        </w:rPr>
        <w:t>if</w:t>
      </w:r>
      <w:r>
        <w:rPr>
          <w:rFonts w:ascii="Consolas" w:hAnsi="Consolas" w:eastAsia="等线"/>
          <w:sz w:val="18"/>
        </w:rPr>
        <w:t xml:space="preserve"> (GPIO_ReadInputDataBit(GPIOE, GPIO_Pin_4) == Bit_RESET)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    GPIO_ResetBits(GPIOF,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</w:t>
      </w:r>
      <w:r>
        <w:rPr>
          <w:rFonts w:ascii="Consolas" w:hAnsi="Consolas" w:eastAsia="等线"/>
          <w:color w:val="236A73"/>
          <w:sz w:val="18"/>
        </w:rPr>
        <w:t>else</w:t>
      </w: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    GPIO_SetBits(GPIOF,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}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spacing w:after="0"/>
      </w:pPr>
    </w:p>
    <w:p>
      <w:r>
        <w:t>GPIO_SetBits 将输出置高，GPIO_ResetBits 将输出置低；GPIO_ReadInputDataBit 读取输入数据位。GPIO_StructInit 先填入默认配置，再修改本实验需要的字段。</w:t>
      </w:r>
    </w:p>
    <w:p>
      <w:r>
        <w:t>程序逻辑为：按下按键，PE4 读到 0，将 PF9 清零，LED 点亮；松开按键，PE4 由上拉保持为 1，将 PF9 置位，LED 熄灭。</w:t>
      </w:r>
    </w:p>
    <w:p>
      <w:r>
        <w:br w:type="page"/>
      </w:r>
    </w:p>
    <w:p>
      <w:pPr>
        <w:pStyle w:val="Heading1"/>
      </w:pPr>
      <w:r>
        <w:t>第8题 扩展练习四 HAL GPIO 工程</w:t>
      </w:r>
    </w:p>
    <w:p>
      <w:r>
        <w:t>HAL 工程先调用 HAL_Init，再配置系统时钟与 GPIO。下面是实际 main.c 中的 GPIO 初始化函数和主循环；SystemClock_Config 的完整实现随工程提供，使用 HSE 8 MHz 与 PLL 得到 168 MHz。</w:t>
      </w:r>
    </w:p>
    <w:p>
      <w:pPr>
        <w:pStyle w:val="Caption"/>
      </w:pPr>
      <w:r>
        <w:t>代码 2 HAL_GPIO/User/main.c 中的初始化与主循环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static</w:t>
      </w:r>
      <w:r>
        <w:rPr>
          <w:rFonts w:ascii="Consolas" w:hAnsi="Consolas" w:eastAsia="等线"/>
          <w:sz w:val="18"/>
        </w:rPr>
        <w:t xml:space="preserve"> 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 xml:space="preserve"> GPIO_Setup(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GPIO_InitTypeDef</w:t>
      </w:r>
      <w:r>
        <w:rPr>
          <w:rFonts w:ascii="Consolas" w:hAnsi="Consolas" w:eastAsia="等线"/>
          <w:sz w:val="18"/>
        </w:rPr>
        <w:t xml:space="preserve"> gpio = {0};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__HAL_RCC_GPIOF_CLK_ENABLE();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__HAL_RCC_GPIOE_CLK_ENABLE();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HAL_GPIO_WritePin(GPIOF, GPIO_PIN_9, GPIO_PIN_SET);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gpio.Pin = GPIO_PIN_9;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gpio.Mode = GPIO_MODE_OUTPUT_PP;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gpio.Pull = GPIO_NOPULL;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gpio.Speed = GPIO_SPEED_FREQ_LOW;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HAL_GPIO_Init(GPIOF,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gpio.Pin = GPIO_PIN_4;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gpio.Mode = GPIO_MODE_INPUT;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gpio.Pull = GPIO_PULLUP;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HAL_GPIO_Init(GPIOE,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int</w:t>
      </w:r>
      <w:r>
        <w:rPr>
          <w:rFonts w:ascii="Consolas" w:hAnsi="Consolas" w:eastAsia="等线"/>
          <w:sz w:val="18"/>
        </w:rPr>
        <w:t xml:space="preserve"> main(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HAL_Init();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SystemClock_Config();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GPIO_Setup();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while</w:t>
      </w:r>
      <w:r>
        <w:rPr>
          <w:rFonts w:ascii="Consolas" w:hAnsi="Consolas" w:eastAsia="等线"/>
          <w:sz w:val="18"/>
        </w:rPr>
        <w:t xml:space="preserve"> (1)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</w:t>
      </w:r>
      <w:r>
        <w:rPr>
          <w:rFonts w:ascii="Consolas" w:hAnsi="Consolas" w:eastAsia="等线"/>
          <w:color w:val="236A73"/>
          <w:sz w:val="18"/>
        </w:rPr>
        <w:t>GPIO_PinState</w:t>
      </w:r>
      <w:r>
        <w:rPr>
          <w:rFonts w:ascii="Consolas" w:hAnsi="Consolas" w:eastAsia="等线"/>
          <w:sz w:val="18"/>
        </w:rPr>
        <w:t xml:space="preserve"> key = HAL_GPIO_ReadPin(GPIOE, GPIO_PIN_4);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HAL_GPIO_WritePin(GPIOF, GPIO_PIN_9, key);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}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spacing w:after="0"/>
      </w:pPr>
    </w:p>
    <w:p>
      <w:r>
        <w:t>HAL_GPIO_ReadPin 返回 GPIO_PIN_RESET 或 GPIO_PIN_SET；将这个状态写入 PF9，即可使低电平 LED 跟随低有效按键。初始化时先写高电平，再将 PF9 切换为输出，使 LED 初始熄灭。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997"/>
        <w:gridCol w:w="399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标准库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HAL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打开时钟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RCC_AHB1PeriphClockCmd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__HAL_RCC_GPIOx_CLK_ENABLE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初始化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GPIO_Init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HAL_GPIO_Init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读输入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GPIO_ReadInputDataBit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HAL_GPIO_ReadPin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写输出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GPIO_SetBits / GPIO_ResetBits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HAL_GPIO_WritePin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工程编译记录与参考资料</w:t>
      </w:r>
    </w:p>
    <w:p>
      <w:r>
        <w:t>两份空白模板和两份 GPIO 工程已在本机使用 Keil µVision 和 Arm Compiler 5.06 update 7 build 960 重新编译。工程内包含源码、µVision 工程文件、HEX、AXF 和编译日志。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948"/>
        <w:gridCol w:w="464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工程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编译结果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代码与只读数据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SPL_Blank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704 B，RO-data 408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HAL_Blank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3106 B，RO-data 450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SPL_GPIO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1068 B，RO-data 408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HAL_GPIO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3814 B，RO-data 450 B</w:t>
            </w:r>
          </w:p>
        </w:tc>
      </w:tr>
    </w:tbl>
    <w:p>
      <w:pPr>
        <w:spacing w:after="40"/>
      </w:pPr>
    </w:p>
    <w:p>
      <w:r>
        <w:t>本次完成源码与编译验证；按键控制 LED 的现象由接线和代码推导，尚未进行实板测试。</w:t>
      </w:r>
    </w:p>
    <w:p>
      <w:pPr>
        <w:pStyle w:val="Heading2"/>
      </w:pPr>
      <w:r>
        <w:t>参考资料</w:t>
      </w:r>
    </w:p>
    <w:p>
      <w:pPr>
        <w:spacing w:after="140"/>
      </w:pPr>
      <w:r>
        <w:rPr>
          <w:sz w:val="20"/>
        </w:rPr>
        <w:t>[1] STMicroelectronics. PM0214 Rev 10. Cortex-M4 编程手册。用于存储器映射、特殊寄存器、异常机制与 SysTick。</w:t>
      </w:r>
      <w:r>
        <w:t xml:space="preserve"> </w:t>
      </w:r>
      <w:hyperlink r:id="rId17">
        <w:r>
          <w:rPr>
            <w:color w:val="236A73"/>
          </w:rPr>
          <w:t>ST 官方 PDF</w:t>
        </w:r>
      </w:hyperlink>
    </w:p>
    <w:p>
      <w:pPr>
        <w:spacing w:after="140"/>
      </w:pPr>
      <w:r>
        <w:rPr>
          <w:sz w:val="20"/>
        </w:rPr>
        <w:t>[2] STMicroelectronics. RM0090 Rev 22. STM32F405/407 等器件参考手册。第2章总线与存储器；第6章 RCC；GPIO、TIM、USART、CAN 章节。</w:t>
      </w:r>
      <w:r>
        <w:t xml:space="preserve"> </w:t>
      </w:r>
      <w:hyperlink r:id="rId18">
        <w:r>
          <w:rPr>
            <w:color w:val="236A73"/>
          </w:rPr>
          <w:t>ST 参考手册入口</w:t>
        </w:r>
      </w:hyperlink>
    </w:p>
    <w:p>
      <w:pPr>
        <w:spacing w:after="140"/>
      </w:pPr>
      <w:r>
        <w:rPr>
          <w:sz w:val="20"/>
        </w:rPr>
        <w:t>[3] STMicroelectronics. DS8626 Rev 12，2026年3月。STM32F405xx / STM32F407xx 数据手册。表7为引脚表，第121页为 NRST 电气特性。</w:t>
      </w:r>
      <w:r>
        <w:t xml:space="preserve"> </w:t>
      </w:r>
      <w:hyperlink r:id="rId19">
        <w:r>
          <w:rPr>
            <w:color w:val="236A73"/>
          </w:rPr>
          <w:t>ST 官方 PDF</w:t>
        </w:r>
      </w:hyperlink>
    </w:p>
    <w:p>
      <w:pPr>
        <w:spacing w:after="140"/>
      </w:pPr>
      <w:r>
        <w:rPr>
          <w:sz w:val="20"/>
        </w:rPr>
        <w:t>[4] STMicroelectronics. DS11585 Rev 20，2025年10月。STM32L496xx 数据手册；VET6 容量另参见产品页。</w:t>
      </w:r>
      <w:r>
        <w:t xml:space="preserve"> </w:t>
      </w:r>
      <w:hyperlink r:id="rId20">
        <w:r>
          <w:rPr>
            <w:color w:val="236A73"/>
          </w:rPr>
          <w:t>ST 官方 PDF</w:t>
        </w:r>
      </w:hyperlink>
    </w:p>
    <w:p>
      <w:pPr>
        <w:spacing w:after="140"/>
      </w:pPr>
      <w:r>
        <w:rPr>
          <w:sz w:val="20"/>
        </w:rPr>
        <w:t>[5] 普中 F407-T100 开发板原理图，图纸日期 2020年12月24日。主芯片为 STM32F407ZGT6。本地课程资料副本，完整 PDF 随作业附后。</w:t>
      </w:r>
    </w:p>
    <w:p>
      <w:pPr>
        <w:spacing w:after="140"/>
      </w:pPr>
      <w:r>
        <w:rPr>
          <w:sz w:val="20"/>
        </w:rPr>
        <w:t>[6] RT-Thread 官方仓库。STM32L475 潘多拉开发板 BSP 说明。用于核对常见潘多拉板的 MCU 与存储器容量。</w:t>
      </w:r>
      <w:r>
        <w:t xml:space="preserve"> </w:t>
      </w:r>
      <w:hyperlink r:id="rId21">
        <w:r>
          <w:rPr>
            <w:color w:val="236A73"/>
          </w:rPr>
          <w:t>官方 BSP 说明</w:t>
        </w:r>
      </w:hyperlink>
    </w:p>
    <w:p>
      <w:pPr>
        <w:spacing w:after="140"/>
      </w:pPr>
      <w:r>
        <w:rPr>
          <w:sz w:val="20"/>
        </w:rPr>
        <w:t>[7] 本次 GPIO工程/SPL_GPIO 与 GPIO工程/HAL_GPIO。标准库模板取自本地普中例程，HAL 模板取自本地 HAL 最小工程；main.c 为本次 GPIO 练习代码。</w:t>
      </w:r>
    </w:p>
    <w:p>
      <w:pPr>
        <w:spacing w:after="140"/>
      </w:pPr>
      <w:r>
        <w:rPr>
          <w:sz w:val="20"/>
        </w:rPr>
        <w:t>[8] STMicroelectronics. AN4488. Getting started with STM32F4xxxx MCU hardware development。用于电源、复位、启动及调试电路。</w:t>
      </w:r>
      <w:r>
        <w:t xml:space="preserve"> </w:t>
      </w:r>
      <w:hyperlink r:id="rId22">
        <w:r>
          <w:rPr>
            <w:color w:val="236A73"/>
          </w:rPr>
          <w:t>ST 官方 PDF</w:t>
        </w:r>
      </w:hyperlink>
    </w:p>
    <w:sectPr w:rsidR="00FC693F" w:rsidRPr="0006063C" w:rsidSect="00034616">
      <w:footerReference w:type="default" r:id="rId9"/>
      <w:pgSz w:w="11906" w:h="16838"/>
      <w:pgMar w:top="1020" w:right="1191" w:bottom="1020" w:left="119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76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60" w:line="276" w:lineRule="auto"/>
    </w:pPr>
    <w:rPr>
      <w:rFonts w:asciiTheme="majorHAnsi" w:eastAsiaTheme="majorEastAsia" w:hAnsiTheme="majorHAnsi" w:cstheme="majorBidi" w:ascii="Calibri" w:hAnsi="Calibri" w:eastAsia="宋体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80" w:after="180"/>
    </w:pPr>
    <w:rPr>
      <w:rFonts w:ascii="Calibri" w:hAnsi="Calibri" w:eastAsia="宋体"/>
      <w:b w:val="0"/>
      <w:bCs/>
      <w:color w:val="5361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www.st.com/resource/en/programming_manual/pm0214-stm32-cortexm4-mcus-and-mpus-programming-manual-stmicroelectronics.pdf" TargetMode="External"/><Relationship Id="rId18" Type="http://schemas.openxmlformats.org/officeDocument/2006/relationships/hyperlink" Target="https://www.st.com/en/microcontrollers-microprocessors/stm32f407zg.html#documentation" TargetMode="External"/><Relationship Id="rId19" Type="http://schemas.openxmlformats.org/officeDocument/2006/relationships/hyperlink" Target="https://www.st.com/resource/en/datasheet/stm32f407zg.pdf" TargetMode="External"/><Relationship Id="rId20" Type="http://schemas.openxmlformats.org/officeDocument/2006/relationships/hyperlink" Target="https://www.st.com/resource/en/datasheet/stm32l496qe.pdf" TargetMode="External"/><Relationship Id="rId21" Type="http://schemas.openxmlformats.org/officeDocument/2006/relationships/hyperlink" Target="https://github.com/RT-Thread/rt-thread/blob/master/bsp/stm32/stm32l475-atk-pandora/README.md" TargetMode="External"/><Relationship Id="rId22" Type="http://schemas.openxmlformats.org/officeDocument/2006/relationships/hyperlink" Target="https://www.st.com/resource/en/application_note/an4488-getting-started-with-stm32f4xxxx-mcu-hardware-development-stmicroelectron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嵌入式系统作业 2</dc:title>
  <dc:subject>Cortex-M4 与 STM32F407 基础及 GPIO 工程</dc:subject>
  <dc:creator>彭俊杰</dc:creator>
  <cp:keywords>STM32F407ZGT6 STM32L496 Cortex-M4 GPIO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