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00BCC688" w:rsidR="00A31B3E" w:rsidRDefault="0067252D" w:rsidP="004E408C">
      <w:r>
        <w:t xml:space="preserve">January </w:t>
      </w:r>
      <w:r w:rsidR="00C42E48">
        <w:t>15</w:t>
      </w:r>
      <w:r>
        <w:t>, 2020</w:t>
      </w:r>
      <w:r w:rsidR="001541F1">
        <w:br/>
        <w:t xml:space="preserve">December </w:t>
      </w:r>
      <w:r w:rsidR="00C17E16">
        <w:t>8</w:t>
      </w:r>
      <w:r w:rsidR="001541F1">
        <w:t>, 2020 (fixed documentation</w:t>
      </w:r>
      <w:r w:rsidR="00CE55D8">
        <w:t>:</w:t>
      </w:r>
      <w:r w:rsidR="001541F1">
        <w:t xml:space="preserve"> eHistory.17</w:t>
      </w:r>
      <w:r w:rsidR="00CE55D8">
        <w:t xml:space="preserve">, </w:t>
      </w:r>
      <w:r w:rsidR="001541F1">
        <w:t>eDisposition.21</w:t>
      </w:r>
      <w:r w:rsidR="00CE55D8">
        <w:t>; fixed translation:</w:t>
      </w:r>
      <w:r w:rsidR="001541F1">
        <w:t xml:space="preserve"> </w:t>
      </w:r>
      <w:r w:rsidR="004E408C">
        <w:t>dPersonnel.12</w:t>
      </w:r>
      <w:r w:rsidR="00CE55D8">
        <w:t>,</w:t>
      </w:r>
      <w:r w:rsidR="004E408C">
        <w:t xml:space="preserve"> dFacility.01</w:t>
      </w:r>
      <w:r w:rsidR="00CE55D8">
        <w:t>,</w:t>
      </w:r>
      <w:r w:rsidR="004E408C">
        <w:t xml:space="preserve"> </w:t>
      </w:r>
      <w:r w:rsidR="004C4712">
        <w:t>sFacility.01</w:t>
      </w:r>
      <w:r w:rsidR="00CE55D8">
        <w:t>, “</w:t>
      </w:r>
      <w:r w:rsidR="004E408C">
        <w:t>NotRecorded</w:t>
      </w:r>
      <w:r w:rsidR="00CE55D8">
        <w:t>”</w:t>
      </w:r>
      <w:r w:rsidR="004E408C">
        <w:t xml:space="preserve"> attribute set in EMSDataSet</w:t>
      </w:r>
      <w:r w:rsidR="00CE55D8">
        <w:t>,</w:t>
      </w:r>
      <w:r w:rsidR="004E408C">
        <w:t xml:space="preserve"> eMedications.05</w:t>
      </w:r>
      <w:r w:rsidR="00CE55D8">
        <w:t xml:space="preserve">/eMedications.06; improved translation: </w:t>
      </w:r>
      <w:r w:rsidR="002034A7">
        <w:t>eDisposition.12</w:t>
      </w:r>
      <w:r w:rsidR="001541F1">
        <w:t>)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25E9BD71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2034A7">
        <w:t>3.4.0.200910CP2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131559EA" w:rsidR="00332B1D" w:rsidRPr="00741C54" w:rsidRDefault="00E71FA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3117013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352732E3" w:rsidR="00332B1D" w:rsidRPr="00741C54" w:rsidRDefault="00E71FA4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3117011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3BD7EFE1" w:rsidR="00A6284E" w:rsidRPr="002858FB" w:rsidRDefault="0071278C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EF53F8">
            <w:pPr>
              <w:keepNext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EF53F8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lastRenderedPageBreak/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661A542A" w:rsidR="00EE4CC4" w:rsidRDefault="00EE4CC4" w:rsidP="00EE4CC4">
      <w:r>
        <w:t xml:space="preserve">Values are mapped </w:t>
      </w:r>
      <w:r w:rsidR="00FE0337">
        <w:t>from</w:t>
      </w:r>
      <w:r>
        <w:t xml:space="preserve">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EF53F8">
            <w:pPr>
              <w:keepNext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lastRenderedPageBreak/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76F83615" w:rsidR="00DE335D" w:rsidRDefault="00DE335D" w:rsidP="00211178">
      <w:r>
        <w:t xml:space="preserve">eMedications.05: </w:t>
      </w:r>
      <w:r w:rsidR="00623654" w:rsidRPr="00623654">
        <w:rPr>
          <w:rFonts w:ascii="Consolas" w:hAnsi="Consolas"/>
        </w:rPr>
        <w:t>format-number(</w:t>
      </w:r>
      <w:r w:rsidR="00FA2670">
        <w:rPr>
          <w:rFonts w:ascii="Consolas" w:hAnsi="Consolas"/>
        </w:rPr>
        <w:t>value</w:t>
      </w:r>
      <w:r w:rsidR="00623654">
        <w:rPr>
          <w:rFonts w:ascii="Consolas" w:hAnsi="Consolas"/>
        </w:rPr>
        <w:t xml:space="preserve"> ÷ 60</w:t>
      </w:r>
      <w:r w:rsidR="00623654" w:rsidRPr="00623654">
        <w:rPr>
          <w:rFonts w:ascii="Consolas" w:hAnsi="Consolas"/>
        </w:rPr>
        <w:t>,</w:t>
      </w:r>
      <w:r w:rsidR="00FA2670">
        <w:rPr>
          <w:rFonts w:ascii="Consolas" w:hAnsi="Consolas"/>
        </w:rPr>
        <w:t xml:space="preserve"> </w:t>
      </w:r>
      <w:r w:rsidR="00623654" w:rsidRPr="00623654">
        <w:rPr>
          <w:rFonts w:ascii="Consolas" w:hAnsi="Consolas"/>
        </w:rPr>
        <w:t>'#.###')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2E10385B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bookmarkStart w:id="0" w:name="_Hlk57715403"/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bookmarkEnd w:id="0"/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Pr="00FC42FB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All 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o</w:t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ther</w:t>
            </w:r>
            <w:r w:rsidR="00CE545A"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values or 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1" w:name="_Hlk57715441"/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2" w:name="_Hlk57715459"/>
            <w:bookmarkEnd w:id="1"/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bookmarkStart w:id="3" w:name="_Hlk57715628"/>
            <w:bookmarkEnd w:id="2"/>
            <w:r>
              <w:rPr>
                <w:sz w:val="18"/>
                <w:szCs w:val="18"/>
              </w:rPr>
              <w:t>eDisposition.30 - Transport Disposition</w:t>
            </w:r>
            <w:bookmarkEnd w:id="3"/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480F43FB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Transport </w:t>
            </w:r>
            <w:r w:rsidR="00405C78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FC42FB" w:rsidRPr="00EE7B18" w14:paraId="6F438956" w14:textId="77777777" w:rsidTr="00FC42F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FC42FB" w:rsidRDefault="00FC42F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4" w:name="_Hlk57715547"/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FC42FB" w:rsidRPr="00CE545A" w:rsidRDefault="00FC42FB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71E65E2B" w14:textId="2B3FB9B8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  <w:p w14:paraId="19E7DE30" w14:textId="7C42B8DF" w:rsidR="00FC42FB" w:rsidRPr="00EE7B18" w:rsidRDefault="00FC42F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FC42FB" w:rsidRPr="00EE7B18" w14:paraId="636D806E" w14:textId="77777777" w:rsidTr="00FC42FB">
        <w:trPr>
          <w:gridBefore w:val="4"/>
          <w:wBefore w:w="1093" w:type="dxa"/>
          <w:cantSplit/>
        </w:trPr>
        <w:tc>
          <w:tcPr>
            <w:tcW w:w="4050" w:type="dxa"/>
            <w:gridSpan w:val="4"/>
            <w:tcBorders>
              <w:right w:val="single" w:sz="4" w:space="0" w:color="auto"/>
            </w:tcBorders>
            <w:shd w:val="clear" w:color="000000" w:fill="D9D9D9"/>
            <w:noWrap/>
            <w:hideMark/>
          </w:tcPr>
          <w:p w14:paraId="2D597B75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noWrap/>
          </w:tcPr>
          <w:p w14:paraId="5CE1F47E" w14:textId="77777777" w:rsidR="00FC42FB" w:rsidRPr="00EE7B18" w:rsidRDefault="00FC42FB" w:rsidP="00405C78">
            <w:pPr>
              <w:pStyle w:val="NoSpacing"/>
              <w:rPr>
                <w:sz w:val="18"/>
                <w:szCs w:val="18"/>
              </w:rPr>
            </w:pPr>
          </w:p>
        </w:tc>
      </w:tr>
      <w:tr w:rsidR="00405C78" w:rsidRPr="00EE7B18" w14:paraId="4846A73E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B953D8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790CC3A5" w14:textId="6B80786A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150" w:type="dxa"/>
            <w:shd w:val="clear" w:color="auto" w:fill="auto"/>
            <w:noWrap/>
          </w:tcPr>
          <w:p w14:paraId="79BA7D49" w14:textId="50B5FFE2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02654C8A" w14:textId="1BCD8F6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shd w:val="clear" w:color="auto" w:fill="auto"/>
          </w:tcPr>
          <w:p w14:paraId="0335F6B8" w14:textId="099815DD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405C78" w:rsidRPr="00EE7B18" w14:paraId="218E4D01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D256414" w14:textId="77777777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2E7D4143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163D73B2" w14:textId="77777777" w:rsidR="00405C78" w:rsidRPr="00B554EE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shd w:val="clear" w:color="auto" w:fill="auto"/>
            <w:noWrap/>
          </w:tcPr>
          <w:p w14:paraId="4E8C2AA9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shd w:val="clear" w:color="auto" w:fill="auto"/>
          </w:tcPr>
          <w:p w14:paraId="724D7BAB" w14:textId="7777777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405C78" w:rsidRPr="00EE7B18" w14:paraId="2E07AD8C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6EED4B8" w14:textId="0B5F201E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150" w:type="dxa"/>
            <w:shd w:val="clear" w:color="auto" w:fill="auto"/>
            <w:noWrap/>
          </w:tcPr>
          <w:p w14:paraId="53637EEB" w14:textId="059AE41D" w:rsidR="00405C78" w:rsidRDefault="00405C78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shd w:val="clear" w:color="auto" w:fill="auto"/>
            <w:noWrap/>
          </w:tcPr>
          <w:p w14:paraId="2B08E2AD" w14:textId="262F8235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shd w:val="clear" w:color="auto" w:fill="auto"/>
          </w:tcPr>
          <w:p w14:paraId="0EECD081" w14:textId="12804CFB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405C78" w:rsidRPr="00EE7B18" w14:paraId="0D2ED024" w14:textId="77777777" w:rsidTr="00405C78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08789882" w14:textId="35772AD7" w:rsidR="00405C78" w:rsidRPr="00B554EE" w:rsidRDefault="00FC42FB" w:rsidP="00405C78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>4230013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150" w:type="dxa"/>
            <w:shd w:val="clear" w:color="auto" w:fill="auto"/>
            <w:noWrap/>
          </w:tcPr>
          <w:p w14:paraId="157F61E9" w14:textId="447F6693" w:rsidR="00405C78" w:rsidRPr="00FC42FB" w:rsidRDefault="00405C78" w:rsidP="00405C78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</w:t>
            </w:r>
            <w:r w:rsidR="00FC42F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or Not Values</w:t>
            </w:r>
          </w:p>
        </w:tc>
        <w:tc>
          <w:tcPr>
            <w:tcW w:w="855" w:type="dxa"/>
            <w:shd w:val="clear" w:color="auto" w:fill="auto"/>
            <w:noWrap/>
          </w:tcPr>
          <w:p w14:paraId="52DBE157" w14:textId="648F3B07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shd w:val="clear" w:color="auto" w:fill="auto"/>
          </w:tcPr>
          <w:p w14:paraId="58609B33" w14:textId="586E22C8" w:rsidR="00405C78" w:rsidRPr="00EE7B18" w:rsidRDefault="00405C78" w:rsidP="00405C78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bookmarkEnd w:id="4"/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lastRenderedPageBreak/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lastRenderedPageBreak/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F1FAE" w14:textId="77777777" w:rsidR="00082E7B" w:rsidRDefault="00082E7B" w:rsidP="00285829">
      <w:pPr>
        <w:spacing w:after="0" w:line="240" w:lineRule="auto"/>
      </w:pPr>
      <w:r>
        <w:separator/>
      </w:r>
    </w:p>
  </w:endnote>
  <w:endnote w:type="continuationSeparator" w:id="0">
    <w:p w14:paraId="33D24A4B" w14:textId="77777777" w:rsidR="00082E7B" w:rsidRDefault="00082E7B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79B5A" w14:textId="77777777" w:rsidR="00CE55D8" w:rsidRDefault="00CE5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CE55D8" w:rsidRDefault="00CE55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CE55D8" w:rsidRDefault="00CE55D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63D0" w14:textId="77777777" w:rsidR="00CE55D8" w:rsidRDefault="00CE5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543E" w14:textId="77777777" w:rsidR="00082E7B" w:rsidRDefault="00082E7B" w:rsidP="00285829">
      <w:pPr>
        <w:spacing w:after="0" w:line="240" w:lineRule="auto"/>
      </w:pPr>
      <w:r>
        <w:separator/>
      </w:r>
    </w:p>
  </w:footnote>
  <w:footnote w:type="continuationSeparator" w:id="0">
    <w:p w14:paraId="0E4B939B" w14:textId="77777777" w:rsidR="00082E7B" w:rsidRDefault="00082E7B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06666" w14:textId="77777777" w:rsidR="00CE55D8" w:rsidRDefault="00CE5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5BC5D" w14:textId="77777777" w:rsidR="00CE55D8" w:rsidRDefault="00CE5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9DEBB" w14:textId="77777777" w:rsidR="00CE55D8" w:rsidRDefault="00C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82E7B"/>
    <w:rsid w:val="000A72A9"/>
    <w:rsid w:val="000B5AB2"/>
    <w:rsid w:val="000D3C9B"/>
    <w:rsid w:val="000D705F"/>
    <w:rsid w:val="00120879"/>
    <w:rsid w:val="00152D07"/>
    <w:rsid w:val="00153E55"/>
    <w:rsid w:val="001541F1"/>
    <w:rsid w:val="001701F2"/>
    <w:rsid w:val="001773DB"/>
    <w:rsid w:val="00191071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034A7"/>
    <w:rsid w:val="00211178"/>
    <w:rsid w:val="00225B74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05C78"/>
    <w:rsid w:val="00407D68"/>
    <w:rsid w:val="0041366C"/>
    <w:rsid w:val="00454776"/>
    <w:rsid w:val="004551EF"/>
    <w:rsid w:val="004560F1"/>
    <w:rsid w:val="004602DF"/>
    <w:rsid w:val="004938FA"/>
    <w:rsid w:val="004C4712"/>
    <w:rsid w:val="004E408C"/>
    <w:rsid w:val="004E60FC"/>
    <w:rsid w:val="004F5970"/>
    <w:rsid w:val="00521E6F"/>
    <w:rsid w:val="00526889"/>
    <w:rsid w:val="00527F1F"/>
    <w:rsid w:val="005329EA"/>
    <w:rsid w:val="0055723D"/>
    <w:rsid w:val="00587BE8"/>
    <w:rsid w:val="00597C85"/>
    <w:rsid w:val="005A0EDA"/>
    <w:rsid w:val="005A11B1"/>
    <w:rsid w:val="005D674C"/>
    <w:rsid w:val="006078FD"/>
    <w:rsid w:val="00623654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1278C"/>
    <w:rsid w:val="00722E52"/>
    <w:rsid w:val="00756F69"/>
    <w:rsid w:val="00782853"/>
    <w:rsid w:val="00795657"/>
    <w:rsid w:val="00796DF6"/>
    <w:rsid w:val="007D3462"/>
    <w:rsid w:val="007F3F48"/>
    <w:rsid w:val="00803A26"/>
    <w:rsid w:val="00842E61"/>
    <w:rsid w:val="00847659"/>
    <w:rsid w:val="00855267"/>
    <w:rsid w:val="00871602"/>
    <w:rsid w:val="00871E6F"/>
    <w:rsid w:val="00890B1F"/>
    <w:rsid w:val="008963EE"/>
    <w:rsid w:val="008A3A0F"/>
    <w:rsid w:val="008A49B8"/>
    <w:rsid w:val="008E6D62"/>
    <w:rsid w:val="009263BF"/>
    <w:rsid w:val="00930584"/>
    <w:rsid w:val="0093496A"/>
    <w:rsid w:val="009638E1"/>
    <w:rsid w:val="0096565A"/>
    <w:rsid w:val="009671EF"/>
    <w:rsid w:val="009A5C2D"/>
    <w:rsid w:val="009E180F"/>
    <w:rsid w:val="00A102DD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6275"/>
    <w:rsid w:val="00B772E2"/>
    <w:rsid w:val="00BC2297"/>
    <w:rsid w:val="00BD65EB"/>
    <w:rsid w:val="00BF4378"/>
    <w:rsid w:val="00C068DB"/>
    <w:rsid w:val="00C179E3"/>
    <w:rsid w:val="00C17E16"/>
    <w:rsid w:val="00C2249D"/>
    <w:rsid w:val="00C23723"/>
    <w:rsid w:val="00C27DB4"/>
    <w:rsid w:val="00C42E48"/>
    <w:rsid w:val="00C70B08"/>
    <w:rsid w:val="00CA1DB2"/>
    <w:rsid w:val="00CA30C4"/>
    <w:rsid w:val="00CA5AA1"/>
    <w:rsid w:val="00CD02B8"/>
    <w:rsid w:val="00CD7B7F"/>
    <w:rsid w:val="00CE18C9"/>
    <w:rsid w:val="00CE545A"/>
    <w:rsid w:val="00CE55D8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71FA4"/>
    <w:rsid w:val="00E80344"/>
    <w:rsid w:val="00EA3D99"/>
    <w:rsid w:val="00EE1E02"/>
    <w:rsid w:val="00EE4CC4"/>
    <w:rsid w:val="00EE7B18"/>
    <w:rsid w:val="00EF53F8"/>
    <w:rsid w:val="00F23165"/>
    <w:rsid w:val="00F76360"/>
    <w:rsid w:val="00FA2670"/>
    <w:rsid w:val="00FA389E"/>
    <w:rsid w:val="00FC42FB"/>
    <w:rsid w:val="00FD1B8D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4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DBDC-8DD6-42D8-AB30-0CC9B928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5378</Words>
  <Characters>30656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43</cp:revision>
  <dcterms:created xsi:type="dcterms:W3CDTF">2017-01-23T23:13:00Z</dcterms:created>
  <dcterms:modified xsi:type="dcterms:W3CDTF">2020-12-08T22:36:00Z</dcterms:modified>
</cp:coreProperties>
</file>