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538A8" w14:textId="77777777" w:rsidR="000D3E7B" w:rsidRDefault="00AF1872">
      <w:pPr>
        <w:jc w:val="center"/>
        <w:rPr>
          <w:rFonts w:hint="eastAsia"/>
        </w:rPr>
      </w:pPr>
      <w:r>
        <w:rPr>
          <w:b/>
          <w:color w:val="062B55"/>
          <w:sz w:val="60"/>
        </w:rPr>
        <w:t>CONSTRUCT LC</w:t>
      </w:r>
    </w:p>
    <w:p w14:paraId="67DB6F21" w14:textId="77777777" w:rsidR="000D3E7B" w:rsidRDefault="00AF1872">
      <w:pPr>
        <w:jc w:val="center"/>
        <w:rPr>
          <w:rFonts w:hint="eastAsia"/>
        </w:rPr>
      </w:pPr>
      <w:r>
        <w:rPr>
          <w:b/>
          <w:color w:val="1479C9"/>
          <w:sz w:val="42"/>
        </w:rPr>
        <w:t>Tenant Branding &amp; Theming Guide</w:t>
      </w:r>
    </w:p>
    <w:p w14:paraId="6843269E" w14:textId="77777777" w:rsidR="000D3E7B" w:rsidRDefault="00AF1872">
      <w:pPr>
        <w:jc w:val="center"/>
        <w:rPr>
          <w:rFonts w:hint="eastAsia"/>
        </w:rPr>
      </w:pPr>
      <w:r>
        <w:rPr>
          <w:color w:val="6B7075"/>
          <w:sz w:val="22"/>
        </w:rPr>
        <w:t>Preserve the Construct LC experience. Make every tenant feel at home.</w:t>
      </w:r>
    </w:p>
    <w:p w14:paraId="732D6F3C" w14:textId="77777777" w:rsidR="000D3E7B" w:rsidRDefault="000D3E7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0D3E7B" w14:paraId="7F4F0AE6" w14:textId="77777777">
        <w:trPr>
          <w:jc w:val="center"/>
        </w:trPr>
        <w:tc>
          <w:tcPr>
            <w:tcW w:w="10080" w:type="dxa"/>
            <w:shd w:val="clear" w:color="auto" w:fill="F3F5F7"/>
            <w:vAlign w:val="center"/>
          </w:tcPr>
          <w:p w14:paraId="311149F5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062B55"/>
                <w:sz w:val="20"/>
              </w:rPr>
              <w:t>Product principle: one consistent UX and component system, with controlled tenant-level visual branding.</w:t>
            </w:r>
          </w:p>
        </w:tc>
      </w:tr>
    </w:tbl>
    <w:p w14:paraId="16622406" w14:textId="77777777" w:rsidR="000D3E7B" w:rsidRDefault="00AF1872">
      <w:pPr>
        <w:rPr>
          <w:rFonts w:hint="eastAsia"/>
        </w:rPr>
      </w:pPr>
      <w:r>
        <w:t>Version 1.0 • Product Architecture &amp; UX Specification</w:t>
      </w:r>
    </w:p>
    <w:p w14:paraId="4E0CC76E" w14:textId="77777777" w:rsidR="000D3E7B" w:rsidRDefault="00AF1872">
      <w:pPr>
        <w:rPr>
          <w:rFonts w:hint="eastAsia"/>
        </w:rPr>
      </w:pPr>
      <w:r>
        <w:br w:type="page"/>
      </w:r>
    </w:p>
    <w:p w14:paraId="5B4BAB37" w14:textId="77777777" w:rsidR="000D3E7B" w:rsidRDefault="00AF1872">
      <w:pPr>
        <w:pStyle w:val="Heading1"/>
      </w:pPr>
      <w:r>
        <w:lastRenderedPageBreak/>
        <w:t>1. Purpose</w:t>
      </w:r>
    </w:p>
    <w:p w14:paraId="00F4382C" w14:textId="77777777" w:rsidR="000D3E7B" w:rsidRDefault="00AF1872">
      <w:pPr>
        <w:rPr>
          <w:rFonts w:hint="eastAsia"/>
        </w:rPr>
      </w:pPr>
      <w:r>
        <w:t>Construct LC should retain the visual language established in the first-version application while allowing each tenant organization to apply its own brand identity. Tenant customization must change the visual theme—not the underlying information architecture, interaction patterns, or usability model.</w:t>
      </w:r>
    </w:p>
    <w:p w14:paraId="341BA5A2" w14:textId="77777777" w:rsidR="000D3E7B" w:rsidRDefault="00AF1872">
      <w:pPr>
        <w:pStyle w:val="Heading2"/>
      </w:pPr>
      <w:r>
        <w:t>Core rule</w:t>
      </w:r>
    </w:p>
    <w:p w14:paraId="23AE13CB" w14:textId="77777777" w:rsidR="000D3E7B" w:rsidRDefault="00AF1872">
      <w:pPr>
        <w:rPr>
          <w:rFonts w:hint="eastAsia"/>
        </w:rPr>
      </w:pPr>
      <w:r>
        <w:t>The Construct LC Design System is the product foundation. The Construct LC brand guide supplies the default theme. Each tenant may override approved branding tokens within defined guardrails.</w:t>
      </w:r>
    </w:p>
    <w:p w14:paraId="683A0CDA" w14:textId="77777777" w:rsidR="000D3E7B" w:rsidRDefault="00AF1872">
      <w:pPr>
        <w:pStyle w:val="Heading1"/>
      </w:pPr>
      <w:r>
        <w:t>2. Three-Layer Theme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8"/>
        <w:gridCol w:w="3356"/>
      </w:tblGrid>
      <w:tr w:rsidR="000D3E7B" w14:paraId="4D91FB55" w14:textId="77777777">
        <w:trPr>
          <w:jc w:val="center"/>
        </w:trPr>
        <w:tc>
          <w:tcPr>
            <w:tcW w:w="3360" w:type="dxa"/>
            <w:shd w:val="clear" w:color="auto" w:fill="062B55"/>
            <w:vAlign w:val="center"/>
          </w:tcPr>
          <w:p w14:paraId="160BEEF0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360" w:type="dxa"/>
            <w:shd w:val="clear" w:color="auto" w:fill="062B55"/>
            <w:vAlign w:val="center"/>
          </w:tcPr>
          <w:p w14:paraId="62DA1FFD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Contains</w:t>
            </w:r>
          </w:p>
        </w:tc>
        <w:tc>
          <w:tcPr>
            <w:tcW w:w="3360" w:type="dxa"/>
            <w:shd w:val="clear" w:color="auto" w:fill="062B55"/>
            <w:vAlign w:val="center"/>
          </w:tcPr>
          <w:p w14:paraId="650A0C97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Control</w:t>
            </w:r>
          </w:p>
        </w:tc>
      </w:tr>
      <w:tr w:rsidR="000D3E7B" w14:paraId="2A475733" w14:textId="77777777">
        <w:trPr>
          <w:jc w:val="center"/>
        </w:trPr>
        <w:tc>
          <w:tcPr>
            <w:tcW w:w="3360" w:type="dxa"/>
            <w:vAlign w:val="center"/>
          </w:tcPr>
          <w:p w14:paraId="7463DD18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1. Construct LC Design System</w:t>
            </w:r>
          </w:p>
        </w:tc>
        <w:tc>
          <w:tcPr>
            <w:tcW w:w="3360" w:type="dxa"/>
            <w:vAlign w:val="center"/>
          </w:tcPr>
          <w:p w14:paraId="3625CD2B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Component structure, layouts, typography rules, spacing, interaction behavior, lifecycle patterns, accessibility requirements.</w:t>
            </w:r>
          </w:p>
        </w:tc>
        <w:tc>
          <w:tcPr>
            <w:tcW w:w="3360" w:type="dxa"/>
            <w:vAlign w:val="center"/>
          </w:tcPr>
          <w:p w14:paraId="633CB061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Immutable foundation</w:t>
            </w:r>
          </w:p>
        </w:tc>
      </w:tr>
      <w:tr w:rsidR="000D3E7B" w14:paraId="100A7353" w14:textId="77777777">
        <w:trPr>
          <w:jc w:val="center"/>
        </w:trPr>
        <w:tc>
          <w:tcPr>
            <w:tcW w:w="3360" w:type="dxa"/>
            <w:vAlign w:val="center"/>
          </w:tcPr>
          <w:p w14:paraId="0DE910D4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2. Construct LC Default Theme</w:t>
            </w:r>
          </w:p>
        </w:tc>
        <w:tc>
          <w:tcPr>
            <w:tcW w:w="3360" w:type="dxa"/>
            <w:vAlign w:val="center"/>
          </w:tcPr>
          <w:p w14:paraId="41374B90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Construct Lifecycle brand colors, logo treatment, semantic colors, and visual identity.</w:t>
            </w:r>
          </w:p>
        </w:tc>
        <w:tc>
          <w:tcPr>
            <w:tcW w:w="3360" w:type="dxa"/>
            <w:vAlign w:val="center"/>
          </w:tcPr>
          <w:p w14:paraId="015AB626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Platform default</w:t>
            </w:r>
          </w:p>
        </w:tc>
      </w:tr>
      <w:tr w:rsidR="000D3E7B" w14:paraId="5C223109" w14:textId="77777777">
        <w:trPr>
          <w:jc w:val="center"/>
        </w:trPr>
        <w:tc>
          <w:tcPr>
            <w:tcW w:w="3360" w:type="dxa"/>
            <w:vAlign w:val="center"/>
          </w:tcPr>
          <w:p w14:paraId="7BF6EE5F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3. Tenant Theme</w:t>
            </w:r>
          </w:p>
        </w:tc>
        <w:tc>
          <w:tcPr>
            <w:tcW w:w="3360" w:type="dxa"/>
            <w:vAlign w:val="center"/>
          </w:tcPr>
          <w:p w14:paraId="4B23B932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Tenant logo, primary/secondary/accent colors, approved interface colors, and optional white-label settings.</w:t>
            </w:r>
          </w:p>
        </w:tc>
        <w:tc>
          <w:tcPr>
            <w:tcW w:w="3360" w:type="dxa"/>
            <w:vAlign w:val="center"/>
          </w:tcPr>
          <w:p w14:paraId="34848D01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Tenant override</w:t>
            </w:r>
          </w:p>
        </w:tc>
      </w:tr>
    </w:tbl>
    <w:p w14:paraId="26BFFFA9" w14:textId="77777777" w:rsidR="000D3E7B" w:rsidRDefault="00AF1872">
      <w:pPr>
        <w:pStyle w:val="Heading1"/>
      </w:pPr>
      <w:r>
        <w:t>3. Preserve the Existing Application Language</w:t>
      </w:r>
    </w:p>
    <w:p w14:paraId="2EBFC49F" w14:textId="77777777" w:rsidR="000D3E7B" w:rsidRDefault="00AF1872">
      <w:pPr>
        <w:rPr>
          <w:rFonts w:hint="eastAsia"/>
        </w:rPr>
      </w:pPr>
      <w:r>
        <w:t>Tenant theming must preserve the characteristics that make the first version recognizable:</w:t>
      </w:r>
    </w:p>
    <w:p w14:paraId="0DE6D385" w14:textId="77777777" w:rsidR="000D3E7B" w:rsidRDefault="00AF1872">
      <w:pPr>
        <w:pStyle w:val="ListBullet"/>
        <w:spacing w:after="40"/>
        <w:rPr>
          <w:rFonts w:hint="eastAsia"/>
        </w:rPr>
      </w:pPr>
      <w:r>
        <w:t>Warm off-white application canvas rather than a stark white page.</w:t>
      </w:r>
    </w:p>
    <w:p w14:paraId="6B4D3AEE" w14:textId="77777777" w:rsidR="000D3E7B" w:rsidRDefault="00AF1872">
      <w:pPr>
        <w:pStyle w:val="ListBullet"/>
        <w:spacing w:after="40"/>
        <w:rPr>
          <w:rFonts w:hint="eastAsia"/>
        </w:rPr>
      </w:pPr>
      <w:r>
        <w:t>White/cream content surfaces with subtle borders and minimal shadows.</w:t>
      </w:r>
    </w:p>
    <w:p w14:paraId="0CDA9D59" w14:textId="77777777" w:rsidR="000D3E7B" w:rsidRDefault="00AF1872">
      <w:pPr>
        <w:pStyle w:val="ListBullet"/>
        <w:spacing w:after="40"/>
        <w:rPr>
          <w:rFonts w:hint="eastAsia"/>
        </w:rPr>
      </w:pPr>
      <w:r>
        <w:t>Compact uppercase section labels with restrained letter spacing.</w:t>
      </w:r>
    </w:p>
    <w:p w14:paraId="39D30D90" w14:textId="77777777" w:rsidR="000D3E7B" w:rsidRDefault="00AF1872">
      <w:pPr>
        <w:pStyle w:val="ListBullet"/>
        <w:spacing w:after="40"/>
        <w:rPr>
          <w:rFonts w:hint="eastAsia"/>
        </w:rPr>
      </w:pPr>
      <w:r>
        <w:t>Dark, high-contrast primary typography and muted secondary text.</w:t>
      </w:r>
    </w:p>
    <w:p w14:paraId="70BC29EC" w14:textId="77777777" w:rsidR="000D3E7B" w:rsidRDefault="00AF1872">
      <w:pPr>
        <w:pStyle w:val="ListBullet"/>
        <w:spacing w:after="40"/>
        <w:rPr>
          <w:rFonts w:hint="eastAsia"/>
        </w:rPr>
      </w:pPr>
      <w:r>
        <w:t>Rounded cards and controls with moderate radii.</w:t>
      </w:r>
    </w:p>
    <w:p w14:paraId="7DA1300D" w14:textId="77777777" w:rsidR="000D3E7B" w:rsidRDefault="00AF1872">
      <w:pPr>
        <w:pStyle w:val="ListBullet"/>
        <w:spacing w:after="40"/>
        <w:rPr>
          <w:rFonts w:hint="eastAsia"/>
        </w:rPr>
      </w:pPr>
      <w:r>
        <w:t>Small line icons in soft containers.</w:t>
      </w:r>
    </w:p>
    <w:p w14:paraId="2BBD6387" w14:textId="77777777" w:rsidR="000D3E7B" w:rsidRDefault="00AF1872">
      <w:pPr>
        <w:pStyle w:val="ListBullet"/>
        <w:spacing w:after="40"/>
        <w:rPr>
          <w:rFonts w:hint="eastAsia"/>
        </w:rPr>
      </w:pPr>
      <w:r>
        <w:t>Status pills used as semantic indicators rather than decoration.</w:t>
      </w:r>
    </w:p>
    <w:p w14:paraId="1B9FEED0" w14:textId="77777777" w:rsidR="000D3E7B" w:rsidRDefault="00AF1872">
      <w:pPr>
        <w:pStyle w:val="ListBullet"/>
        <w:spacing w:after="40"/>
        <w:rPr>
          <w:rFonts w:hint="eastAsia"/>
        </w:rPr>
      </w:pPr>
      <w:r>
        <w:t>Teal/blue lifecycle progression and restrained accent colors.</w:t>
      </w:r>
    </w:p>
    <w:p w14:paraId="619960F3" w14:textId="77777777" w:rsidR="000D3E7B" w:rsidRDefault="00AF1872">
      <w:pPr>
        <w:pStyle w:val="ListBullet"/>
        <w:spacing w:after="40"/>
        <w:rPr>
          <w:rFonts w:hint="eastAsia"/>
        </w:rPr>
      </w:pPr>
      <w:r>
        <w:t>Generous whitespace and compact operational information density.</w:t>
      </w:r>
    </w:p>
    <w:p w14:paraId="54293DBE" w14:textId="77777777" w:rsidR="000D3E7B" w:rsidRDefault="00AF1872">
      <w:pPr>
        <w:pStyle w:val="ListBullet"/>
        <w:spacing w:after="40"/>
        <w:rPr>
          <w:rFonts w:hint="eastAsia"/>
        </w:rPr>
      </w:pPr>
      <w:r>
        <w:t>Project lifecycle as a primary organizing concept.</w:t>
      </w:r>
    </w:p>
    <w:p w14:paraId="4D327857" w14:textId="77777777" w:rsidR="000D3E7B" w:rsidRDefault="00AF1872">
      <w:pPr>
        <w:rPr>
          <w:rFonts w:hint="eastAsia"/>
        </w:rPr>
      </w:pPr>
      <w:r>
        <w:t>Do not permit tenant branding to turn the product into a different UI framework. A red-branded tenant and a blue-branded tenant should still unmistakably use Construct LC.</w:t>
      </w:r>
    </w:p>
    <w:p w14:paraId="243F850A" w14:textId="77777777" w:rsidR="000D3E7B" w:rsidRDefault="00AF1872">
      <w:pPr>
        <w:pStyle w:val="Heading1"/>
      </w:pPr>
      <w:r>
        <w:t>4. Construct LC Default Theme</w:t>
      </w:r>
    </w:p>
    <w:p w14:paraId="33DF8589" w14:textId="77777777" w:rsidR="000D3E7B" w:rsidRDefault="00AF1872">
      <w:pPr>
        <w:rPr>
          <w:rFonts w:hint="eastAsia"/>
        </w:rPr>
      </w:pPr>
      <w:r>
        <w:t>The following values are the recommended default theme derived from the Construct Lifecycle brand direction.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0D3E7B" w14:paraId="17666992" w14:textId="77777777">
        <w:tc>
          <w:tcPr>
            <w:tcW w:w="3360" w:type="dxa"/>
            <w:shd w:val="clear" w:color="auto" w:fill="062B55"/>
            <w:vAlign w:val="center"/>
          </w:tcPr>
          <w:p w14:paraId="21129564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w="3360" w:type="dxa"/>
            <w:shd w:val="clear" w:color="auto" w:fill="062B55"/>
            <w:vAlign w:val="center"/>
          </w:tcPr>
          <w:p w14:paraId="60F9CEC7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360" w:type="dxa"/>
            <w:shd w:val="clear" w:color="auto" w:fill="062B55"/>
            <w:vAlign w:val="center"/>
          </w:tcPr>
          <w:p w14:paraId="6A7EA3FF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Primary Use</w:t>
            </w:r>
          </w:p>
        </w:tc>
      </w:tr>
      <w:tr w:rsidR="000D3E7B" w14:paraId="45B58844" w14:textId="77777777">
        <w:tc>
          <w:tcPr>
            <w:tcW w:w="3360" w:type="dxa"/>
            <w:vAlign w:val="center"/>
          </w:tcPr>
          <w:p w14:paraId="4EECCA26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Primary / Construct Navy</w:t>
            </w:r>
          </w:p>
        </w:tc>
        <w:tc>
          <w:tcPr>
            <w:tcW w:w="3360" w:type="dxa"/>
            <w:shd w:val="clear" w:color="auto" w:fill="062B55"/>
            <w:vAlign w:val="center"/>
          </w:tcPr>
          <w:p w14:paraId="6D13F1EA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#062B55</w:t>
            </w:r>
          </w:p>
        </w:tc>
        <w:tc>
          <w:tcPr>
            <w:tcW w:w="3360" w:type="dxa"/>
            <w:vAlign w:val="center"/>
          </w:tcPr>
          <w:p w14:paraId="31347D3E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Primary navigation, headings, key brand surfaces</w:t>
            </w:r>
          </w:p>
        </w:tc>
      </w:tr>
      <w:tr w:rsidR="000D3E7B" w14:paraId="64D3ED88" w14:textId="77777777">
        <w:tc>
          <w:tcPr>
            <w:tcW w:w="3360" w:type="dxa"/>
            <w:vAlign w:val="center"/>
          </w:tcPr>
          <w:p w14:paraId="60398340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Primary Blue</w:t>
            </w:r>
          </w:p>
        </w:tc>
        <w:tc>
          <w:tcPr>
            <w:tcW w:w="3360" w:type="dxa"/>
            <w:shd w:val="clear" w:color="auto" w:fill="1479C9"/>
            <w:vAlign w:val="center"/>
          </w:tcPr>
          <w:p w14:paraId="196D1355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#1479C9</w:t>
            </w:r>
          </w:p>
        </w:tc>
        <w:tc>
          <w:tcPr>
            <w:tcW w:w="3360" w:type="dxa"/>
            <w:vAlign w:val="center"/>
          </w:tcPr>
          <w:p w14:paraId="088B58A2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Links, primary actions, information, active UI</w:t>
            </w:r>
          </w:p>
        </w:tc>
      </w:tr>
      <w:tr w:rsidR="000D3E7B" w14:paraId="642719A9" w14:textId="77777777">
        <w:tc>
          <w:tcPr>
            <w:tcW w:w="3360" w:type="dxa"/>
            <w:vAlign w:val="center"/>
          </w:tcPr>
          <w:p w14:paraId="314C5A77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Light Blue</w:t>
            </w:r>
          </w:p>
        </w:tc>
        <w:tc>
          <w:tcPr>
            <w:tcW w:w="3360" w:type="dxa"/>
            <w:shd w:val="clear" w:color="auto" w:fill="39A8F0"/>
            <w:vAlign w:val="center"/>
          </w:tcPr>
          <w:p w14:paraId="59375BD3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#39A8F0</w:t>
            </w:r>
          </w:p>
        </w:tc>
        <w:tc>
          <w:tcPr>
            <w:tcW w:w="3360" w:type="dxa"/>
            <w:vAlign w:val="center"/>
          </w:tcPr>
          <w:p w14:paraId="3BCA8A44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Secondary emphasis and supporting visual states</w:t>
            </w:r>
          </w:p>
        </w:tc>
      </w:tr>
      <w:tr w:rsidR="000D3E7B" w14:paraId="7FC79830" w14:textId="77777777">
        <w:tc>
          <w:tcPr>
            <w:tcW w:w="3360" w:type="dxa"/>
            <w:vAlign w:val="center"/>
          </w:tcPr>
          <w:p w14:paraId="4B1042C2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Structural Gray</w:t>
            </w:r>
          </w:p>
        </w:tc>
        <w:tc>
          <w:tcPr>
            <w:tcW w:w="3360" w:type="dxa"/>
            <w:shd w:val="clear" w:color="auto" w:fill="6B7075"/>
            <w:vAlign w:val="center"/>
          </w:tcPr>
          <w:p w14:paraId="49DDE890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#6B7075</w:t>
            </w:r>
          </w:p>
        </w:tc>
        <w:tc>
          <w:tcPr>
            <w:tcW w:w="3360" w:type="dxa"/>
            <w:vAlign w:val="center"/>
          </w:tcPr>
          <w:p w14:paraId="612FBF37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Secondary UI, structural elements, muted labels</w:t>
            </w:r>
          </w:p>
        </w:tc>
      </w:tr>
      <w:tr w:rsidR="000D3E7B" w14:paraId="2AB0AE93" w14:textId="77777777">
        <w:tc>
          <w:tcPr>
            <w:tcW w:w="3360" w:type="dxa"/>
            <w:vAlign w:val="center"/>
          </w:tcPr>
          <w:p w14:paraId="27266944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Warm Background</w:t>
            </w:r>
          </w:p>
        </w:tc>
        <w:tc>
          <w:tcPr>
            <w:tcW w:w="3360" w:type="dxa"/>
            <w:shd w:val="clear" w:color="auto" w:fill="F3F5F7"/>
            <w:vAlign w:val="center"/>
          </w:tcPr>
          <w:p w14:paraId="07A12B0D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#F3F5F7</w:t>
            </w:r>
          </w:p>
        </w:tc>
        <w:tc>
          <w:tcPr>
            <w:tcW w:w="3360" w:type="dxa"/>
            <w:vAlign w:val="center"/>
          </w:tcPr>
          <w:p w14:paraId="4CFD40ED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Application canvas / page background</w:t>
            </w:r>
          </w:p>
        </w:tc>
      </w:tr>
      <w:tr w:rsidR="000D3E7B" w14:paraId="7F8B938C" w14:textId="77777777">
        <w:tc>
          <w:tcPr>
            <w:tcW w:w="3360" w:type="dxa"/>
            <w:vAlign w:val="center"/>
          </w:tcPr>
          <w:p w14:paraId="5725F526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Border Gray</w:t>
            </w:r>
          </w:p>
        </w:tc>
        <w:tc>
          <w:tcPr>
            <w:tcW w:w="3360" w:type="dxa"/>
            <w:shd w:val="clear" w:color="auto" w:fill="D9DEE3"/>
            <w:vAlign w:val="center"/>
          </w:tcPr>
          <w:p w14:paraId="663A9209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#D9DEE3</w:t>
            </w:r>
          </w:p>
        </w:tc>
        <w:tc>
          <w:tcPr>
            <w:tcW w:w="3360" w:type="dxa"/>
            <w:vAlign w:val="center"/>
          </w:tcPr>
          <w:p w14:paraId="70015E4D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Card borders, dividers, table rules</w:t>
            </w:r>
          </w:p>
        </w:tc>
      </w:tr>
      <w:tr w:rsidR="000D3E7B" w14:paraId="56F29992" w14:textId="77777777">
        <w:tc>
          <w:tcPr>
            <w:tcW w:w="3360" w:type="dxa"/>
            <w:vAlign w:val="center"/>
          </w:tcPr>
          <w:p w14:paraId="28A87180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White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6116F6EB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#FFFFFF</w:t>
            </w:r>
          </w:p>
        </w:tc>
        <w:tc>
          <w:tcPr>
            <w:tcW w:w="3360" w:type="dxa"/>
            <w:vAlign w:val="center"/>
          </w:tcPr>
          <w:p w14:paraId="490B70C9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Primary surfaces</w:t>
            </w:r>
          </w:p>
        </w:tc>
      </w:tr>
      <w:tr w:rsidR="000D3E7B" w14:paraId="1FB50F09" w14:textId="77777777">
        <w:tc>
          <w:tcPr>
            <w:tcW w:w="3360" w:type="dxa"/>
            <w:vAlign w:val="center"/>
          </w:tcPr>
          <w:p w14:paraId="33FA6BFA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Success</w:t>
            </w:r>
          </w:p>
        </w:tc>
        <w:tc>
          <w:tcPr>
            <w:tcW w:w="3360" w:type="dxa"/>
            <w:shd w:val="clear" w:color="auto" w:fill="18864B"/>
            <w:vAlign w:val="center"/>
          </w:tcPr>
          <w:p w14:paraId="290D2BEA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#18864B</w:t>
            </w:r>
          </w:p>
        </w:tc>
        <w:tc>
          <w:tcPr>
            <w:tcW w:w="3360" w:type="dxa"/>
            <w:vAlign w:val="center"/>
          </w:tcPr>
          <w:p w14:paraId="795A7E88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Completed, received, approved, healthy</w:t>
            </w:r>
          </w:p>
        </w:tc>
      </w:tr>
      <w:tr w:rsidR="000D3E7B" w14:paraId="4CE1D5DE" w14:textId="77777777">
        <w:tc>
          <w:tcPr>
            <w:tcW w:w="3360" w:type="dxa"/>
            <w:vAlign w:val="center"/>
          </w:tcPr>
          <w:p w14:paraId="000E87D7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Warning</w:t>
            </w:r>
          </w:p>
        </w:tc>
        <w:tc>
          <w:tcPr>
            <w:tcW w:w="3360" w:type="dxa"/>
            <w:shd w:val="clear" w:color="auto" w:fill="C98200"/>
            <w:vAlign w:val="center"/>
          </w:tcPr>
          <w:p w14:paraId="487E0617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#C98200</w:t>
            </w:r>
          </w:p>
        </w:tc>
        <w:tc>
          <w:tcPr>
            <w:tcW w:w="3360" w:type="dxa"/>
            <w:vAlign w:val="center"/>
          </w:tcPr>
          <w:p w14:paraId="25BC8909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Attention, pending, at-risk</w:t>
            </w:r>
          </w:p>
        </w:tc>
      </w:tr>
      <w:tr w:rsidR="000D3E7B" w14:paraId="2C02A9ED" w14:textId="77777777">
        <w:tc>
          <w:tcPr>
            <w:tcW w:w="3360" w:type="dxa"/>
            <w:vAlign w:val="center"/>
          </w:tcPr>
          <w:p w14:paraId="0ED676F3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Error</w:t>
            </w:r>
          </w:p>
        </w:tc>
        <w:tc>
          <w:tcPr>
            <w:tcW w:w="3360" w:type="dxa"/>
            <w:shd w:val="clear" w:color="auto" w:fill="C93C3C"/>
            <w:vAlign w:val="center"/>
          </w:tcPr>
          <w:p w14:paraId="549DFED3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#C93C3C</w:t>
            </w:r>
          </w:p>
        </w:tc>
        <w:tc>
          <w:tcPr>
            <w:tcW w:w="3360" w:type="dxa"/>
            <w:vAlign w:val="center"/>
          </w:tcPr>
          <w:p w14:paraId="4C45C77B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Rejected, failed, overdue, critical</w:t>
            </w:r>
          </w:p>
        </w:tc>
      </w:tr>
      <w:tr w:rsidR="000D3E7B" w14:paraId="1965346E" w14:textId="77777777">
        <w:tc>
          <w:tcPr>
            <w:tcW w:w="3360" w:type="dxa"/>
            <w:vAlign w:val="center"/>
          </w:tcPr>
          <w:p w14:paraId="7D3DC6AE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Info</w:t>
            </w:r>
          </w:p>
        </w:tc>
        <w:tc>
          <w:tcPr>
            <w:tcW w:w="3360" w:type="dxa"/>
            <w:shd w:val="clear" w:color="auto" w:fill="1479C9"/>
            <w:vAlign w:val="center"/>
          </w:tcPr>
          <w:p w14:paraId="45FBFC65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#1479C9</w:t>
            </w:r>
          </w:p>
        </w:tc>
        <w:tc>
          <w:tcPr>
            <w:tcW w:w="3360" w:type="dxa"/>
            <w:vAlign w:val="center"/>
          </w:tcPr>
          <w:p w14:paraId="6F0E79D8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Informational states</w:t>
            </w:r>
          </w:p>
        </w:tc>
      </w:tr>
    </w:tbl>
    <w:p w14:paraId="5A99153C" w14:textId="77777777" w:rsidR="000D3E7B" w:rsidRDefault="00AF1872">
      <w:pPr>
        <w:rPr>
          <w:rFonts w:hint="eastAsia"/>
        </w:rPr>
      </w:pPr>
      <w:r>
        <w:t>Typography: Inter, with 400/500/600/700 weights. Target WCAG 2.2 AA contrast.</w:t>
      </w:r>
    </w:p>
    <w:p w14:paraId="3DD07E42" w14:textId="77777777" w:rsidR="000D3E7B" w:rsidRDefault="00AF1872">
      <w:pPr>
        <w:pStyle w:val="Heading1"/>
      </w:pPr>
      <w:r>
        <w:t>5. Tenant Branding Controls</w:t>
      </w:r>
    </w:p>
    <w:p w14:paraId="02886D31" w14:textId="77777777" w:rsidR="000D3E7B" w:rsidRDefault="00AF1872">
      <w:pPr>
        <w:rPr>
          <w:rFonts w:hint="eastAsia"/>
        </w:rPr>
      </w:pPr>
      <w:r>
        <w:t>Administration → Organization → Branding should provide a controlled tenant branding workspace.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6"/>
        <w:gridCol w:w="3358"/>
      </w:tblGrid>
      <w:tr w:rsidR="000D3E7B" w14:paraId="4B256A43" w14:textId="77777777">
        <w:tc>
          <w:tcPr>
            <w:tcW w:w="3360" w:type="dxa"/>
            <w:shd w:val="clear" w:color="auto" w:fill="062B55"/>
            <w:vAlign w:val="center"/>
          </w:tcPr>
          <w:p w14:paraId="46D1A1A7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3360" w:type="dxa"/>
            <w:shd w:val="clear" w:color="auto" w:fill="062B55"/>
            <w:vAlign w:val="center"/>
          </w:tcPr>
          <w:p w14:paraId="73336DFE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3360" w:type="dxa"/>
            <w:shd w:val="clear" w:color="auto" w:fill="062B55"/>
            <w:vAlign w:val="center"/>
          </w:tcPr>
          <w:p w14:paraId="170F9074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0D3E7B" w14:paraId="7375DF70" w14:textId="77777777">
        <w:tc>
          <w:tcPr>
            <w:tcW w:w="3360" w:type="dxa"/>
            <w:vAlign w:val="center"/>
          </w:tcPr>
          <w:p w14:paraId="756A680D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Company Logo</w:t>
            </w:r>
          </w:p>
        </w:tc>
        <w:tc>
          <w:tcPr>
            <w:tcW w:w="3360" w:type="dxa"/>
            <w:vAlign w:val="center"/>
          </w:tcPr>
          <w:p w14:paraId="0E26A127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Upload</w:t>
            </w:r>
          </w:p>
        </w:tc>
        <w:tc>
          <w:tcPr>
            <w:tcW w:w="3360" w:type="dxa"/>
            <w:vAlign w:val="center"/>
          </w:tcPr>
          <w:p w14:paraId="7B011454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Primary tenant logo used in the application shell.</w:t>
            </w:r>
          </w:p>
        </w:tc>
      </w:tr>
      <w:tr w:rsidR="000D3E7B" w14:paraId="57FFF175" w14:textId="77777777">
        <w:tc>
          <w:tcPr>
            <w:tcW w:w="3360" w:type="dxa"/>
            <w:vAlign w:val="center"/>
          </w:tcPr>
          <w:p w14:paraId="0C09AE85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Light Logo</w:t>
            </w:r>
          </w:p>
        </w:tc>
        <w:tc>
          <w:tcPr>
            <w:tcW w:w="3360" w:type="dxa"/>
            <w:vAlign w:val="center"/>
          </w:tcPr>
          <w:p w14:paraId="6A78EE45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Upload</w:t>
            </w:r>
          </w:p>
        </w:tc>
        <w:tc>
          <w:tcPr>
            <w:tcW w:w="3360" w:type="dxa"/>
            <w:vAlign w:val="center"/>
          </w:tcPr>
          <w:p w14:paraId="3C59B19F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Optional alternate logo for dark/colored surfaces.</w:t>
            </w:r>
          </w:p>
        </w:tc>
      </w:tr>
      <w:tr w:rsidR="000D3E7B" w14:paraId="5DBD3968" w14:textId="77777777">
        <w:tc>
          <w:tcPr>
            <w:tcW w:w="3360" w:type="dxa"/>
            <w:vAlign w:val="center"/>
          </w:tcPr>
          <w:p w14:paraId="10DF0766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Favicon</w:t>
            </w:r>
          </w:p>
        </w:tc>
        <w:tc>
          <w:tcPr>
            <w:tcW w:w="3360" w:type="dxa"/>
            <w:vAlign w:val="center"/>
          </w:tcPr>
          <w:p w14:paraId="572B8B20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Upload</w:t>
            </w:r>
          </w:p>
        </w:tc>
        <w:tc>
          <w:tcPr>
            <w:tcW w:w="3360" w:type="dxa"/>
            <w:vAlign w:val="center"/>
          </w:tcPr>
          <w:p w14:paraId="3C8537DF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Browser/application icon.</w:t>
            </w:r>
          </w:p>
        </w:tc>
      </w:tr>
      <w:tr w:rsidR="000D3E7B" w14:paraId="6ABDCBF1" w14:textId="77777777">
        <w:tc>
          <w:tcPr>
            <w:tcW w:w="3360" w:type="dxa"/>
            <w:vAlign w:val="center"/>
          </w:tcPr>
          <w:p w14:paraId="3F502AFD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Company Name</w:t>
            </w:r>
          </w:p>
        </w:tc>
        <w:tc>
          <w:tcPr>
            <w:tcW w:w="3360" w:type="dxa"/>
            <w:vAlign w:val="center"/>
          </w:tcPr>
          <w:p w14:paraId="018E0E72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360" w:type="dxa"/>
            <w:vAlign w:val="center"/>
          </w:tcPr>
          <w:p w14:paraId="41CCD96C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Tenant display name.</w:t>
            </w:r>
          </w:p>
        </w:tc>
      </w:tr>
      <w:tr w:rsidR="000D3E7B" w14:paraId="722098EF" w14:textId="77777777">
        <w:tc>
          <w:tcPr>
            <w:tcW w:w="3360" w:type="dxa"/>
            <w:vAlign w:val="center"/>
          </w:tcPr>
          <w:p w14:paraId="0E45BB57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Short Name</w:t>
            </w:r>
          </w:p>
        </w:tc>
        <w:tc>
          <w:tcPr>
            <w:tcW w:w="3360" w:type="dxa"/>
            <w:vAlign w:val="center"/>
          </w:tcPr>
          <w:p w14:paraId="2430A377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3360" w:type="dxa"/>
            <w:vAlign w:val="center"/>
          </w:tcPr>
          <w:p w14:paraId="78FBE22C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Compact name for constrained UI.</w:t>
            </w:r>
          </w:p>
        </w:tc>
      </w:tr>
      <w:tr w:rsidR="000D3E7B" w14:paraId="0DDA9ED5" w14:textId="77777777">
        <w:tc>
          <w:tcPr>
            <w:tcW w:w="3360" w:type="dxa"/>
            <w:vAlign w:val="center"/>
          </w:tcPr>
          <w:p w14:paraId="6797F8D7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Primary Color</w:t>
            </w:r>
          </w:p>
        </w:tc>
        <w:tc>
          <w:tcPr>
            <w:tcW w:w="3360" w:type="dxa"/>
            <w:vAlign w:val="center"/>
          </w:tcPr>
          <w:p w14:paraId="4C323F39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Color</w:t>
            </w:r>
          </w:p>
        </w:tc>
        <w:tc>
          <w:tcPr>
            <w:tcW w:w="3360" w:type="dxa"/>
            <w:vAlign w:val="center"/>
          </w:tcPr>
          <w:p w14:paraId="3EB055DC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Primary tenant brand color.</w:t>
            </w:r>
          </w:p>
        </w:tc>
      </w:tr>
      <w:tr w:rsidR="000D3E7B" w14:paraId="0C8CECBF" w14:textId="77777777">
        <w:tc>
          <w:tcPr>
            <w:tcW w:w="3360" w:type="dxa"/>
            <w:vAlign w:val="center"/>
          </w:tcPr>
          <w:p w14:paraId="170C16EA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Secondary Color</w:t>
            </w:r>
          </w:p>
        </w:tc>
        <w:tc>
          <w:tcPr>
            <w:tcW w:w="3360" w:type="dxa"/>
            <w:vAlign w:val="center"/>
          </w:tcPr>
          <w:p w14:paraId="45D7D810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Color</w:t>
            </w:r>
          </w:p>
        </w:tc>
        <w:tc>
          <w:tcPr>
            <w:tcW w:w="3360" w:type="dxa"/>
            <w:vAlign w:val="center"/>
          </w:tcPr>
          <w:p w14:paraId="0488BB7A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Supporting brand color.</w:t>
            </w:r>
          </w:p>
        </w:tc>
      </w:tr>
      <w:tr w:rsidR="000D3E7B" w14:paraId="1DADF2D7" w14:textId="77777777">
        <w:tc>
          <w:tcPr>
            <w:tcW w:w="3360" w:type="dxa"/>
            <w:vAlign w:val="center"/>
          </w:tcPr>
          <w:p w14:paraId="1563226C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Accent Color</w:t>
            </w:r>
          </w:p>
        </w:tc>
        <w:tc>
          <w:tcPr>
            <w:tcW w:w="3360" w:type="dxa"/>
            <w:vAlign w:val="center"/>
          </w:tcPr>
          <w:p w14:paraId="172C4435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Color</w:t>
            </w:r>
          </w:p>
        </w:tc>
        <w:tc>
          <w:tcPr>
            <w:tcW w:w="3360" w:type="dxa"/>
            <w:vAlign w:val="center"/>
          </w:tcPr>
          <w:p w14:paraId="184156DC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Attention/action emphasis.</w:t>
            </w:r>
          </w:p>
        </w:tc>
      </w:tr>
      <w:tr w:rsidR="000D3E7B" w14:paraId="0721E59E" w14:textId="77777777">
        <w:tc>
          <w:tcPr>
            <w:tcW w:w="3360" w:type="dxa"/>
            <w:vAlign w:val="center"/>
          </w:tcPr>
          <w:p w14:paraId="3549EF6F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Interface Background</w:t>
            </w:r>
          </w:p>
        </w:tc>
        <w:tc>
          <w:tcPr>
            <w:tcW w:w="3360" w:type="dxa"/>
            <w:vAlign w:val="center"/>
          </w:tcPr>
          <w:p w14:paraId="70733A2E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Color</w:t>
            </w:r>
          </w:p>
        </w:tc>
        <w:tc>
          <w:tcPr>
            <w:tcW w:w="3360" w:type="dxa"/>
            <w:vAlign w:val="center"/>
          </w:tcPr>
          <w:p w14:paraId="0F8BF425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Optional controlled page background override.</w:t>
            </w:r>
          </w:p>
        </w:tc>
      </w:tr>
      <w:tr w:rsidR="000D3E7B" w14:paraId="5EC966D6" w14:textId="77777777">
        <w:tc>
          <w:tcPr>
            <w:tcW w:w="3360" w:type="dxa"/>
            <w:vAlign w:val="center"/>
          </w:tcPr>
          <w:p w14:paraId="3A729E63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Surface Color</w:t>
            </w:r>
          </w:p>
        </w:tc>
        <w:tc>
          <w:tcPr>
            <w:tcW w:w="3360" w:type="dxa"/>
            <w:vAlign w:val="center"/>
          </w:tcPr>
          <w:p w14:paraId="5A331A73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Color</w:t>
            </w:r>
          </w:p>
        </w:tc>
        <w:tc>
          <w:tcPr>
            <w:tcW w:w="3360" w:type="dxa"/>
            <w:vAlign w:val="center"/>
          </w:tcPr>
          <w:p w14:paraId="758A897D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Optional controlled content surface override.</w:t>
            </w:r>
          </w:p>
        </w:tc>
      </w:tr>
    </w:tbl>
    <w:p w14:paraId="6F7B0544" w14:textId="77777777" w:rsidR="000D3E7B" w:rsidRDefault="00AF1872">
      <w:pPr>
        <w:rPr>
          <w:rFonts w:hint="eastAsia"/>
        </w:rPr>
      </w:pPr>
      <w:r>
        <w:t>Recommendation: do not expose dozens of raw color fields. Administrators should control a small set of brand tokens, while Construct LC derives the rest of the interface colors.</w:t>
      </w:r>
    </w:p>
    <w:p w14:paraId="5D8606A0" w14:textId="77777777" w:rsidR="000D3E7B" w:rsidRDefault="00AF1872">
      <w:pPr>
        <w:pStyle w:val="Heading1"/>
      </w:pPr>
      <w:r>
        <w:t>6. Semantic Token Model</w:t>
      </w:r>
    </w:p>
    <w:p w14:paraId="79B90AF4" w14:textId="77777777" w:rsidR="000D3E7B" w:rsidRDefault="00AF1872">
      <w:pPr>
        <w:rPr>
          <w:rFonts w:hint="eastAsia"/>
        </w:rPr>
      </w:pPr>
      <w:r>
        <w:t>The UI should consume semantic tokens instead of hard-coded colors. This allows tenant branding without requiring component-by-component redesign.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0D3E7B" w14:paraId="7EB3957F" w14:textId="77777777">
        <w:tc>
          <w:tcPr>
            <w:tcW w:w="5040" w:type="dxa"/>
            <w:shd w:val="clear" w:color="auto" w:fill="062B55"/>
            <w:vAlign w:val="center"/>
          </w:tcPr>
          <w:p w14:paraId="4AE622E2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w="5040" w:type="dxa"/>
            <w:shd w:val="clear" w:color="auto" w:fill="062B55"/>
            <w:vAlign w:val="center"/>
          </w:tcPr>
          <w:p w14:paraId="79D515D5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0D3E7B" w14:paraId="555B5E4A" w14:textId="77777777">
        <w:tc>
          <w:tcPr>
            <w:tcW w:w="5040" w:type="dxa"/>
            <w:vAlign w:val="center"/>
          </w:tcPr>
          <w:p w14:paraId="4A7B128F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brand.primary</w:t>
            </w:r>
          </w:p>
        </w:tc>
        <w:tc>
          <w:tcPr>
            <w:tcW w:w="5040" w:type="dxa"/>
            <w:vAlign w:val="center"/>
          </w:tcPr>
          <w:p w14:paraId="6E83E7AA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Primary tenant brand</w:t>
            </w:r>
          </w:p>
        </w:tc>
      </w:tr>
      <w:tr w:rsidR="000D3E7B" w14:paraId="5D9D5623" w14:textId="77777777">
        <w:tc>
          <w:tcPr>
            <w:tcW w:w="5040" w:type="dxa"/>
            <w:vAlign w:val="center"/>
          </w:tcPr>
          <w:p w14:paraId="2D3D2EB3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brand.secondary</w:t>
            </w:r>
          </w:p>
        </w:tc>
        <w:tc>
          <w:tcPr>
            <w:tcW w:w="5040" w:type="dxa"/>
            <w:vAlign w:val="center"/>
          </w:tcPr>
          <w:p w14:paraId="1F355F7F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Secondary tenant brand</w:t>
            </w:r>
          </w:p>
        </w:tc>
      </w:tr>
      <w:tr w:rsidR="000D3E7B" w14:paraId="062B7C6A" w14:textId="77777777">
        <w:tc>
          <w:tcPr>
            <w:tcW w:w="5040" w:type="dxa"/>
            <w:vAlign w:val="center"/>
          </w:tcPr>
          <w:p w14:paraId="77FE7618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brand.accent</w:t>
            </w:r>
          </w:p>
        </w:tc>
        <w:tc>
          <w:tcPr>
            <w:tcW w:w="5040" w:type="dxa"/>
            <w:vAlign w:val="center"/>
          </w:tcPr>
          <w:p w14:paraId="780580CF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Accent / attention</w:t>
            </w:r>
          </w:p>
        </w:tc>
      </w:tr>
      <w:tr w:rsidR="000D3E7B" w14:paraId="1FA5202C" w14:textId="77777777">
        <w:tc>
          <w:tcPr>
            <w:tcW w:w="5040" w:type="dxa"/>
            <w:vAlign w:val="center"/>
          </w:tcPr>
          <w:p w14:paraId="4D50A1AF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surface.page</w:t>
            </w:r>
          </w:p>
        </w:tc>
        <w:tc>
          <w:tcPr>
            <w:tcW w:w="5040" w:type="dxa"/>
            <w:vAlign w:val="center"/>
          </w:tcPr>
          <w:p w14:paraId="295792BD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Application background</w:t>
            </w:r>
          </w:p>
        </w:tc>
      </w:tr>
      <w:tr w:rsidR="000D3E7B" w14:paraId="1BA5EFAE" w14:textId="77777777">
        <w:tc>
          <w:tcPr>
            <w:tcW w:w="5040" w:type="dxa"/>
            <w:vAlign w:val="center"/>
          </w:tcPr>
          <w:p w14:paraId="1CD004B7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surface.card</w:t>
            </w:r>
          </w:p>
        </w:tc>
        <w:tc>
          <w:tcPr>
            <w:tcW w:w="5040" w:type="dxa"/>
            <w:vAlign w:val="center"/>
          </w:tcPr>
          <w:p w14:paraId="735193F4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Card and panel surface</w:t>
            </w:r>
          </w:p>
        </w:tc>
      </w:tr>
      <w:tr w:rsidR="000D3E7B" w14:paraId="6622807F" w14:textId="77777777">
        <w:tc>
          <w:tcPr>
            <w:tcW w:w="5040" w:type="dxa"/>
            <w:vAlign w:val="center"/>
          </w:tcPr>
          <w:p w14:paraId="47E89963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border.default</w:t>
            </w:r>
          </w:p>
        </w:tc>
        <w:tc>
          <w:tcPr>
            <w:tcW w:w="5040" w:type="dxa"/>
            <w:vAlign w:val="center"/>
          </w:tcPr>
          <w:p w14:paraId="41514720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Standard border/divider</w:t>
            </w:r>
          </w:p>
        </w:tc>
      </w:tr>
      <w:tr w:rsidR="000D3E7B" w14:paraId="44967151" w14:textId="77777777">
        <w:tc>
          <w:tcPr>
            <w:tcW w:w="5040" w:type="dxa"/>
            <w:vAlign w:val="center"/>
          </w:tcPr>
          <w:p w14:paraId="54A87B3A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text.primary</w:t>
            </w:r>
          </w:p>
        </w:tc>
        <w:tc>
          <w:tcPr>
            <w:tcW w:w="5040" w:type="dxa"/>
            <w:vAlign w:val="center"/>
          </w:tcPr>
          <w:p w14:paraId="5E8C39E8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Primary content</w:t>
            </w:r>
          </w:p>
        </w:tc>
      </w:tr>
      <w:tr w:rsidR="000D3E7B" w14:paraId="45BC54EC" w14:textId="77777777">
        <w:tc>
          <w:tcPr>
            <w:tcW w:w="5040" w:type="dxa"/>
            <w:vAlign w:val="center"/>
          </w:tcPr>
          <w:p w14:paraId="5A8609D0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text.secondary</w:t>
            </w:r>
          </w:p>
        </w:tc>
        <w:tc>
          <w:tcPr>
            <w:tcW w:w="5040" w:type="dxa"/>
            <w:vAlign w:val="center"/>
          </w:tcPr>
          <w:p w14:paraId="63336526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Supporting content</w:t>
            </w:r>
          </w:p>
        </w:tc>
      </w:tr>
      <w:tr w:rsidR="000D3E7B" w14:paraId="26CFD485" w14:textId="77777777">
        <w:tc>
          <w:tcPr>
            <w:tcW w:w="5040" w:type="dxa"/>
            <w:vAlign w:val="center"/>
          </w:tcPr>
          <w:p w14:paraId="6512ADB6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status.success</w:t>
            </w:r>
          </w:p>
        </w:tc>
        <w:tc>
          <w:tcPr>
            <w:tcW w:w="5040" w:type="dxa"/>
            <w:vAlign w:val="center"/>
          </w:tcPr>
          <w:p w14:paraId="189F0001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Positive/completed</w:t>
            </w:r>
          </w:p>
        </w:tc>
      </w:tr>
      <w:tr w:rsidR="000D3E7B" w14:paraId="30773667" w14:textId="77777777">
        <w:tc>
          <w:tcPr>
            <w:tcW w:w="5040" w:type="dxa"/>
            <w:vAlign w:val="center"/>
          </w:tcPr>
          <w:p w14:paraId="0E18C7F6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status.warning</w:t>
            </w:r>
          </w:p>
        </w:tc>
        <w:tc>
          <w:tcPr>
            <w:tcW w:w="5040" w:type="dxa"/>
            <w:vAlign w:val="center"/>
          </w:tcPr>
          <w:p w14:paraId="67BBF371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Attention/pending</w:t>
            </w:r>
          </w:p>
        </w:tc>
      </w:tr>
      <w:tr w:rsidR="000D3E7B" w14:paraId="350FB347" w14:textId="77777777">
        <w:tc>
          <w:tcPr>
            <w:tcW w:w="5040" w:type="dxa"/>
            <w:vAlign w:val="center"/>
          </w:tcPr>
          <w:p w14:paraId="686EED06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status.error</w:t>
            </w:r>
          </w:p>
        </w:tc>
        <w:tc>
          <w:tcPr>
            <w:tcW w:w="5040" w:type="dxa"/>
            <w:vAlign w:val="center"/>
          </w:tcPr>
          <w:p w14:paraId="0287F6B2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Critical/failed</w:t>
            </w:r>
          </w:p>
        </w:tc>
      </w:tr>
      <w:tr w:rsidR="000D3E7B" w14:paraId="38ED1D33" w14:textId="77777777">
        <w:tc>
          <w:tcPr>
            <w:tcW w:w="5040" w:type="dxa"/>
            <w:vAlign w:val="center"/>
          </w:tcPr>
          <w:p w14:paraId="365D6F81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status.info</w:t>
            </w:r>
          </w:p>
        </w:tc>
        <w:tc>
          <w:tcPr>
            <w:tcW w:w="5040" w:type="dxa"/>
            <w:vAlign w:val="center"/>
          </w:tcPr>
          <w:p w14:paraId="398B87FF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Informational</w:t>
            </w:r>
          </w:p>
        </w:tc>
      </w:tr>
      <w:tr w:rsidR="000D3E7B" w14:paraId="59AF49A5" w14:textId="77777777">
        <w:tc>
          <w:tcPr>
            <w:tcW w:w="5040" w:type="dxa"/>
            <w:vAlign w:val="center"/>
          </w:tcPr>
          <w:p w14:paraId="7B860604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action.primary</w:t>
            </w:r>
          </w:p>
        </w:tc>
        <w:tc>
          <w:tcPr>
            <w:tcW w:w="5040" w:type="dxa"/>
            <w:vAlign w:val="center"/>
          </w:tcPr>
          <w:p w14:paraId="5FA1B526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Primary CTA</w:t>
            </w:r>
          </w:p>
        </w:tc>
      </w:tr>
      <w:tr w:rsidR="000D3E7B" w14:paraId="6E8D1AB6" w14:textId="77777777">
        <w:tc>
          <w:tcPr>
            <w:tcW w:w="5040" w:type="dxa"/>
            <w:vAlign w:val="center"/>
          </w:tcPr>
          <w:p w14:paraId="34A92CCA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action.primaryHover</w:t>
            </w:r>
          </w:p>
        </w:tc>
        <w:tc>
          <w:tcPr>
            <w:tcW w:w="5040" w:type="dxa"/>
            <w:vAlign w:val="center"/>
          </w:tcPr>
          <w:p w14:paraId="5927FFCC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Primary CTA hover</w:t>
            </w:r>
          </w:p>
        </w:tc>
      </w:tr>
      <w:tr w:rsidR="000D3E7B" w14:paraId="6EB56E0C" w14:textId="77777777">
        <w:tc>
          <w:tcPr>
            <w:tcW w:w="5040" w:type="dxa"/>
            <w:vAlign w:val="center"/>
          </w:tcPr>
          <w:p w14:paraId="36469DA5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sz w:val="18"/>
              </w:rPr>
              <w:t>focus.ring</w:t>
            </w:r>
          </w:p>
        </w:tc>
        <w:tc>
          <w:tcPr>
            <w:tcW w:w="5040" w:type="dxa"/>
            <w:vAlign w:val="center"/>
          </w:tcPr>
          <w:p w14:paraId="4E1AA193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Keyboard focus indicator</w:t>
            </w:r>
          </w:p>
        </w:tc>
      </w:tr>
    </w:tbl>
    <w:p w14:paraId="414BC6E8" w14:textId="77777777" w:rsidR="000D3E7B" w:rsidRDefault="00AF1872">
      <w:pPr>
        <w:pStyle w:val="Heading1"/>
      </w:pPr>
      <w:r>
        <w:t>7. Branding Preview &amp; Guardrails</w:t>
      </w:r>
    </w:p>
    <w:p w14:paraId="131A9890" w14:textId="77777777" w:rsidR="000D3E7B" w:rsidRDefault="00AF1872">
      <w:pPr>
        <w:pStyle w:val="ListBullet"/>
        <w:spacing w:after="40"/>
        <w:rPr>
          <w:rFonts w:hint="eastAsia"/>
        </w:rPr>
      </w:pPr>
      <w:r>
        <w:t>Provide a live preview before publishing a theme.</w:t>
      </w:r>
    </w:p>
    <w:p w14:paraId="7E5B7D76" w14:textId="77777777" w:rsidR="000D3E7B" w:rsidRDefault="00AF1872">
      <w:pPr>
        <w:pStyle w:val="ListBullet"/>
        <w:spacing w:after="40"/>
        <w:rPr>
          <w:rFonts w:hint="eastAsia"/>
        </w:rPr>
      </w:pPr>
      <w:r>
        <w:t>Preview should show navigation, dashboard cards, buttons, lifecycle bar, status pills, tables, and project cards.</w:t>
      </w:r>
    </w:p>
    <w:p w14:paraId="16E91E11" w14:textId="77777777" w:rsidR="000D3E7B" w:rsidRDefault="00AF1872">
      <w:pPr>
        <w:pStyle w:val="ListBullet"/>
        <w:spacing w:after="40"/>
        <w:rPr>
          <w:rFonts w:hint="eastAsia"/>
        </w:rPr>
      </w:pPr>
      <w:r>
        <w:lastRenderedPageBreak/>
        <w:t>Validate text/background contrast automatically against WCAG 2.2 AA targets.</w:t>
      </w:r>
    </w:p>
    <w:p w14:paraId="083331F2" w14:textId="77777777" w:rsidR="000D3E7B" w:rsidRDefault="00AF1872">
      <w:pPr>
        <w:pStyle w:val="ListBullet"/>
        <w:spacing w:after="40"/>
        <w:rPr>
          <w:rFonts w:hint="eastAsia"/>
        </w:rPr>
      </w:pPr>
      <w:r>
        <w:t>Reject or adjust combinations that produce inaccessible contrast.</w:t>
      </w:r>
    </w:p>
    <w:p w14:paraId="2F0FB422" w14:textId="77777777" w:rsidR="000D3E7B" w:rsidRDefault="00AF1872">
      <w:pPr>
        <w:pStyle w:val="ListBullet"/>
        <w:spacing w:after="40"/>
        <w:rPr>
          <w:rFonts w:hint="eastAsia"/>
        </w:rPr>
      </w:pPr>
      <w:r>
        <w:t>Maintain consistent status semantics across tenants; a tenant should not be able to redefine Success as an arbitrary meaning.</w:t>
      </w:r>
    </w:p>
    <w:p w14:paraId="087E3E11" w14:textId="77777777" w:rsidR="000D3E7B" w:rsidRDefault="00AF1872">
      <w:pPr>
        <w:pStyle w:val="ListBullet"/>
        <w:spacing w:after="40"/>
        <w:rPr>
          <w:rFonts w:hint="eastAsia"/>
        </w:rPr>
      </w:pPr>
      <w:r>
        <w:t>Provide Reset to Construct LC Default.</w:t>
      </w:r>
    </w:p>
    <w:p w14:paraId="6E1FD11D" w14:textId="77777777" w:rsidR="000D3E7B" w:rsidRDefault="00AF1872">
      <w:pPr>
        <w:pStyle w:val="ListBullet"/>
        <w:spacing w:after="40"/>
        <w:rPr>
          <w:rFonts w:hint="eastAsia"/>
        </w:rPr>
      </w:pPr>
      <w:r>
        <w:t>Save changes as Draft, then Publish.</w:t>
      </w:r>
    </w:p>
    <w:p w14:paraId="55A6358D" w14:textId="77777777" w:rsidR="000D3E7B" w:rsidRDefault="00AF1872">
      <w:pPr>
        <w:pStyle w:val="ListBullet"/>
        <w:spacing w:after="40"/>
        <w:rPr>
          <w:rFonts w:hint="eastAsia"/>
        </w:rPr>
      </w:pPr>
      <w:r>
        <w:t>Keep the previous published theme available for rollback.</w:t>
      </w:r>
    </w:p>
    <w:p w14:paraId="64615157" w14:textId="77777777" w:rsidR="000D3E7B" w:rsidRDefault="00AF1872">
      <w:pPr>
        <w:pStyle w:val="Heading1"/>
      </w:pPr>
      <w:r>
        <w:t>8. Recommended Branding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0D3E7B" w14:paraId="174FB48F" w14:textId="77777777">
        <w:tc>
          <w:tcPr>
            <w:tcW w:w="3360" w:type="dxa"/>
            <w:shd w:val="clear" w:color="auto" w:fill="062B55"/>
            <w:vAlign w:val="center"/>
          </w:tcPr>
          <w:p w14:paraId="047A5EC2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360" w:type="dxa"/>
            <w:shd w:val="clear" w:color="auto" w:fill="062B55"/>
            <w:vAlign w:val="center"/>
          </w:tcPr>
          <w:p w14:paraId="6591FE62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360" w:type="dxa"/>
            <w:shd w:val="clear" w:color="auto" w:fill="062B55"/>
            <w:vAlign w:val="center"/>
          </w:tcPr>
          <w:p w14:paraId="2CD8E180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D3E7B" w14:paraId="727DF911" w14:textId="77777777">
        <w:tc>
          <w:tcPr>
            <w:tcW w:w="3360" w:type="dxa"/>
            <w:vAlign w:val="center"/>
          </w:tcPr>
          <w:p w14:paraId="67CE893F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360" w:type="dxa"/>
            <w:vAlign w:val="center"/>
          </w:tcPr>
          <w:p w14:paraId="797411AC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Upload identity</w:t>
            </w:r>
          </w:p>
        </w:tc>
        <w:tc>
          <w:tcPr>
            <w:tcW w:w="3360" w:type="dxa"/>
            <w:vAlign w:val="center"/>
          </w:tcPr>
          <w:p w14:paraId="74D6E0E0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Logo, optional light logo, favicon, company name.</w:t>
            </w:r>
          </w:p>
        </w:tc>
      </w:tr>
      <w:tr w:rsidR="000D3E7B" w14:paraId="2A3FEFAC" w14:textId="77777777">
        <w:tc>
          <w:tcPr>
            <w:tcW w:w="3360" w:type="dxa"/>
            <w:vAlign w:val="center"/>
          </w:tcPr>
          <w:p w14:paraId="65C8FF94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360" w:type="dxa"/>
            <w:vAlign w:val="center"/>
          </w:tcPr>
          <w:p w14:paraId="6B01BB16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Choose brand colors</w:t>
            </w:r>
          </w:p>
        </w:tc>
        <w:tc>
          <w:tcPr>
            <w:tcW w:w="3360" w:type="dxa"/>
            <w:vAlign w:val="center"/>
          </w:tcPr>
          <w:p w14:paraId="3C733188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Primary, secondary, accent; optional interface colors.</w:t>
            </w:r>
          </w:p>
        </w:tc>
      </w:tr>
      <w:tr w:rsidR="000D3E7B" w14:paraId="733B51F8" w14:textId="77777777">
        <w:tc>
          <w:tcPr>
            <w:tcW w:w="3360" w:type="dxa"/>
            <w:vAlign w:val="center"/>
          </w:tcPr>
          <w:p w14:paraId="71DA54FA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360" w:type="dxa"/>
            <w:vAlign w:val="center"/>
          </w:tcPr>
          <w:p w14:paraId="5FFADD33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Preview</w:t>
            </w:r>
          </w:p>
        </w:tc>
        <w:tc>
          <w:tcPr>
            <w:tcW w:w="3360" w:type="dxa"/>
            <w:vAlign w:val="center"/>
          </w:tcPr>
          <w:p w14:paraId="3604DA66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Review representative Construct LC screens.</w:t>
            </w:r>
          </w:p>
        </w:tc>
      </w:tr>
      <w:tr w:rsidR="000D3E7B" w14:paraId="05D25B29" w14:textId="77777777">
        <w:tc>
          <w:tcPr>
            <w:tcW w:w="3360" w:type="dxa"/>
            <w:vAlign w:val="center"/>
          </w:tcPr>
          <w:p w14:paraId="45C48BE8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360" w:type="dxa"/>
            <w:vAlign w:val="center"/>
          </w:tcPr>
          <w:p w14:paraId="20382404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Accessibility validation</w:t>
            </w:r>
          </w:p>
        </w:tc>
        <w:tc>
          <w:tcPr>
            <w:tcW w:w="3360" w:type="dxa"/>
            <w:vAlign w:val="center"/>
          </w:tcPr>
          <w:p w14:paraId="24CA740A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System checks contrast and required states.</w:t>
            </w:r>
          </w:p>
        </w:tc>
      </w:tr>
      <w:tr w:rsidR="000D3E7B" w14:paraId="7989FE6D" w14:textId="77777777">
        <w:tc>
          <w:tcPr>
            <w:tcW w:w="3360" w:type="dxa"/>
            <w:vAlign w:val="center"/>
          </w:tcPr>
          <w:p w14:paraId="71FFD7DB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360" w:type="dxa"/>
            <w:vAlign w:val="center"/>
          </w:tcPr>
          <w:p w14:paraId="7F08F3F3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Save draft</w:t>
            </w:r>
          </w:p>
        </w:tc>
        <w:tc>
          <w:tcPr>
            <w:tcW w:w="3360" w:type="dxa"/>
            <w:vAlign w:val="center"/>
          </w:tcPr>
          <w:p w14:paraId="1583BA2D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Theme remains unpublished.</w:t>
            </w:r>
          </w:p>
        </w:tc>
      </w:tr>
      <w:tr w:rsidR="000D3E7B" w14:paraId="0CBB942D" w14:textId="77777777">
        <w:tc>
          <w:tcPr>
            <w:tcW w:w="3360" w:type="dxa"/>
            <w:vAlign w:val="center"/>
          </w:tcPr>
          <w:p w14:paraId="3DF290A3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360" w:type="dxa"/>
            <w:vAlign w:val="center"/>
          </w:tcPr>
          <w:p w14:paraId="1DA38C91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Publish</w:t>
            </w:r>
          </w:p>
        </w:tc>
        <w:tc>
          <w:tcPr>
            <w:tcW w:w="3360" w:type="dxa"/>
            <w:vAlign w:val="center"/>
          </w:tcPr>
          <w:p w14:paraId="265457DE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Theme becomes active for the tenant.</w:t>
            </w:r>
          </w:p>
        </w:tc>
      </w:tr>
      <w:tr w:rsidR="000D3E7B" w14:paraId="4E7512FD" w14:textId="77777777">
        <w:tc>
          <w:tcPr>
            <w:tcW w:w="3360" w:type="dxa"/>
            <w:vAlign w:val="center"/>
          </w:tcPr>
          <w:p w14:paraId="1330427D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360" w:type="dxa"/>
            <w:vAlign w:val="center"/>
          </w:tcPr>
          <w:p w14:paraId="3D737B78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Rollback if needed</w:t>
            </w:r>
          </w:p>
        </w:tc>
        <w:tc>
          <w:tcPr>
            <w:tcW w:w="3360" w:type="dxa"/>
            <w:vAlign w:val="center"/>
          </w:tcPr>
          <w:p w14:paraId="12547E11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Administrator can return to the prior theme or Construct LC default.</w:t>
            </w:r>
          </w:p>
        </w:tc>
      </w:tr>
    </w:tbl>
    <w:p w14:paraId="7C665251" w14:textId="77777777" w:rsidR="000D3E7B" w:rsidRDefault="00AF1872">
      <w:pPr>
        <w:pStyle w:val="Heading1"/>
      </w:pPr>
      <w:r>
        <w:t>9. White-Label Readiness</w:t>
      </w:r>
    </w:p>
    <w:p w14:paraId="7C70E888" w14:textId="77777777" w:rsidR="000D3E7B" w:rsidRDefault="00AF1872">
      <w:pPr>
        <w:rPr>
          <w:rFonts w:hint="eastAsia"/>
        </w:rPr>
      </w:pPr>
      <w:r>
        <w:t>The initial implementation should support future white-labeling without requiring a new theme architecture.</w:t>
      </w:r>
    </w:p>
    <w:p w14:paraId="12959408" w14:textId="77777777" w:rsidR="000D3E7B" w:rsidRDefault="00AF1872">
      <w:pPr>
        <w:pStyle w:val="ListBullet"/>
        <w:spacing w:after="40"/>
        <w:rPr>
          <w:rFonts w:hint="eastAsia"/>
        </w:rPr>
      </w:pPr>
      <w:r>
        <w:t>Standard: tenant logo + colors.</w:t>
      </w:r>
    </w:p>
    <w:p w14:paraId="0F5CBCAB" w14:textId="77777777" w:rsidR="000D3E7B" w:rsidRDefault="00AF1872">
      <w:pPr>
        <w:pStyle w:val="ListBullet"/>
        <w:spacing w:after="40"/>
        <w:rPr>
          <w:rFonts w:hint="eastAsia"/>
        </w:rPr>
      </w:pPr>
      <w:r>
        <w:t>Branded: tenant logo + colors + favicon + branded login/notification surfaces.</w:t>
      </w:r>
    </w:p>
    <w:p w14:paraId="73BEA3B7" w14:textId="77777777" w:rsidR="000D3E7B" w:rsidRDefault="00AF1872">
      <w:pPr>
        <w:pStyle w:val="ListBullet"/>
        <w:spacing w:after="40"/>
        <w:rPr>
          <w:rFonts w:hint="eastAsia"/>
        </w:rPr>
      </w:pPr>
      <w:r>
        <w:t>White Label: optional tenant product name, custom domain, expanded branded communications.</w:t>
      </w:r>
    </w:p>
    <w:p w14:paraId="739B9B23" w14:textId="77777777" w:rsidR="000D3E7B" w:rsidRDefault="00AF1872">
      <w:pPr>
        <w:rPr>
          <w:rFonts w:hint="eastAsia"/>
        </w:rPr>
      </w:pPr>
      <w:r>
        <w:t>Full white-labeling does not need to be built in the first release. The data model and theme service should simply avoid assumptions that Construct LC is always the displayed brand.</w:t>
      </w:r>
    </w:p>
    <w:p w14:paraId="339B9111" w14:textId="77777777" w:rsidR="000D3E7B" w:rsidRDefault="00AF1872">
      <w:pPr>
        <w:pStyle w:val="Heading1"/>
      </w:pPr>
      <w:r>
        <w:t>10. Multi-Tenant Data &amp; Technical Requirements</w:t>
      </w:r>
    </w:p>
    <w:p w14:paraId="7218FCAF" w14:textId="77777777" w:rsidR="000D3E7B" w:rsidRDefault="00AF1872">
      <w:pPr>
        <w:pStyle w:val="ListBullet"/>
        <w:spacing w:after="40"/>
        <w:rPr>
          <w:rFonts w:hint="eastAsia"/>
        </w:rPr>
      </w:pPr>
      <w:r>
        <w:t>Every tenant has a Theme record/configuration.</w:t>
      </w:r>
    </w:p>
    <w:p w14:paraId="43A2B8AA" w14:textId="77777777" w:rsidR="000D3E7B" w:rsidRDefault="00AF1872">
      <w:pPr>
        <w:pStyle w:val="ListBullet"/>
        <w:spacing w:after="40"/>
        <w:rPr>
          <w:rFonts w:hint="eastAsia"/>
        </w:rPr>
      </w:pPr>
      <w:r>
        <w:t>Tenant theme is loaded after tenant identity is established and before application components render.</w:t>
      </w:r>
    </w:p>
    <w:p w14:paraId="54932B99" w14:textId="77777777" w:rsidR="000D3E7B" w:rsidRDefault="00AF1872">
      <w:pPr>
        <w:pStyle w:val="ListBullet"/>
        <w:spacing w:after="40"/>
        <w:rPr>
          <w:rFonts w:hint="eastAsia"/>
        </w:rPr>
      </w:pPr>
      <w:r>
        <w:t>Theme values are stored as semantic tokens, not component-specific CSS overrides.</w:t>
      </w:r>
    </w:p>
    <w:p w14:paraId="2CFC5E41" w14:textId="77777777" w:rsidR="000D3E7B" w:rsidRDefault="00AF1872">
      <w:pPr>
        <w:pStyle w:val="ListBullet"/>
        <w:spacing w:after="40"/>
        <w:rPr>
          <w:rFonts w:hint="eastAsia"/>
        </w:rPr>
      </w:pPr>
      <w:r>
        <w:t>Components must reference tokens only; no tenant-specific colors should be embedded in component code.</w:t>
      </w:r>
    </w:p>
    <w:p w14:paraId="68B8BD00" w14:textId="77777777" w:rsidR="000D3E7B" w:rsidRDefault="00AF1872">
      <w:pPr>
        <w:pStyle w:val="ListBullet"/>
        <w:spacing w:after="40"/>
        <w:rPr>
          <w:rFonts w:hint="eastAsia"/>
        </w:rPr>
      </w:pPr>
      <w:r>
        <w:t>Theme changes are tenant-scoped and cannot affect another tenant.</w:t>
      </w:r>
    </w:p>
    <w:p w14:paraId="12379D97" w14:textId="77777777" w:rsidR="000D3E7B" w:rsidRDefault="00AF1872">
      <w:pPr>
        <w:pStyle w:val="ListBullet"/>
        <w:spacing w:after="40"/>
        <w:rPr>
          <w:rFonts w:hint="eastAsia"/>
        </w:rPr>
      </w:pPr>
      <w:r>
        <w:t>Audit theme changes with user, timestamp, previous value, and new value.</w:t>
      </w:r>
    </w:p>
    <w:p w14:paraId="7AA5759B" w14:textId="77777777" w:rsidR="000D3E7B" w:rsidRDefault="00AF1872">
      <w:pPr>
        <w:pStyle w:val="ListBullet"/>
        <w:spacing w:after="40"/>
        <w:rPr>
          <w:rFonts w:hint="eastAsia"/>
        </w:rPr>
      </w:pPr>
      <w:r>
        <w:t>Cache published themes for performance, with safe invalidation on publish.</w:t>
      </w:r>
    </w:p>
    <w:p w14:paraId="389DADA6" w14:textId="77777777" w:rsidR="000D3E7B" w:rsidRDefault="00AF1872">
      <w:pPr>
        <w:pStyle w:val="ListBullet"/>
        <w:spacing w:after="40"/>
        <w:rPr>
          <w:rFonts w:hint="eastAsia"/>
        </w:rPr>
      </w:pPr>
      <w:r>
        <w:t>Support versioning/rollback.</w:t>
      </w:r>
    </w:p>
    <w:p w14:paraId="141B9A57" w14:textId="77777777" w:rsidR="000D3E7B" w:rsidRDefault="00AF1872">
      <w:pPr>
        <w:pStyle w:val="ListBullet"/>
        <w:spacing w:after="40"/>
        <w:rPr>
          <w:rFonts w:hint="eastAsia"/>
        </w:rPr>
      </w:pPr>
      <w:r>
        <w:t>Keep accessibility validation in the publishing pipeline, not only in the UI.</w:t>
      </w:r>
    </w:p>
    <w:p w14:paraId="01FCB7B4" w14:textId="77777777" w:rsidR="000D3E7B" w:rsidRDefault="00AF1872">
      <w:pPr>
        <w:pStyle w:val="ListBullet"/>
        <w:spacing w:after="40"/>
        <w:rPr>
          <w:rFonts w:hint="eastAsia"/>
        </w:rPr>
      </w:pPr>
      <w:r>
        <w:t>Allow the platform administrator to enforce non-overridable tokens where required for usability or security.</w:t>
      </w:r>
    </w:p>
    <w:p w14:paraId="57201B6D" w14:textId="77777777" w:rsidR="000D3E7B" w:rsidRDefault="00AF1872">
      <w:pPr>
        <w:pStyle w:val="Heading1"/>
      </w:pPr>
      <w:r>
        <w:t>11. What Tenants Can vs. Cannot Change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6"/>
        <w:gridCol w:w="5034"/>
      </w:tblGrid>
      <w:tr w:rsidR="000D3E7B" w14:paraId="4CE3E993" w14:textId="77777777">
        <w:tc>
          <w:tcPr>
            <w:tcW w:w="5040" w:type="dxa"/>
            <w:shd w:val="clear" w:color="auto" w:fill="062B55"/>
            <w:vAlign w:val="center"/>
          </w:tcPr>
          <w:p w14:paraId="05C916CB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Tenant Can Change</w:t>
            </w:r>
          </w:p>
        </w:tc>
        <w:tc>
          <w:tcPr>
            <w:tcW w:w="5040" w:type="dxa"/>
            <w:shd w:val="clear" w:color="auto" w:fill="062B55"/>
            <w:vAlign w:val="center"/>
          </w:tcPr>
          <w:p w14:paraId="0E7C2D56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Tenant Cannot Change</w:t>
            </w:r>
          </w:p>
        </w:tc>
      </w:tr>
      <w:tr w:rsidR="000D3E7B" w14:paraId="101EF992" w14:textId="77777777">
        <w:tc>
          <w:tcPr>
            <w:tcW w:w="5040" w:type="dxa"/>
            <w:vAlign w:val="center"/>
          </w:tcPr>
          <w:p w14:paraId="5E84821E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Logo and favicon</w:t>
            </w:r>
          </w:p>
        </w:tc>
        <w:tc>
          <w:tcPr>
            <w:tcW w:w="5040" w:type="dxa"/>
            <w:vAlign w:val="center"/>
          </w:tcPr>
          <w:p w14:paraId="1C80B150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Core navigation structure</w:t>
            </w:r>
          </w:p>
        </w:tc>
      </w:tr>
      <w:tr w:rsidR="000D3E7B" w14:paraId="1ECD648D" w14:textId="77777777">
        <w:tc>
          <w:tcPr>
            <w:tcW w:w="5040" w:type="dxa"/>
            <w:vAlign w:val="center"/>
          </w:tcPr>
          <w:p w14:paraId="0F590FAA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Company display name</w:t>
            </w:r>
          </w:p>
        </w:tc>
        <w:tc>
          <w:tcPr>
            <w:tcW w:w="5040" w:type="dxa"/>
            <w:vAlign w:val="center"/>
          </w:tcPr>
          <w:p w14:paraId="66BA9405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Project lifecycle model</w:t>
            </w:r>
          </w:p>
        </w:tc>
      </w:tr>
      <w:tr w:rsidR="000D3E7B" w14:paraId="2240228A" w14:textId="77777777">
        <w:tc>
          <w:tcPr>
            <w:tcW w:w="5040" w:type="dxa"/>
            <w:vAlign w:val="center"/>
          </w:tcPr>
          <w:p w14:paraId="48973BCE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Primary/secondary/accent colors</w:t>
            </w:r>
          </w:p>
        </w:tc>
        <w:tc>
          <w:tcPr>
            <w:tcW w:w="5040" w:type="dxa"/>
            <w:vAlign w:val="center"/>
          </w:tcPr>
          <w:p w14:paraId="6CDE2BB8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Component behavior</w:t>
            </w:r>
          </w:p>
        </w:tc>
      </w:tr>
      <w:tr w:rsidR="000D3E7B" w14:paraId="4DB6BBDD" w14:textId="77777777">
        <w:tc>
          <w:tcPr>
            <w:tcW w:w="5040" w:type="dxa"/>
            <w:vAlign w:val="center"/>
          </w:tcPr>
          <w:p w14:paraId="1179C2CE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Approved surface/background colors</w:t>
            </w:r>
          </w:p>
        </w:tc>
        <w:tc>
          <w:tcPr>
            <w:tcW w:w="5040" w:type="dxa"/>
            <w:vAlign w:val="center"/>
          </w:tcPr>
          <w:p w14:paraId="073314EF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Status meanings</w:t>
            </w:r>
          </w:p>
        </w:tc>
      </w:tr>
      <w:tr w:rsidR="000D3E7B" w14:paraId="37364B85" w14:textId="77777777">
        <w:tc>
          <w:tcPr>
            <w:tcW w:w="5040" w:type="dxa"/>
            <w:vAlign w:val="center"/>
          </w:tcPr>
          <w:p w14:paraId="7651D91C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Optional branded login and communications (tier dependent)</w:t>
            </w:r>
          </w:p>
        </w:tc>
        <w:tc>
          <w:tcPr>
            <w:tcW w:w="5040" w:type="dxa"/>
            <w:vAlign w:val="center"/>
          </w:tcPr>
          <w:p w14:paraId="3D03007B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Data relationships</w:t>
            </w:r>
          </w:p>
        </w:tc>
      </w:tr>
    </w:tbl>
    <w:p w14:paraId="38FC092E" w14:textId="77777777" w:rsidR="000D3E7B" w:rsidRDefault="00AF1872">
      <w:pPr>
        <w:pStyle w:val="Heading1"/>
      </w:pPr>
      <w:r>
        <w:t>12. Application of the Construct Lifecycle Brand Guide</w:t>
      </w:r>
    </w:p>
    <w:p w14:paraId="37F8F7B6" w14:textId="77777777" w:rsidR="000D3E7B" w:rsidRDefault="00AF1872">
      <w:pPr>
        <w:rPr>
          <w:rFonts w:hint="eastAsia"/>
        </w:rPr>
      </w:pPr>
      <w:r>
        <w:t>Construct Lifecycle should be the reference implementation. Its current brand guide becomes the default tenant theme and the visual benchmark for all components.</w:t>
      </w:r>
    </w:p>
    <w:p w14:paraId="6543DE53" w14:textId="77777777" w:rsidR="000D3E7B" w:rsidRDefault="00AF1872">
      <w:pPr>
        <w:pStyle w:val="ListBullet"/>
        <w:spacing w:after="40"/>
        <w:rPr>
          <w:rFonts w:hint="eastAsia"/>
        </w:rPr>
      </w:pPr>
      <w:r>
        <w:t>Use Construct Navy (#062B55) as the foundational brand color.</w:t>
      </w:r>
    </w:p>
    <w:p w14:paraId="77B514DA" w14:textId="77777777" w:rsidR="000D3E7B" w:rsidRDefault="00AF1872">
      <w:pPr>
        <w:pStyle w:val="ListBullet"/>
        <w:spacing w:after="40"/>
        <w:rPr>
          <w:rFonts w:hint="eastAsia"/>
        </w:rPr>
      </w:pPr>
      <w:r>
        <w:t>Use Construct Blue (#1479C9) for primary interactive emphasis.</w:t>
      </w:r>
    </w:p>
    <w:p w14:paraId="78EDF550" w14:textId="77777777" w:rsidR="000D3E7B" w:rsidRDefault="00AF1872">
      <w:pPr>
        <w:pStyle w:val="ListBullet"/>
        <w:spacing w:after="40"/>
        <w:rPr>
          <w:rFonts w:hint="eastAsia"/>
        </w:rPr>
      </w:pPr>
      <w:r>
        <w:t>Use Structural Gray (#6B7075) for supporting structure and muted UI.</w:t>
      </w:r>
    </w:p>
    <w:p w14:paraId="5BE903A9" w14:textId="77777777" w:rsidR="000D3E7B" w:rsidRDefault="00AF1872">
      <w:pPr>
        <w:pStyle w:val="ListBullet"/>
        <w:spacing w:after="40"/>
        <w:rPr>
          <w:rFonts w:hint="eastAsia"/>
        </w:rPr>
      </w:pPr>
      <w:r>
        <w:t>Retain the warm, restrained visual environment of the first-version application.</w:t>
      </w:r>
    </w:p>
    <w:p w14:paraId="153E3F24" w14:textId="77777777" w:rsidR="000D3E7B" w:rsidRDefault="00AF1872">
      <w:pPr>
        <w:pStyle w:val="ListBullet"/>
        <w:spacing w:after="40"/>
        <w:rPr>
          <w:rFonts w:hint="eastAsia"/>
        </w:rPr>
      </w:pPr>
      <w:r>
        <w:t>Use semantic colors consistently for success, warning, error, and information.</w:t>
      </w:r>
    </w:p>
    <w:p w14:paraId="10090C44" w14:textId="77777777" w:rsidR="000D3E7B" w:rsidRDefault="00AF1872">
      <w:pPr>
        <w:pStyle w:val="ListBullet"/>
        <w:spacing w:after="40"/>
        <w:rPr>
          <w:rFonts w:hint="eastAsia"/>
        </w:rPr>
      </w:pPr>
      <w:r>
        <w:t>Keep Inter typography and the established spacing/radius discipline.</w:t>
      </w:r>
    </w:p>
    <w:p w14:paraId="46284B6B" w14:textId="77777777" w:rsidR="000D3E7B" w:rsidRDefault="00AF1872">
      <w:pPr>
        <w:pStyle w:val="Heading1"/>
      </w:pPr>
      <w:r>
        <w:t>13. V2 Implementation Priority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5"/>
        <w:gridCol w:w="3357"/>
        <w:gridCol w:w="3358"/>
      </w:tblGrid>
      <w:tr w:rsidR="000D3E7B" w14:paraId="6801679A" w14:textId="77777777">
        <w:tc>
          <w:tcPr>
            <w:tcW w:w="3360" w:type="dxa"/>
            <w:shd w:val="clear" w:color="auto" w:fill="062B55"/>
            <w:vAlign w:val="center"/>
          </w:tcPr>
          <w:p w14:paraId="12E222FD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3360" w:type="dxa"/>
            <w:shd w:val="clear" w:color="auto" w:fill="062B55"/>
            <w:vAlign w:val="center"/>
          </w:tcPr>
          <w:p w14:paraId="0864F298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w="3360" w:type="dxa"/>
            <w:shd w:val="clear" w:color="auto" w:fill="062B55"/>
            <w:vAlign w:val="center"/>
          </w:tcPr>
          <w:p w14:paraId="23BB6AEA" w14:textId="77777777" w:rsidR="000D3E7B" w:rsidRDefault="00AF1872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Outcome</w:t>
            </w:r>
          </w:p>
        </w:tc>
      </w:tr>
      <w:tr w:rsidR="000D3E7B" w14:paraId="2BEE9708" w14:textId="77777777">
        <w:tc>
          <w:tcPr>
            <w:tcW w:w="3360" w:type="dxa"/>
            <w:vAlign w:val="center"/>
          </w:tcPr>
          <w:p w14:paraId="18F05B8F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3360" w:type="dxa"/>
            <w:vAlign w:val="center"/>
          </w:tcPr>
          <w:p w14:paraId="57F543E8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Theme token architecture</w:t>
            </w:r>
          </w:p>
        </w:tc>
        <w:tc>
          <w:tcPr>
            <w:tcW w:w="3360" w:type="dxa"/>
            <w:vAlign w:val="center"/>
          </w:tcPr>
          <w:p w14:paraId="773AF5A4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Create semantic theme tokens and remove hard-coded UI colors.</w:t>
            </w:r>
          </w:p>
        </w:tc>
      </w:tr>
      <w:tr w:rsidR="000D3E7B" w14:paraId="031DCB41" w14:textId="77777777">
        <w:tc>
          <w:tcPr>
            <w:tcW w:w="3360" w:type="dxa"/>
            <w:vAlign w:val="center"/>
          </w:tcPr>
          <w:p w14:paraId="7B24CA85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3360" w:type="dxa"/>
            <w:vAlign w:val="center"/>
          </w:tcPr>
          <w:p w14:paraId="4D7A4E7F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Construct LC default theme</w:t>
            </w:r>
          </w:p>
        </w:tc>
        <w:tc>
          <w:tcPr>
            <w:tcW w:w="3360" w:type="dxa"/>
            <w:vAlign w:val="center"/>
          </w:tcPr>
          <w:p w14:paraId="6822337A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Apply the brand guide to the existing first-version UI.</w:t>
            </w:r>
          </w:p>
        </w:tc>
      </w:tr>
      <w:tr w:rsidR="000D3E7B" w14:paraId="778C295B" w14:textId="77777777">
        <w:tc>
          <w:tcPr>
            <w:tcW w:w="3360" w:type="dxa"/>
            <w:vAlign w:val="center"/>
          </w:tcPr>
          <w:p w14:paraId="290B40BA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P0</w:t>
            </w:r>
          </w:p>
        </w:tc>
        <w:tc>
          <w:tcPr>
            <w:tcW w:w="3360" w:type="dxa"/>
            <w:vAlign w:val="center"/>
          </w:tcPr>
          <w:p w14:paraId="2FBED752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Tenant theme storage</w:t>
            </w:r>
          </w:p>
        </w:tc>
        <w:tc>
          <w:tcPr>
            <w:tcW w:w="3360" w:type="dxa"/>
            <w:vAlign w:val="center"/>
          </w:tcPr>
          <w:p w14:paraId="475734AA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Tenant-scoped branding configuration and publishing.</w:t>
            </w:r>
          </w:p>
        </w:tc>
      </w:tr>
      <w:tr w:rsidR="000D3E7B" w14:paraId="506C6980" w14:textId="77777777">
        <w:tc>
          <w:tcPr>
            <w:tcW w:w="3360" w:type="dxa"/>
            <w:vAlign w:val="center"/>
          </w:tcPr>
          <w:p w14:paraId="571B92D3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3360" w:type="dxa"/>
            <w:vAlign w:val="center"/>
          </w:tcPr>
          <w:p w14:paraId="57DC91C7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Branding administration</w:t>
            </w:r>
          </w:p>
        </w:tc>
        <w:tc>
          <w:tcPr>
            <w:tcW w:w="3360" w:type="dxa"/>
            <w:vAlign w:val="center"/>
          </w:tcPr>
          <w:p w14:paraId="43D15310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Logo, colors, preview, save/publish, reset.</w:t>
            </w:r>
          </w:p>
        </w:tc>
      </w:tr>
      <w:tr w:rsidR="000D3E7B" w14:paraId="32614610" w14:textId="77777777">
        <w:tc>
          <w:tcPr>
            <w:tcW w:w="3360" w:type="dxa"/>
            <w:vAlign w:val="center"/>
          </w:tcPr>
          <w:p w14:paraId="6A18216C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3360" w:type="dxa"/>
            <w:vAlign w:val="center"/>
          </w:tcPr>
          <w:p w14:paraId="3AC728D7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Accessibility validation</w:t>
            </w:r>
          </w:p>
        </w:tc>
        <w:tc>
          <w:tcPr>
            <w:tcW w:w="3360" w:type="dxa"/>
            <w:vAlign w:val="center"/>
          </w:tcPr>
          <w:p w14:paraId="05769C92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Contrast checks and protected semantic states.</w:t>
            </w:r>
          </w:p>
        </w:tc>
      </w:tr>
      <w:tr w:rsidR="000D3E7B" w14:paraId="7FAD57C4" w14:textId="77777777">
        <w:tc>
          <w:tcPr>
            <w:tcW w:w="3360" w:type="dxa"/>
            <w:vAlign w:val="center"/>
          </w:tcPr>
          <w:p w14:paraId="58C9900E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P1</w:t>
            </w:r>
          </w:p>
        </w:tc>
        <w:tc>
          <w:tcPr>
            <w:tcW w:w="3360" w:type="dxa"/>
            <w:vAlign w:val="center"/>
          </w:tcPr>
          <w:p w14:paraId="47A8446C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Theme versioning</w:t>
            </w:r>
          </w:p>
        </w:tc>
        <w:tc>
          <w:tcPr>
            <w:tcW w:w="3360" w:type="dxa"/>
            <w:vAlign w:val="center"/>
          </w:tcPr>
          <w:p w14:paraId="1D55CD2F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Draft/publish/rollback.</w:t>
            </w:r>
          </w:p>
        </w:tc>
      </w:tr>
      <w:tr w:rsidR="000D3E7B" w14:paraId="2062247B" w14:textId="77777777">
        <w:tc>
          <w:tcPr>
            <w:tcW w:w="3360" w:type="dxa"/>
            <w:vAlign w:val="center"/>
          </w:tcPr>
          <w:p w14:paraId="380CF649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  <w:tc>
          <w:tcPr>
            <w:tcW w:w="3360" w:type="dxa"/>
            <w:vAlign w:val="center"/>
          </w:tcPr>
          <w:p w14:paraId="64512090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Branded communications</w:t>
            </w:r>
          </w:p>
        </w:tc>
        <w:tc>
          <w:tcPr>
            <w:tcW w:w="3360" w:type="dxa"/>
            <w:vAlign w:val="center"/>
          </w:tcPr>
          <w:p w14:paraId="175B308C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Email/notification branding.</w:t>
            </w:r>
          </w:p>
        </w:tc>
      </w:tr>
      <w:tr w:rsidR="000D3E7B" w14:paraId="2FEB890A" w14:textId="77777777">
        <w:tc>
          <w:tcPr>
            <w:tcW w:w="3360" w:type="dxa"/>
            <w:vAlign w:val="center"/>
          </w:tcPr>
          <w:p w14:paraId="701E504F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P2</w:t>
            </w:r>
          </w:p>
        </w:tc>
        <w:tc>
          <w:tcPr>
            <w:tcW w:w="3360" w:type="dxa"/>
            <w:vAlign w:val="center"/>
          </w:tcPr>
          <w:p w14:paraId="55FBC76E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White-label capability</w:t>
            </w:r>
          </w:p>
        </w:tc>
        <w:tc>
          <w:tcPr>
            <w:tcW w:w="3360" w:type="dxa"/>
            <w:vAlign w:val="center"/>
          </w:tcPr>
          <w:p w14:paraId="371EB3FC" w14:textId="77777777" w:rsidR="000D3E7B" w:rsidRDefault="00AF1872">
            <w:pPr>
              <w:rPr>
                <w:rFonts w:hint="eastAsia"/>
              </w:rPr>
            </w:pPr>
            <w:r>
              <w:rPr>
                <w:sz w:val="18"/>
              </w:rPr>
              <w:t>Custom product name/domain where commercially justified.</w:t>
            </w:r>
          </w:p>
        </w:tc>
      </w:tr>
    </w:tbl>
    <w:p w14:paraId="79F50AD6" w14:textId="77777777" w:rsidR="000D3E7B" w:rsidRDefault="00AF1872">
      <w:pPr>
        <w:rPr>
          <w:rFonts w:hint="eastAsia"/>
        </w:rPr>
      </w:pPr>
      <w:r>
        <w:br w:type="page"/>
      </w:r>
    </w:p>
    <w:p w14:paraId="48ADBB83" w14:textId="77777777" w:rsidR="000D3E7B" w:rsidRDefault="00AF1872">
      <w:pPr>
        <w:jc w:val="center"/>
        <w:rPr>
          <w:rFonts w:hint="eastAsia"/>
        </w:rPr>
      </w:pPr>
      <w:r>
        <w:rPr>
          <w:b/>
          <w:color w:val="062B55"/>
          <w:sz w:val="44"/>
        </w:rPr>
        <w:lastRenderedPageBreak/>
        <w:t>CONSTRUCT LC</w:t>
      </w:r>
    </w:p>
    <w:p w14:paraId="4BFF6F86" w14:textId="77777777" w:rsidR="000D3E7B" w:rsidRDefault="00AF1872">
      <w:pPr>
        <w:jc w:val="center"/>
        <w:rPr>
          <w:rFonts w:hint="eastAsia"/>
        </w:rPr>
      </w:pPr>
      <w:r>
        <w:rPr>
          <w:color w:val="1479C9"/>
          <w:sz w:val="22"/>
        </w:rPr>
        <w:t>One platform. One lifecycle. Every tenant, their brand.</w:t>
      </w:r>
    </w:p>
    <w:p w14:paraId="216646D7" w14:textId="77777777" w:rsidR="000D3E7B" w:rsidRDefault="00AF1872">
      <w:pPr>
        <w:jc w:val="center"/>
        <w:rPr>
          <w:rFonts w:hint="eastAsia"/>
        </w:rPr>
      </w:pPr>
      <w:r>
        <w:rPr>
          <w:color w:val="6B7075"/>
        </w:rPr>
        <w:t>Tenant branding should personalize the experience without fragmenting the product.</w:t>
      </w:r>
    </w:p>
    <w:sectPr w:rsidR="000D3E7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516348">
    <w:abstractNumId w:val="8"/>
  </w:num>
  <w:num w:numId="2" w16cid:durableId="1469739999">
    <w:abstractNumId w:val="6"/>
  </w:num>
  <w:num w:numId="3" w16cid:durableId="277880212">
    <w:abstractNumId w:val="5"/>
  </w:num>
  <w:num w:numId="4" w16cid:durableId="544367754">
    <w:abstractNumId w:val="4"/>
  </w:num>
  <w:num w:numId="5" w16cid:durableId="910232144">
    <w:abstractNumId w:val="7"/>
  </w:num>
  <w:num w:numId="6" w16cid:durableId="822114231">
    <w:abstractNumId w:val="3"/>
  </w:num>
  <w:num w:numId="7" w16cid:durableId="1885018471">
    <w:abstractNumId w:val="2"/>
  </w:num>
  <w:num w:numId="8" w16cid:durableId="892427465">
    <w:abstractNumId w:val="1"/>
  </w:num>
  <w:num w:numId="9" w16cid:durableId="41173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E7B"/>
    <w:rsid w:val="0015074B"/>
    <w:rsid w:val="0029639D"/>
    <w:rsid w:val="00326F90"/>
    <w:rsid w:val="009A3778"/>
    <w:rsid w:val="00AA1D8D"/>
    <w:rsid w:val="00AF1872"/>
    <w:rsid w:val="00B47730"/>
    <w:rsid w:val="00CB0664"/>
    <w:rsid w:val="00D60C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E80A7A"/>
  <w14:defaultImageDpi w14:val="300"/>
  <w15:docId w15:val="{287EFD9C-890F-4B4C-844F-E0F424334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Inter" w:hAnsi="Inter"/>
      <w:color w:val="1F2B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62B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79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62B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62B5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Craig Davis</cp:lastModifiedBy>
  <cp:revision>2</cp:revision>
  <dcterms:created xsi:type="dcterms:W3CDTF">2026-09-10T20:49:00Z</dcterms:created>
  <dcterms:modified xsi:type="dcterms:W3CDTF">2026-09-10T20:49:00Z</dcterms:modified>
  <cp:category/>
</cp:coreProperties>
</file>