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 w:name="construct-lifecycle"/>
    <w:p>
      <w:pPr>
        <w:pStyle w:val="Heading1"/>
      </w:pPr>
      <w:r>
        <w:t xml:space="preserve">CONSTRUCT LIFECYCLE</w:t>
      </w:r>
    </w:p>
    <w:bookmarkStart w:id="9" w:name="brand-guidelines"/>
    <w:p>
      <w:pPr>
        <w:pStyle w:val="Heading2"/>
      </w:pPr>
      <w:r>
        <w:t xml:space="preserve">Brand Guidelines</w:t>
      </w:r>
    </w:p>
    <w:p>
      <w:pPr>
        <w:pStyle w:val="FirstParagraph"/>
      </w:pPr>
      <w:r>
        <w:rPr>
          <w:b/>
          <w:bCs/>
        </w:rPr>
        <w:t xml:space="preserve">Version 1.0 | September 2026</w:t>
      </w:r>
    </w:p>
    <w:p>
      <w:r>
        <w:pict>
          <v:rect style="width:0;height:1.5pt" o:hralign="center" o:hrstd="t" o:hr="t"/>
        </w:pict>
      </w:r>
    </w:p>
    <w:bookmarkEnd w:id="9"/>
    <w:bookmarkEnd w:id="10"/>
    <w:bookmarkStart w:id="17" w:name="brand-overview"/>
    <w:p>
      <w:pPr>
        <w:pStyle w:val="Heading1"/>
      </w:pPr>
      <w:r>
        <w:t xml:space="preserve">1. Brand Overview</w:t>
      </w:r>
    </w:p>
    <w:bookmarkStart w:id="11" w:name="brand-name"/>
    <w:p>
      <w:pPr>
        <w:pStyle w:val="Heading3"/>
      </w:pPr>
      <w:r>
        <w:t xml:space="preserve">Brand Name</w:t>
      </w:r>
    </w:p>
    <w:p>
      <w:pPr>
        <w:pStyle w:val="FirstParagraph"/>
      </w:pPr>
      <w:r>
        <w:rPr>
          <w:b/>
          <w:bCs/>
        </w:rPr>
        <w:t xml:space="preserve">Construct Lifecycle</w:t>
      </w:r>
    </w:p>
    <w:bookmarkEnd w:id="11"/>
    <w:bookmarkStart w:id="12" w:name="short-brand"/>
    <w:p>
      <w:pPr>
        <w:pStyle w:val="Heading3"/>
      </w:pPr>
      <w:r>
        <w:t xml:space="preserve">Short Brand</w:t>
      </w:r>
    </w:p>
    <w:p>
      <w:pPr>
        <w:pStyle w:val="FirstParagraph"/>
      </w:pPr>
      <w:r>
        <w:rPr>
          <w:b/>
          <w:bCs/>
        </w:rPr>
        <w:t xml:space="preserve">Construct LC</w:t>
      </w:r>
    </w:p>
    <w:bookmarkEnd w:id="12"/>
    <w:bookmarkStart w:id="13" w:name="primary-domain"/>
    <w:p>
      <w:pPr>
        <w:pStyle w:val="Heading3"/>
      </w:pPr>
      <w:r>
        <w:t xml:space="preserve">Primary Domain</w:t>
      </w:r>
    </w:p>
    <w:p>
      <w:pPr>
        <w:pStyle w:val="FirstParagraph"/>
      </w:pPr>
      <w:r>
        <w:rPr>
          <w:b/>
          <w:bCs/>
        </w:rPr>
        <w:t xml:space="preserve">ConstructLifeCycle.com</w:t>
      </w:r>
    </w:p>
    <w:bookmarkEnd w:id="13"/>
    <w:bookmarkStart w:id="14" w:name="secondary-domain"/>
    <w:p>
      <w:pPr>
        <w:pStyle w:val="Heading3"/>
      </w:pPr>
      <w:r>
        <w:t xml:space="preserve">Secondary Domain</w:t>
      </w:r>
    </w:p>
    <w:p>
      <w:pPr>
        <w:pStyle w:val="FirstParagraph"/>
      </w:pPr>
      <w:r>
        <w:rPr>
          <w:b/>
          <w:bCs/>
        </w:rPr>
        <w:t xml:space="preserve">ConstructLC.com</w:t>
      </w:r>
    </w:p>
    <w:p>
      <w:pPr>
        <w:pStyle w:val="BodyText"/>
      </w:pPr>
      <w:r>
        <w:t xml:space="preserve">The secondary domain should redirect to the primary domain.</w:t>
      </w:r>
    </w:p>
    <w:bookmarkEnd w:id="14"/>
    <w:bookmarkStart w:id="15" w:name="primary-tagline"/>
    <w:p>
      <w:pPr>
        <w:pStyle w:val="Heading3"/>
      </w:pPr>
      <w:r>
        <w:t xml:space="preserve">Primary Tagline</w:t>
      </w:r>
    </w:p>
    <w:p>
      <w:pPr>
        <w:pStyle w:val="FirstParagraph"/>
      </w:pPr>
      <w:r>
        <w:rPr>
          <w:b/>
          <w:bCs/>
        </w:rPr>
        <w:t xml:space="preserve">From Bid to Closeout.</w:t>
      </w:r>
    </w:p>
    <w:bookmarkEnd w:id="15"/>
    <w:bookmarkStart w:id="16" w:name="brand-descriptor"/>
    <w:p>
      <w:pPr>
        <w:pStyle w:val="Heading3"/>
      </w:pPr>
      <w:r>
        <w:t xml:space="preserve">Brand Descriptor</w:t>
      </w:r>
    </w:p>
    <w:p>
      <w:pPr>
        <w:pStyle w:val="FirstParagraph"/>
      </w:pPr>
      <w:r>
        <w:rPr>
          <w:b/>
          <w:bCs/>
        </w:rPr>
        <w:t xml:space="preserve">The Construction Lifecycle Platform</w:t>
      </w:r>
    </w:p>
    <w:p>
      <w:r>
        <w:pict>
          <v:rect style="width:0;height:1.5pt" o:hralign="center" o:hrstd="t" o:hr="t"/>
        </w:pict>
      </w:r>
    </w:p>
    <w:bookmarkEnd w:id="16"/>
    <w:bookmarkEnd w:id="17"/>
    <w:bookmarkStart w:id="21" w:name="brand-positioning"/>
    <w:p>
      <w:pPr>
        <w:pStyle w:val="Heading1"/>
      </w:pPr>
      <w:r>
        <w:t xml:space="preserve">2. Brand Positioning</w:t>
      </w:r>
    </w:p>
    <w:bookmarkStart w:id="18" w:name="what-construct-lifecycle-is"/>
    <w:p>
      <w:pPr>
        <w:pStyle w:val="Heading2"/>
      </w:pPr>
      <w:r>
        <w:t xml:space="preserve">What Construct Lifecycle Is</w:t>
      </w:r>
    </w:p>
    <w:p>
      <w:pPr>
        <w:pStyle w:val="FirstParagraph"/>
      </w:pPr>
      <w:r>
        <w:t xml:space="preserve">Construct Lifecycle is a cloud-based, multi-tenant software platform designed to manage the commercial and operational lifecycle of construction projects—from initial opportunity and bidding through contract, procurement, delivery, financial management, and project closeout.</w:t>
      </w:r>
    </w:p>
    <w:p>
      <w:pPr>
        <w:pStyle w:val="BodyText"/>
      </w:pPr>
      <w:r>
        <w:t xml:space="preserve">The platform is designed initially around the needs of construction product suppliers and specialty businesses, while providing an architecture capable of expanding to developers, homebuilders, general contractors, specialty contractors, and other construction organizations.</w:t>
      </w:r>
    </w:p>
    <w:bookmarkEnd w:id="18"/>
    <w:bookmarkStart w:id="19" w:name="positioning-statement"/>
    <w:p>
      <w:pPr>
        <w:pStyle w:val="Heading2"/>
      </w:pPr>
      <w:r>
        <w:t xml:space="preserve">Positioning Statement</w:t>
      </w:r>
    </w:p>
    <w:p>
      <w:pPr>
        <w:pStyle w:val="BlockText"/>
      </w:pPr>
      <w:r>
        <w:rPr>
          <w:b/>
          <w:bCs/>
        </w:rPr>
        <w:t xml:space="preserve">Construct Lifecycle connects every stage of a construction project in one platform, giving construction organizations a single source of truth from bid to closeout.</w:t>
      </w:r>
    </w:p>
    <w:bookmarkEnd w:id="19"/>
    <w:bookmarkStart w:id="20" w:name="core-promise"/>
    <w:p>
      <w:pPr>
        <w:pStyle w:val="Heading2"/>
      </w:pPr>
      <w:r>
        <w:t xml:space="preserve">Core Promise</w:t>
      </w:r>
    </w:p>
    <w:p>
      <w:pPr>
        <w:pStyle w:val="FirstParagraph"/>
      </w:pPr>
      <w:r>
        <w:rPr>
          <w:b/>
          <w:bCs/>
        </w:rPr>
        <w:t xml:space="preserve">One Project. One Lifecycle. One Source of Truth.</w:t>
      </w:r>
    </w:p>
    <w:p>
      <w:r>
        <w:pict>
          <v:rect style="width:0;height:1.5pt" o:hralign="center" o:hrstd="t" o:hr="t"/>
        </w:pict>
      </w:r>
    </w:p>
    <w:bookmarkEnd w:id="20"/>
    <w:bookmarkEnd w:id="21"/>
    <w:bookmarkStart w:id="22" w:name="brand-personality"/>
    <w:p>
      <w:pPr>
        <w:pStyle w:val="Heading1"/>
      </w:pPr>
      <w:r>
        <w:t xml:space="preserve">3. Brand Personality</w:t>
      </w:r>
    </w:p>
    <w:p>
      <w:pPr>
        <w:pStyle w:val="FirstParagraph"/>
      </w:pPr>
      <w:r>
        <w:t xml:space="preserve">Construct Lifecycle should feel:</w:t>
      </w:r>
    </w:p>
    <w:p>
      <w:pPr>
        <w:pStyle w:val="Compact"/>
        <w:numPr>
          <w:ilvl w:val="0"/>
          <w:numId w:val="1001"/>
        </w:numPr>
      </w:pPr>
      <w:r>
        <w:rPr>
          <w:b/>
          <w:bCs/>
        </w:rPr>
        <w:t xml:space="preserve">Professional</w:t>
      </w:r>
    </w:p>
    <w:p>
      <w:pPr>
        <w:pStyle w:val="Compact"/>
        <w:numPr>
          <w:ilvl w:val="0"/>
          <w:numId w:val="1001"/>
        </w:numPr>
      </w:pPr>
      <w:r>
        <w:rPr>
          <w:b/>
          <w:bCs/>
        </w:rPr>
        <w:t xml:space="preserve">Modern</w:t>
      </w:r>
    </w:p>
    <w:p>
      <w:pPr>
        <w:pStyle w:val="Compact"/>
        <w:numPr>
          <w:ilvl w:val="0"/>
          <w:numId w:val="1001"/>
        </w:numPr>
      </w:pPr>
      <w:r>
        <w:rPr>
          <w:b/>
          <w:bCs/>
        </w:rPr>
        <w:t xml:space="preserve">Industrial</w:t>
      </w:r>
    </w:p>
    <w:p>
      <w:pPr>
        <w:pStyle w:val="Compact"/>
        <w:numPr>
          <w:ilvl w:val="0"/>
          <w:numId w:val="1001"/>
        </w:numPr>
      </w:pPr>
      <w:r>
        <w:rPr>
          <w:b/>
          <w:bCs/>
        </w:rPr>
        <w:t xml:space="preserve">Intelligent</w:t>
      </w:r>
    </w:p>
    <w:p>
      <w:pPr>
        <w:pStyle w:val="Compact"/>
        <w:numPr>
          <w:ilvl w:val="0"/>
          <w:numId w:val="1001"/>
        </w:numPr>
      </w:pPr>
      <w:r>
        <w:rPr>
          <w:b/>
          <w:bCs/>
        </w:rPr>
        <w:t xml:space="preserve">Reliable</w:t>
      </w:r>
    </w:p>
    <w:p>
      <w:pPr>
        <w:pStyle w:val="Compact"/>
        <w:numPr>
          <w:ilvl w:val="0"/>
          <w:numId w:val="1001"/>
        </w:numPr>
      </w:pPr>
      <w:r>
        <w:rPr>
          <w:b/>
          <w:bCs/>
        </w:rPr>
        <w:t xml:space="preserve">Efficient</w:t>
      </w:r>
    </w:p>
    <w:p>
      <w:pPr>
        <w:pStyle w:val="Compact"/>
        <w:numPr>
          <w:ilvl w:val="0"/>
          <w:numId w:val="1001"/>
        </w:numPr>
      </w:pPr>
      <w:r>
        <w:rPr>
          <w:b/>
          <w:bCs/>
        </w:rPr>
        <w:t xml:space="preserve">Scalable</w:t>
      </w:r>
    </w:p>
    <w:p>
      <w:pPr>
        <w:pStyle w:val="Compact"/>
        <w:numPr>
          <w:ilvl w:val="0"/>
          <w:numId w:val="1001"/>
        </w:numPr>
      </w:pPr>
      <w:r>
        <w:rPr>
          <w:b/>
          <w:bCs/>
        </w:rPr>
        <w:t xml:space="preserve">Practical</w:t>
      </w:r>
    </w:p>
    <w:p>
      <w:pPr>
        <w:pStyle w:val="FirstParagraph"/>
      </w:pPr>
      <w:r>
        <w:t xml:space="preserve">The brand should NOT feel:</w:t>
      </w:r>
    </w:p>
    <w:p>
      <w:pPr>
        <w:pStyle w:val="Compact"/>
        <w:numPr>
          <w:ilvl w:val="0"/>
          <w:numId w:val="1002"/>
        </w:numPr>
      </w:pPr>
      <w:r>
        <w:t xml:space="preserve">Cartoonish</w:t>
      </w:r>
    </w:p>
    <w:p>
      <w:pPr>
        <w:pStyle w:val="Compact"/>
        <w:numPr>
          <w:ilvl w:val="0"/>
          <w:numId w:val="1002"/>
        </w:numPr>
      </w:pPr>
      <w:r>
        <w:t xml:space="preserve">Overly consumer-oriented</w:t>
      </w:r>
    </w:p>
    <w:p>
      <w:pPr>
        <w:pStyle w:val="Compact"/>
        <w:numPr>
          <w:ilvl w:val="0"/>
          <w:numId w:val="1002"/>
        </w:numPr>
      </w:pPr>
      <w:r>
        <w:t xml:space="preserve">Generic construction-company themed</w:t>
      </w:r>
    </w:p>
    <w:p>
      <w:pPr>
        <w:pStyle w:val="Compact"/>
        <w:numPr>
          <w:ilvl w:val="0"/>
          <w:numId w:val="1002"/>
        </w:numPr>
      </w:pPr>
      <w:r>
        <w:t xml:space="preserve">Too futuristic</w:t>
      </w:r>
    </w:p>
    <w:p>
      <w:pPr>
        <w:pStyle w:val="Compact"/>
        <w:numPr>
          <w:ilvl w:val="0"/>
          <w:numId w:val="1002"/>
        </w:numPr>
      </w:pPr>
      <w:r>
        <w:t xml:space="preserve">Complicated</w:t>
      </w:r>
    </w:p>
    <w:p>
      <w:pPr>
        <w:pStyle w:val="Compact"/>
        <w:numPr>
          <w:ilvl w:val="0"/>
          <w:numId w:val="1002"/>
        </w:numPr>
      </w:pPr>
      <w:r>
        <w:t xml:space="preserve">“Tech startup for tech’s sake”</w:t>
      </w:r>
    </w:p>
    <w:p>
      <w:pPr>
        <w:pStyle w:val="FirstParagraph"/>
      </w:pPr>
      <w:r>
        <w:t xml:space="preserve">The target customer should look at Construct Lifecycle and immediately think:</w:t>
      </w:r>
    </w:p>
    <w:p>
      <w:pPr>
        <w:pStyle w:val="BlockText"/>
      </w:pPr>
      <w:r>
        <w:rPr>
          <w:b/>
          <w:bCs/>
        </w:rPr>
        <w:t xml:space="preserve">“This was built for serious construction operations.”</w:t>
      </w:r>
    </w:p>
    <w:p>
      <w:r>
        <w:pict>
          <v:rect style="width:0;height:1.5pt" o:hralign="center" o:hrstd="t" o:hr="t"/>
        </w:pict>
      </w:r>
    </w:p>
    <w:bookmarkEnd w:id="22"/>
    <w:bookmarkStart w:id="36" w:name="brand-architecture"/>
    <w:p>
      <w:pPr>
        <w:pStyle w:val="Heading1"/>
      </w:pPr>
      <w:r>
        <w:t xml:space="preserve">4. Brand Architecture</w:t>
      </w:r>
    </w:p>
    <w:p>
      <w:pPr>
        <w:pStyle w:val="FirstParagraph"/>
      </w:pPr>
      <w:r>
        <w:t xml:space="preserve">The primary brand should remain broad enough to support expansion beyond the original DCS use case.</w:t>
      </w:r>
    </w:p>
    <w:bookmarkStart w:id="23" w:name="master-brand"/>
    <w:p>
      <w:pPr>
        <w:pStyle w:val="Heading2"/>
      </w:pPr>
      <w:r>
        <w:t xml:space="preserve">Master Brand</w:t>
      </w:r>
    </w:p>
    <w:p>
      <w:pPr>
        <w:pStyle w:val="FirstParagraph"/>
      </w:pPr>
      <w:r>
        <w:rPr>
          <w:b/>
          <w:bCs/>
        </w:rPr>
        <w:t xml:space="preserve">CONSTRUCT LIFECYCLE</w:t>
      </w:r>
    </w:p>
    <w:bookmarkEnd w:id="23"/>
    <w:bookmarkStart w:id="24" w:name="product-brand"/>
    <w:p>
      <w:pPr>
        <w:pStyle w:val="Heading2"/>
      </w:pPr>
      <w:r>
        <w:t xml:space="preserve">Product Brand</w:t>
      </w:r>
    </w:p>
    <w:p>
      <w:pPr>
        <w:pStyle w:val="FirstParagraph"/>
      </w:pPr>
      <w:r>
        <w:rPr>
          <w:b/>
          <w:bCs/>
        </w:rPr>
        <w:t xml:space="preserve">CONSTRUCT LC</w:t>
      </w:r>
    </w:p>
    <w:bookmarkEnd w:id="24"/>
    <w:bookmarkStart w:id="35" w:name="potential-future-modules"/>
    <w:p>
      <w:pPr>
        <w:pStyle w:val="Heading2"/>
      </w:pPr>
      <w:r>
        <w:t xml:space="preserve">Potential Future Modules</w:t>
      </w:r>
    </w:p>
    <w:bookmarkStart w:id="25" w:name="construct-lc-opportunities"/>
    <w:p>
      <w:pPr>
        <w:pStyle w:val="Heading3"/>
      </w:pPr>
      <w:r>
        <w:t xml:space="preserve">Construct LC | Opportunities</w:t>
      </w:r>
    </w:p>
    <w:p>
      <w:pPr>
        <w:pStyle w:val="FirstParagraph"/>
      </w:pPr>
      <w:r>
        <w:t xml:space="preserve">Opportunity and project pipeline management.</w:t>
      </w:r>
    </w:p>
    <w:bookmarkEnd w:id="25"/>
    <w:bookmarkStart w:id="26" w:name="construct-lc-bids"/>
    <w:p>
      <w:pPr>
        <w:pStyle w:val="Heading3"/>
      </w:pPr>
      <w:r>
        <w:t xml:space="preserve">Construct LC | Bids</w:t>
      </w:r>
    </w:p>
    <w:p>
      <w:pPr>
        <w:pStyle w:val="FirstParagraph"/>
      </w:pPr>
      <w:r>
        <w:t xml:space="preserve">Bid management, invitations, bid tracking, and proposal workflows.</w:t>
      </w:r>
    </w:p>
    <w:bookmarkEnd w:id="26"/>
    <w:bookmarkStart w:id="27" w:name="construct-lc-estimates"/>
    <w:p>
      <w:pPr>
        <w:pStyle w:val="Heading3"/>
      </w:pPr>
      <w:r>
        <w:t xml:space="preserve">Construct LC | Estimates</w:t>
      </w:r>
    </w:p>
    <w:p>
      <w:pPr>
        <w:pStyle w:val="FirstParagraph"/>
      </w:pPr>
      <w:r>
        <w:t xml:space="preserve">Estimating, pricing, takeoffs, and quote management.</w:t>
      </w:r>
    </w:p>
    <w:bookmarkEnd w:id="27"/>
    <w:bookmarkStart w:id="28" w:name="construct-lc-contracts"/>
    <w:p>
      <w:pPr>
        <w:pStyle w:val="Heading3"/>
      </w:pPr>
      <w:r>
        <w:t xml:space="preserve">Construct LC | Contracts</w:t>
      </w:r>
    </w:p>
    <w:p>
      <w:pPr>
        <w:pStyle w:val="FirstParagraph"/>
      </w:pPr>
      <w:r>
        <w:t xml:space="preserve">Award, contract, scope, commitments, and project setup.</w:t>
      </w:r>
    </w:p>
    <w:bookmarkEnd w:id="28"/>
    <w:bookmarkStart w:id="29" w:name="construct-lc-products"/>
    <w:p>
      <w:pPr>
        <w:pStyle w:val="Heading3"/>
      </w:pPr>
      <w:r>
        <w:t xml:space="preserve">Construct LC | Products</w:t>
      </w:r>
    </w:p>
    <w:p>
      <w:pPr>
        <w:pStyle w:val="FirstParagraph"/>
      </w:pPr>
      <w:r>
        <w:t xml:space="preserve">Product catalog, specifications, selections, and product data.</w:t>
      </w:r>
    </w:p>
    <w:bookmarkEnd w:id="29"/>
    <w:bookmarkStart w:id="30" w:name="construct-lc-procurement"/>
    <w:p>
      <w:pPr>
        <w:pStyle w:val="Heading3"/>
      </w:pPr>
      <w:r>
        <w:t xml:space="preserve">Construct LC | Procurement</w:t>
      </w:r>
    </w:p>
    <w:p>
      <w:pPr>
        <w:pStyle w:val="FirstParagraph"/>
      </w:pPr>
      <w:r>
        <w:t xml:space="preserve">Purchasing, vendor management, purchase orders, and material requirements.</w:t>
      </w:r>
    </w:p>
    <w:bookmarkEnd w:id="30"/>
    <w:bookmarkStart w:id="31" w:name="construct-lc-deliveries"/>
    <w:p>
      <w:pPr>
        <w:pStyle w:val="Heading3"/>
      </w:pPr>
      <w:r>
        <w:t xml:space="preserve">Construct LC | Deliveries</w:t>
      </w:r>
    </w:p>
    <w:p>
      <w:pPr>
        <w:pStyle w:val="FirstParagraph"/>
      </w:pPr>
      <w:r>
        <w:t xml:space="preserve">Material scheduling, delivery tracking, receiving, and fulfillment.</w:t>
      </w:r>
    </w:p>
    <w:bookmarkEnd w:id="31"/>
    <w:bookmarkStart w:id="32" w:name="construct-lc-financials"/>
    <w:p>
      <w:pPr>
        <w:pStyle w:val="Heading3"/>
      </w:pPr>
      <w:r>
        <w:t xml:space="preserve">Construct LC | Financials</w:t>
      </w:r>
    </w:p>
    <w:p>
      <w:pPr>
        <w:pStyle w:val="FirstParagraph"/>
      </w:pPr>
      <w:r>
        <w:t xml:space="preserve">Project costs, revenue, margin, commitments, billing, and financial performance.</w:t>
      </w:r>
    </w:p>
    <w:bookmarkEnd w:id="32"/>
    <w:bookmarkStart w:id="33" w:name="construct-lc-closeout"/>
    <w:p>
      <w:pPr>
        <w:pStyle w:val="Heading3"/>
      </w:pPr>
      <w:r>
        <w:t xml:space="preserve">Construct LC | Closeout</w:t>
      </w:r>
    </w:p>
    <w:p>
      <w:pPr>
        <w:pStyle w:val="FirstParagraph"/>
      </w:pPr>
      <w:r>
        <w:t xml:space="preserve">Final documentation, punch items, billing completion, and project closeout.</w:t>
      </w:r>
    </w:p>
    <w:bookmarkEnd w:id="33"/>
    <w:bookmarkStart w:id="34" w:name="construct-lc-intelligence"/>
    <w:p>
      <w:pPr>
        <w:pStyle w:val="Heading3"/>
      </w:pPr>
      <w:r>
        <w:t xml:space="preserve">Construct LC | Intelligence</w:t>
      </w:r>
    </w:p>
    <w:p>
      <w:pPr>
        <w:pStyle w:val="FirstParagraph"/>
      </w:pPr>
      <w:r>
        <w:t xml:space="preserve">Analytics, dashboards, automation, and AI-assisted insights.</w:t>
      </w:r>
    </w:p>
    <w:p>
      <w:r>
        <w:pict>
          <v:rect style="width:0;height:1.5pt" o:hralign="center" o:hrstd="t" o:hr="t"/>
        </w:pict>
      </w:r>
    </w:p>
    <w:bookmarkEnd w:id="34"/>
    <w:bookmarkEnd w:id="35"/>
    <w:bookmarkEnd w:id="36"/>
    <w:bookmarkStart w:id="40" w:name="logo-system"/>
    <w:p>
      <w:pPr>
        <w:pStyle w:val="Heading1"/>
      </w:pPr>
      <w:r>
        <w:t xml:space="preserve">5. Logo System</w:t>
      </w:r>
    </w:p>
    <w:p>
      <w:pPr>
        <w:pStyle w:val="FirstParagraph"/>
      </w:pPr>
      <w:r>
        <w:t xml:space="preserve">The Construct Lifecycle identity consists of three primary components.</w:t>
      </w:r>
    </w:p>
    <w:bookmarkStart w:id="37" w:name="a.-primary-logo"/>
    <w:p>
      <w:pPr>
        <w:pStyle w:val="Heading2"/>
      </w:pPr>
      <w:r>
        <w:t xml:space="preserve">A. Primary Logo</w:t>
      </w:r>
    </w:p>
    <w:p>
      <w:pPr>
        <w:pStyle w:val="FirstParagraph"/>
      </w:pPr>
      <w:r>
        <w:rPr>
          <w:b/>
          <w:bCs/>
        </w:rPr>
        <w:t xml:space="preserve">CONSTRUCT LIFECYCLE</w:t>
      </w:r>
    </w:p>
    <w:p>
      <w:pPr>
        <w:pStyle w:val="BodyText"/>
      </w:pPr>
      <w:r>
        <w:t xml:space="preserve">Used for:</w:t>
      </w:r>
    </w:p>
    <w:p>
      <w:pPr>
        <w:pStyle w:val="Compact"/>
        <w:numPr>
          <w:ilvl w:val="0"/>
          <w:numId w:val="1003"/>
        </w:numPr>
      </w:pPr>
      <w:r>
        <w:t xml:space="preserve">Website</w:t>
      </w:r>
    </w:p>
    <w:p>
      <w:pPr>
        <w:pStyle w:val="Compact"/>
        <w:numPr>
          <w:ilvl w:val="0"/>
          <w:numId w:val="1003"/>
        </w:numPr>
      </w:pPr>
      <w:r>
        <w:t xml:space="preserve">Corporate presentations</w:t>
      </w:r>
    </w:p>
    <w:p>
      <w:pPr>
        <w:pStyle w:val="Compact"/>
        <w:numPr>
          <w:ilvl w:val="0"/>
          <w:numId w:val="1003"/>
        </w:numPr>
      </w:pPr>
      <w:r>
        <w:t xml:space="preserve">Proposals</w:t>
      </w:r>
    </w:p>
    <w:p>
      <w:pPr>
        <w:pStyle w:val="Compact"/>
        <w:numPr>
          <w:ilvl w:val="0"/>
          <w:numId w:val="1003"/>
        </w:numPr>
      </w:pPr>
      <w:r>
        <w:t xml:space="preserve">Sales collateral</w:t>
      </w:r>
    </w:p>
    <w:p>
      <w:pPr>
        <w:pStyle w:val="Compact"/>
        <w:numPr>
          <w:ilvl w:val="0"/>
          <w:numId w:val="1003"/>
        </w:numPr>
      </w:pPr>
      <w:r>
        <w:t xml:space="preserve">Documents</w:t>
      </w:r>
    </w:p>
    <w:p>
      <w:pPr>
        <w:pStyle w:val="Compact"/>
        <w:numPr>
          <w:ilvl w:val="0"/>
          <w:numId w:val="1003"/>
        </w:numPr>
      </w:pPr>
      <w:r>
        <w:t xml:space="preserve">Marketing</w:t>
      </w:r>
    </w:p>
    <w:p>
      <w:pPr>
        <w:pStyle w:val="Compact"/>
        <w:numPr>
          <w:ilvl w:val="0"/>
          <w:numId w:val="1003"/>
        </w:numPr>
      </w:pPr>
      <w:r>
        <w:t xml:space="preserve">Email signatures</w:t>
      </w:r>
    </w:p>
    <w:p>
      <w:pPr>
        <w:pStyle w:val="Compact"/>
        <w:numPr>
          <w:ilvl w:val="0"/>
          <w:numId w:val="1003"/>
        </w:numPr>
      </w:pPr>
      <w:r>
        <w:t xml:space="preserve">Formal communications</w:t>
      </w:r>
    </w:p>
    <w:p>
      <w:pPr>
        <w:pStyle w:val="FirstParagraph"/>
      </w:pPr>
      <w:r>
        <w:t xml:space="preserve">The primary logo should generally appear on a light or white background.</w:t>
      </w:r>
    </w:p>
    <w:bookmarkEnd w:id="37"/>
    <w:bookmarkStart w:id="38" w:name="b.-monogram"/>
    <w:p>
      <w:pPr>
        <w:pStyle w:val="Heading2"/>
      </w:pPr>
      <w:r>
        <w:t xml:space="preserve">B. Monogram</w:t>
      </w:r>
    </w:p>
    <w:p>
      <w:pPr>
        <w:pStyle w:val="FirstParagraph"/>
      </w:pPr>
      <w:r>
        <w:rPr>
          <w:b/>
          <w:bCs/>
        </w:rPr>
        <w:t xml:space="preserve">CL</w:t>
      </w:r>
    </w:p>
    <w:p>
      <w:pPr>
        <w:pStyle w:val="BodyText"/>
      </w:pPr>
      <w:r>
        <w:t xml:space="preserve">The CL mark represents:</w:t>
      </w:r>
    </w:p>
    <w:p>
      <w:pPr>
        <w:pStyle w:val="Compact"/>
        <w:numPr>
          <w:ilvl w:val="0"/>
          <w:numId w:val="1004"/>
        </w:numPr>
      </w:pPr>
      <w:r>
        <w:t xml:space="preserve">Construct</w:t>
      </w:r>
    </w:p>
    <w:p>
      <w:pPr>
        <w:pStyle w:val="Compact"/>
        <w:numPr>
          <w:ilvl w:val="0"/>
          <w:numId w:val="1004"/>
        </w:numPr>
      </w:pPr>
      <w:r>
        <w:t xml:space="preserve">Lifecycle</w:t>
      </w:r>
    </w:p>
    <w:p>
      <w:pPr>
        <w:pStyle w:val="Compact"/>
        <w:numPr>
          <w:ilvl w:val="0"/>
          <w:numId w:val="1004"/>
        </w:numPr>
      </w:pPr>
      <w:r>
        <w:t xml:space="preserve">Construction</w:t>
      </w:r>
    </w:p>
    <w:p>
      <w:pPr>
        <w:pStyle w:val="Compact"/>
        <w:numPr>
          <w:ilvl w:val="0"/>
          <w:numId w:val="1004"/>
        </w:numPr>
      </w:pPr>
      <w:r>
        <w:t xml:space="preserve">Progress</w:t>
      </w:r>
    </w:p>
    <w:p>
      <w:pPr>
        <w:pStyle w:val="Compact"/>
        <w:numPr>
          <w:ilvl w:val="0"/>
          <w:numId w:val="1004"/>
        </w:numPr>
      </w:pPr>
      <w:r>
        <w:t xml:space="preserve">Connected stages</w:t>
      </w:r>
    </w:p>
    <w:p>
      <w:pPr>
        <w:pStyle w:val="Compact"/>
        <w:numPr>
          <w:ilvl w:val="0"/>
          <w:numId w:val="1004"/>
        </w:numPr>
      </w:pPr>
      <w:r>
        <w:t xml:space="preserve">Growth</w:t>
      </w:r>
    </w:p>
    <w:p>
      <w:pPr>
        <w:pStyle w:val="FirstParagraph"/>
      </w:pPr>
      <w:r>
        <w:t xml:space="preserve">The ascending structural elements reinforce the idea of a project progressing through its lifecycle.</w:t>
      </w:r>
    </w:p>
    <w:bookmarkEnd w:id="38"/>
    <w:bookmarkStart w:id="39" w:name="c.-application-icon"/>
    <w:p>
      <w:pPr>
        <w:pStyle w:val="Heading2"/>
      </w:pPr>
      <w:r>
        <w:t xml:space="preserve">C. Application Icon</w:t>
      </w:r>
    </w:p>
    <w:p>
      <w:pPr>
        <w:pStyle w:val="FirstParagraph"/>
      </w:pPr>
      <w:r>
        <w:t xml:space="preserve">The square CL icon is the primary digital product identifier.</w:t>
      </w:r>
    </w:p>
    <w:p>
      <w:pPr>
        <w:pStyle w:val="BodyText"/>
      </w:pPr>
      <w:r>
        <w:t xml:space="preserve">Use it for:</w:t>
      </w:r>
    </w:p>
    <w:p>
      <w:pPr>
        <w:pStyle w:val="Compact"/>
        <w:numPr>
          <w:ilvl w:val="0"/>
          <w:numId w:val="1005"/>
        </w:numPr>
      </w:pPr>
      <w:r>
        <w:t xml:space="preserve">Web application</w:t>
      </w:r>
    </w:p>
    <w:p>
      <w:pPr>
        <w:pStyle w:val="Compact"/>
        <w:numPr>
          <w:ilvl w:val="0"/>
          <w:numId w:val="1005"/>
        </w:numPr>
      </w:pPr>
      <w:r>
        <w:t xml:space="preserve">Browser favicon</w:t>
      </w:r>
    </w:p>
    <w:p>
      <w:pPr>
        <w:pStyle w:val="Compact"/>
        <w:numPr>
          <w:ilvl w:val="0"/>
          <w:numId w:val="1005"/>
        </w:numPr>
      </w:pPr>
      <w:r>
        <w:t xml:space="preserve">Mobile application</w:t>
      </w:r>
    </w:p>
    <w:p>
      <w:pPr>
        <w:pStyle w:val="Compact"/>
        <w:numPr>
          <w:ilvl w:val="0"/>
          <w:numId w:val="1005"/>
        </w:numPr>
      </w:pPr>
      <w:r>
        <w:t xml:space="preserve">Desktop shortcut</w:t>
      </w:r>
    </w:p>
    <w:p>
      <w:pPr>
        <w:pStyle w:val="Compact"/>
        <w:numPr>
          <w:ilvl w:val="0"/>
          <w:numId w:val="1005"/>
        </w:numPr>
      </w:pPr>
      <w:r>
        <w:t xml:space="preserve">SaaS navigation</w:t>
      </w:r>
    </w:p>
    <w:p>
      <w:pPr>
        <w:pStyle w:val="Compact"/>
        <w:numPr>
          <w:ilvl w:val="0"/>
          <w:numId w:val="1005"/>
        </w:numPr>
      </w:pPr>
      <w:r>
        <w:t xml:space="preserve">User portal</w:t>
      </w:r>
    </w:p>
    <w:p>
      <w:pPr>
        <w:pStyle w:val="Compact"/>
        <w:numPr>
          <w:ilvl w:val="0"/>
          <w:numId w:val="1005"/>
        </w:numPr>
      </w:pPr>
      <w:r>
        <w:t xml:space="preserve">Social profiles</w:t>
      </w:r>
    </w:p>
    <w:p>
      <w:pPr>
        <w:pStyle w:val="Compact"/>
        <w:numPr>
          <w:ilvl w:val="0"/>
          <w:numId w:val="1005"/>
        </w:numPr>
      </w:pPr>
      <w:r>
        <w:t xml:space="preserve">Product documentation</w:t>
      </w:r>
    </w:p>
    <w:p>
      <w:r>
        <w:pict>
          <v:rect style="width:0;height:1.5pt" o:hralign="center" o:hrstd="t" o:hr="t"/>
        </w:pict>
      </w:r>
    </w:p>
    <w:bookmarkEnd w:id="39"/>
    <w:bookmarkEnd w:id="40"/>
    <w:bookmarkStart w:id="43" w:name="logo-usage"/>
    <w:p>
      <w:pPr>
        <w:pStyle w:val="Heading1"/>
      </w:pPr>
      <w:r>
        <w:t xml:space="preserve">6. Logo Usage</w:t>
      </w:r>
    </w:p>
    <w:bookmarkStart w:id="41" w:name="clear-space"/>
    <w:p>
      <w:pPr>
        <w:pStyle w:val="Heading2"/>
      </w:pPr>
      <w:r>
        <w:t xml:space="preserve">Clear Space</w:t>
      </w:r>
    </w:p>
    <w:p>
      <w:pPr>
        <w:pStyle w:val="FirstParagraph"/>
      </w:pPr>
      <w:r>
        <w:t xml:space="preserve">Maintain clear space around the logo equal to at least the height of the</w:t>
      </w:r>
      <w:r>
        <w:t xml:space="preserve"> </w:t>
      </w:r>
      <w:r>
        <w:rPr>
          <w:b/>
          <w:bCs/>
        </w:rPr>
        <w:t xml:space="preserve">C</w:t>
      </w:r>
      <w:r>
        <w:t xml:space="preserve"> </w:t>
      </w:r>
      <w:r>
        <w:t xml:space="preserve">in the CL symbol.</w:t>
      </w:r>
    </w:p>
    <w:p>
      <w:pPr>
        <w:pStyle w:val="BodyText"/>
      </w:pPr>
      <w:r>
        <w:t xml:space="preserve">Do not allow text, graphics, borders, or other logos to intrude into this area.</w:t>
      </w:r>
    </w:p>
    <w:bookmarkEnd w:id="41"/>
    <w:bookmarkStart w:id="42" w:name="minimum-size"/>
    <w:p>
      <w:pPr>
        <w:pStyle w:val="Heading2"/>
      </w:pPr>
      <w:r>
        <w:t xml:space="preserve">Minimum Size</w:t>
      </w:r>
    </w:p>
    <w:p>
      <w:pPr>
        <w:pStyle w:val="FirstParagraph"/>
      </w:pPr>
      <w:r>
        <w:t xml:space="preserve">For digital applications:</w:t>
      </w:r>
    </w:p>
    <w:p>
      <w:pPr>
        <w:pStyle w:val="BodyText"/>
      </w:pPr>
      <w:r>
        <w:rPr>
          <w:b/>
          <w:bCs/>
        </w:rPr>
        <w:t xml:space="preserve">Primary logo:</w:t>
      </w:r>
      <w:r>
        <w:t xml:space="preserve"> </w:t>
      </w:r>
      <w:r>
        <w:t xml:space="preserve">minimum approximately 160 px wide.</w:t>
      </w:r>
    </w:p>
    <w:p>
      <w:pPr>
        <w:pStyle w:val="BodyText"/>
      </w:pPr>
      <w:r>
        <w:rPr>
          <w:b/>
          <w:bCs/>
        </w:rPr>
        <w:t xml:space="preserve">Icon:</w:t>
      </w:r>
      <w:r>
        <w:t xml:space="preserve"> </w:t>
      </w:r>
      <w:r>
        <w:t xml:space="preserve">minimum approximately 32 × 32 px.</w:t>
      </w:r>
    </w:p>
    <w:p>
      <w:pPr>
        <w:pStyle w:val="BodyText"/>
      </w:pPr>
      <w:r>
        <w:t xml:space="preserve">For print:</w:t>
      </w:r>
    </w:p>
    <w:p>
      <w:pPr>
        <w:pStyle w:val="BodyText"/>
      </w:pPr>
      <w:r>
        <w:rPr>
          <w:b/>
          <w:bCs/>
        </w:rPr>
        <w:t xml:space="preserve">Primary logo:</w:t>
      </w:r>
      <w:r>
        <w:t xml:space="preserve"> </w:t>
      </w:r>
      <w:r>
        <w:t xml:space="preserve">minimum approximately 1.25 inches wide.</w:t>
      </w:r>
    </w:p>
    <w:p>
      <w:r>
        <w:pict>
          <v:rect style="width:0;height:1.5pt" o:hralign="center" o:hrstd="t" o:hr="t"/>
        </w:pict>
      </w:r>
    </w:p>
    <w:bookmarkEnd w:id="42"/>
    <w:bookmarkEnd w:id="43"/>
    <w:bookmarkStart w:id="44" w:name="logo-donts"/>
    <w:p>
      <w:pPr>
        <w:pStyle w:val="Heading1"/>
      </w:pPr>
      <w:r>
        <w:t xml:space="preserve">7. Logo Don’ts</w:t>
      </w:r>
    </w:p>
    <w:p>
      <w:pPr>
        <w:pStyle w:val="FirstParagraph"/>
      </w:pPr>
      <w:r>
        <w:t xml:space="preserve">Do not:</w:t>
      </w:r>
    </w:p>
    <w:p>
      <w:pPr>
        <w:pStyle w:val="Compact"/>
        <w:numPr>
          <w:ilvl w:val="0"/>
          <w:numId w:val="1006"/>
        </w:numPr>
      </w:pPr>
      <w:r>
        <w:t xml:space="preserve">Stretch or distort the logo</w:t>
      </w:r>
    </w:p>
    <w:p>
      <w:pPr>
        <w:pStyle w:val="Compact"/>
        <w:numPr>
          <w:ilvl w:val="0"/>
          <w:numId w:val="1006"/>
        </w:numPr>
      </w:pPr>
      <w:r>
        <w:t xml:space="preserve">Rotate the logo</w:t>
      </w:r>
    </w:p>
    <w:p>
      <w:pPr>
        <w:pStyle w:val="Compact"/>
        <w:numPr>
          <w:ilvl w:val="0"/>
          <w:numId w:val="1006"/>
        </w:numPr>
      </w:pPr>
      <w:r>
        <w:t xml:space="preserve">Change the proportions</w:t>
      </w:r>
    </w:p>
    <w:p>
      <w:pPr>
        <w:pStyle w:val="Compact"/>
        <w:numPr>
          <w:ilvl w:val="0"/>
          <w:numId w:val="1006"/>
        </w:numPr>
      </w:pPr>
      <w:r>
        <w:t xml:space="preserve">Add drop shadows</w:t>
      </w:r>
    </w:p>
    <w:p>
      <w:pPr>
        <w:pStyle w:val="Compact"/>
        <w:numPr>
          <w:ilvl w:val="0"/>
          <w:numId w:val="1006"/>
        </w:numPr>
      </w:pPr>
      <w:r>
        <w:t xml:space="preserve">Add outlines</w:t>
      </w:r>
    </w:p>
    <w:p>
      <w:pPr>
        <w:pStyle w:val="Compact"/>
        <w:numPr>
          <w:ilvl w:val="0"/>
          <w:numId w:val="1006"/>
        </w:numPr>
      </w:pPr>
      <w:r>
        <w:t xml:space="preserve">Replace the brand colors randomly</w:t>
      </w:r>
    </w:p>
    <w:p>
      <w:pPr>
        <w:pStyle w:val="Compact"/>
        <w:numPr>
          <w:ilvl w:val="0"/>
          <w:numId w:val="1006"/>
        </w:numPr>
      </w:pPr>
      <w:r>
        <w:t xml:space="preserve">Place the logo over visually complex backgrounds</w:t>
      </w:r>
    </w:p>
    <w:p>
      <w:pPr>
        <w:pStyle w:val="Compact"/>
        <w:numPr>
          <w:ilvl w:val="0"/>
          <w:numId w:val="1006"/>
        </w:numPr>
      </w:pPr>
      <w:r>
        <w:t xml:space="preserve">Rearrange the logo components</w:t>
      </w:r>
    </w:p>
    <w:p>
      <w:pPr>
        <w:pStyle w:val="Compact"/>
        <w:numPr>
          <w:ilvl w:val="0"/>
          <w:numId w:val="1006"/>
        </w:numPr>
      </w:pPr>
      <w:r>
        <w:t xml:space="preserve">Remove portions of the CL mark</w:t>
      </w:r>
    </w:p>
    <w:p>
      <w:pPr>
        <w:pStyle w:val="Compact"/>
        <w:numPr>
          <w:ilvl w:val="0"/>
          <w:numId w:val="1006"/>
        </w:numPr>
      </w:pPr>
      <w:r>
        <w:t xml:space="preserve">Use unofficial fonts</w:t>
      </w:r>
    </w:p>
    <w:p>
      <w:pPr>
        <w:pStyle w:val="Compact"/>
        <w:numPr>
          <w:ilvl w:val="0"/>
          <w:numId w:val="1006"/>
        </w:numPr>
      </w:pPr>
      <w:r>
        <w:t xml:space="preserve">Add decorative effects</w:t>
      </w:r>
    </w:p>
    <w:p>
      <w:pPr>
        <w:pStyle w:val="FirstParagraph"/>
      </w:pPr>
      <w:r>
        <w:t xml:space="preserve">The logo should remain clean, geometric, and corporate.</w:t>
      </w:r>
    </w:p>
    <w:p>
      <w:r>
        <w:pict>
          <v:rect style="width:0;height:1.5pt" o:hralign="center" o:hrstd="t" o:hr="t"/>
        </w:pict>
      </w:r>
    </w:p>
    <w:bookmarkEnd w:id="44"/>
    <w:bookmarkStart w:id="51" w:name="color-palette"/>
    <w:p>
      <w:pPr>
        <w:pStyle w:val="Heading1"/>
      </w:pPr>
      <w:r>
        <w:t xml:space="preserve">8. Color Palette</w:t>
      </w:r>
    </w:p>
    <w:p>
      <w:pPr>
        <w:pStyle w:val="FirstParagraph"/>
      </w:pPr>
      <w:r>
        <w:t xml:space="preserve">The visual identity is built around a deep construction/technology navy, a strong blue, neutral gray, and white.</w:t>
      </w:r>
    </w:p>
    <w:bookmarkStart w:id="45" w:name="primary-navy"/>
    <w:p>
      <w:pPr>
        <w:pStyle w:val="Heading2"/>
      </w:pPr>
      <w:r>
        <w:t xml:space="preserve">Primary Navy</w:t>
      </w:r>
    </w:p>
    <w:p>
      <w:pPr>
        <w:pStyle w:val="FirstParagraph"/>
      </w:pPr>
      <w:r>
        <w:rPr>
          <w:b/>
          <w:bCs/>
        </w:rPr>
        <w:t xml:space="preserve">Construct Navy</w:t>
      </w:r>
    </w:p>
    <w:p>
      <w:pPr>
        <w:pStyle w:val="BodyText"/>
      </w:pPr>
      <w:r>
        <w:t xml:space="preserve">Approximate HEX:</w:t>
      </w:r>
      <w:r>
        <w:t xml:space="preserve"> </w:t>
      </w:r>
      <w:r>
        <w:rPr>
          <w:b/>
          <w:bCs/>
        </w:rPr>
        <w:t xml:space="preserve">#062B55</w:t>
      </w:r>
    </w:p>
    <w:p>
      <w:pPr>
        <w:pStyle w:val="BodyText"/>
      </w:pPr>
      <w:r>
        <w:t xml:space="preserve">Use for:</w:t>
      </w:r>
    </w:p>
    <w:p>
      <w:pPr>
        <w:pStyle w:val="Compact"/>
        <w:numPr>
          <w:ilvl w:val="0"/>
          <w:numId w:val="1007"/>
        </w:numPr>
      </w:pPr>
      <w:r>
        <w:t xml:space="preserve">Primary headings</w:t>
      </w:r>
    </w:p>
    <w:p>
      <w:pPr>
        <w:pStyle w:val="Compact"/>
        <w:numPr>
          <w:ilvl w:val="0"/>
          <w:numId w:val="1007"/>
        </w:numPr>
      </w:pPr>
      <w:r>
        <w:t xml:space="preserve">Navigation</w:t>
      </w:r>
    </w:p>
    <w:p>
      <w:pPr>
        <w:pStyle w:val="Compact"/>
        <w:numPr>
          <w:ilvl w:val="0"/>
          <w:numId w:val="1007"/>
        </w:numPr>
      </w:pPr>
      <w:r>
        <w:t xml:space="preserve">Logo</w:t>
      </w:r>
    </w:p>
    <w:p>
      <w:pPr>
        <w:pStyle w:val="Compact"/>
        <w:numPr>
          <w:ilvl w:val="0"/>
          <w:numId w:val="1007"/>
        </w:numPr>
      </w:pPr>
      <w:r>
        <w:t xml:space="preserve">Application interface</w:t>
      </w:r>
    </w:p>
    <w:p>
      <w:pPr>
        <w:pStyle w:val="Compact"/>
        <w:numPr>
          <w:ilvl w:val="0"/>
          <w:numId w:val="1007"/>
        </w:numPr>
      </w:pPr>
      <w:r>
        <w:t xml:space="preserve">Dark backgrounds</w:t>
      </w:r>
    </w:p>
    <w:p>
      <w:pPr>
        <w:pStyle w:val="Compact"/>
        <w:numPr>
          <w:ilvl w:val="0"/>
          <w:numId w:val="1007"/>
        </w:numPr>
      </w:pPr>
      <w:r>
        <w:t xml:space="preserve">Primary brand elements</w:t>
      </w:r>
    </w:p>
    <w:bookmarkEnd w:id="45"/>
    <w:bookmarkStart w:id="46" w:name="primary-blue"/>
    <w:p>
      <w:pPr>
        <w:pStyle w:val="Heading2"/>
      </w:pPr>
      <w:r>
        <w:t xml:space="preserve">Primary Blue</w:t>
      </w:r>
    </w:p>
    <w:p>
      <w:pPr>
        <w:pStyle w:val="FirstParagraph"/>
      </w:pPr>
      <w:r>
        <w:rPr>
          <w:b/>
          <w:bCs/>
        </w:rPr>
        <w:t xml:space="preserve">Construct Blue</w:t>
      </w:r>
    </w:p>
    <w:p>
      <w:pPr>
        <w:pStyle w:val="BodyText"/>
      </w:pPr>
      <w:r>
        <w:t xml:space="preserve">Approximate HEX:</w:t>
      </w:r>
      <w:r>
        <w:t xml:space="preserve"> </w:t>
      </w:r>
      <w:r>
        <w:rPr>
          <w:b/>
          <w:bCs/>
        </w:rPr>
        <w:t xml:space="preserve">#1479C9</w:t>
      </w:r>
    </w:p>
    <w:p>
      <w:pPr>
        <w:pStyle w:val="BodyText"/>
      </w:pPr>
      <w:r>
        <w:t xml:space="preserve">Use for:</w:t>
      </w:r>
    </w:p>
    <w:p>
      <w:pPr>
        <w:pStyle w:val="Compact"/>
        <w:numPr>
          <w:ilvl w:val="0"/>
          <w:numId w:val="1008"/>
        </w:numPr>
      </w:pPr>
      <w:r>
        <w:t xml:space="preserve">Calls to action</w:t>
      </w:r>
    </w:p>
    <w:p>
      <w:pPr>
        <w:pStyle w:val="Compact"/>
        <w:numPr>
          <w:ilvl w:val="0"/>
          <w:numId w:val="1008"/>
        </w:numPr>
      </w:pPr>
      <w:r>
        <w:t xml:space="preserve">Links</w:t>
      </w:r>
    </w:p>
    <w:p>
      <w:pPr>
        <w:pStyle w:val="Compact"/>
        <w:numPr>
          <w:ilvl w:val="0"/>
          <w:numId w:val="1008"/>
        </w:numPr>
      </w:pPr>
      <w:r>
        <w:t xml:space="preserve">Secondary logo elements</w:t>
      </w:r>
    </w:p>
    <w:p>
      <w:pPr>
        <w:pStyle w:val="Compact"/>
        <w:numPr>
          <w:ilvl w:val="0"/>
          <w:numId w:val="1008"/>
        </w:numPr>
      </w:pPr>
      <w:r>
        <w:t xml:space="preserve">Interactive elements</w:t>
      </w:r>
    </w:p>
    <w:p>
      <w:pPr>
        <w:pStyle w:val="Compact"/>
        <w:numPr>
          <w:ilvl w:val="0"/>
          <w:numId w:val="1008"/>
        </w:numPr>
      </w:pPr>
      <w:r>
        <w:t xml:space="preserve">Data visualization</w:t>
      </w:r>
    </w:p>
    <w:p>
      <w:pPr>
        <w:pStyle w:val="Compact"/>
        <w:numPr>
          <w:ilvl w:val="0"/>
          <w:numId w:val="1008"/>
        </w:numPr>
      </w:pPr>
      <w:r>
        <w:t xml:space="preserve">Progress indicators</w:t>
      </w:r>
    </w:p>
    <w:bookmarkEnd w:id="46"/>
    <w:bookmarkStart w:id="47" w:name="structural-gray"/>
    <w:p>
      <w:pPr>
        <w:pStyle w:val="Heading2"/>
      </w:pPr>
      <w:r>
        <w:t xml:space="preserve">Structural Gray</w:t>
      </w:r>
    </w:p>
    <w:p>
      <w:pPr>
        <w:pStyle w:val="FirstParagraph"/>
      </w:pPr>
      <w:r>
        <w:rPr>
          <w:b/>
          <w:bCs/>
        </w:rPr>
        <w:t xml:space="preserve">Construct Gray</w:t>
      </w:r>
    </w:p>
    <w:p>
      <w:pPr>
        <w:pStyle w:val="BodyText"/>
      </w:pPr>
      <w:r>
        <w:t xml:space="preserve">Approximate HEX:</w:t>
      </w:r>
      <w:r>
        <w:t xml:space="preserve"> </w:t>
      </w:r>
      <w:r>
        <w:rPr>
          <w:b/>
          <w:bCs/>
        </w:rPr>
        <w:t xml:space="preserve">#6B7075</w:t>
      </w:r>
    </w:p>
    <w:p>
      <w:pPr>
        <w:pStyle w:val="BodyText"/>
      </w:pPr>
      <w:r>
        <w:t xml:space="preserve">Use for:</w:t>
      </w:r>
    </w:p>
    <w:p>
      <w:pPr>
        <w:pStyle w:val="Compact"/>
        <w:numPr>
          <w:ilvl w:val="0"/>
          <w:numId w:val="1009"/>
        </w:numPr>
      </w:pPr>
      <w:r>
        <w:t xml:space="preserve">Supporting text</w:t>
      </w:r>
    </w:p>
    <w:p>
      <w:pPr>
        <w:pStyle w:val="Compact"/>
        <w:numPr>
          <w:ilvl w:val="0"/>
          <w:numId w:val="1009"/>
        </w:numPr>
      </w:pPr>
      <w:r>
        <w:t xml:space="preserve">Secondary information</w:t>
      </w:r>
    </w:p>
    <w:p>
      <w:pPr>
        <w:pStyle w:val="Compact"/>
        <w:numPr>
          <w:ilvl w:val="0"/>
          <w:numId w:val="1009"/>
        </w:numPr>
      </w:pPr>
      <w:r>
        <w:t xml:space="preserve">Metadata</w:t>
      </w:r>
    </w:p>
    <w:p>
      <w:pPr>
        <w:pStyle w:val="Compact"/>
        <w:numPr>
          <w:ilvl w:val="0"/>
          <w:numId w:val="1009"/>
        </w:numPr>
      </w:pPr>
      <w:r>
        <w:t xml:space="preserve">Dividers</w:t>
      </w:r>
    </w:p>
    <w:p>
      <w:pPr>
        <w:pStyle w:val="Compact"/>
        <w:numPr>
          <w:ilvl w:val="0"/>
          <w:numId w:val="1009"/>
        </w:numPr>
      </w:pPr>
      <w:r>
        <w:t xml:space="preserve">Neutral interface elements</w:t>
      </w:r>
    </w:p>
    <w:bookmarkEnd w:id="47"/>
    <w:bookmarkStart w:id="48" w:name="light-gray"/>
    <w:p>
      <w:pPr>
        <w:pStyle w:val="Heading2"/>
      </w:pPr>
      <w:r>
        <w:t xml:space="preserve">Light Gray</w:t>
      </w:r>
    </w:p>
    <w:p>
      <w:pPr>
        <w:pStyle w:val="FirstParagraph"/>
      </w:pPr>
      <w:r>
        <w:rPr>
          <w:b/>
          <w:bCs/>
        </w:rPr>
        <w:t xml:space="preserve">Construct Light</w:t>
      </w:r>
    </w:p>
    <w:p>
      <w:pPr>
        <w:pStyle w:val="BodyText"/>
      </w:pPr>
      <w:r>
        <w:t xml:space="preserve">Approximate HEX:</w:t>
      </w:r>
      <w:r>
        <w:t xml:space="preserve"> </w:t>
      </w:r>
      <w:r>
        <w:rPr>
          <w:b/>
          <w:bCs/>
        </w:rPr>
        <w:t xml:space="preserve">#F3F5F7</w:t>
      </w:r>
    </w:p>
    <w:p>
      <w:pPr>
        <w:pStyle w:val="BodyText"/>
      </w:pPr>
      <w:r>
        <w:t xml:space="preserve">Use for:</w:t>
      </w:r>
    </w:p>
    <w:p>
      <w:pPr>
        <w:pStyle w:val="Compact"/>
        <w:numPr>
          <w:ilvl w:val="0"/>
          <w:numId w:val="1010"/>
        </w:numPr>
      </w:pPr>
      <w:r>
        <w:t xml:space="preserve">Application backgrounds</w:t>
      </w:r>
    </w:p>
    <w:p>
      <w:pPr>
        <w:pStyle w:val="Compact"/>
        <w:numPr>
          <w:ilvl w:val="0"/>
          <w:numId w:val="1010"/>
        </w:numPr>
      </w:pPr>
      <w:r>
        <w:t xml:space="preserve">Cards</w:t>
      </w:r>
    </w:p>
    <w:p>
      <w:pPr>
        <w:pStyle w:val="Compact"/>
        <w:numPr>
          <w:ilvl w:val="0"/>
          <w:numId w:val="1010"/>
        </w:numPr>
      </w:pPr>
      <w:r>
        <w:t xml:space="preserve">Tables</w:t>
      </w:r>
    </w:p>
    <w:p>
      <w:pPr>
        <w:pStyle w:val="Compact"/>
        <w:numPr>
          <w:ilvl w:val="0"/>
          <w:numId w:val="1010"/>
        </w:numPr>
      </w:pPr>
      <w:r>
        <w:t xml:space="preserve">Secondary sections</w:t>
      </w:r>
    </w:p>
    <w:p>
      <w:pPr>
        <w:pStyle w:val="Compact"/>
        <w:numPr>
          <w:ilvl w:val="0"/>
          <w:numId w:val="1010"/>
        </w:numPr>
      </w:pPr>
      <w:r>
        <w:t xml:space="preserve">UI surfaces</w:t>
      </w:r>
    </w:p>
    <w:bookmarkEnd w:id="48"/>
    <w:bookmarkStart w:id="50" w:name="white"/>
    <w:p>
      <w:pPr>
        <w:pStyle w:val="Heading2"/>
      </w:pPr>
      <w:r>
        <w:t xml:space="preserve">White</w:t>
      </w:r>
    </w:p>
    <w:p>
      <w:pPr>
        <w:pStyle w:val="FirstParagraph"/>
      </w:pPr>
      <w:r>
        <w:rPr>
          <w:b/>
          <w:bCs/>
        </w:rPr>
        <w:t xml:space="preserve">#FFFFFF</w:t>
      </w:r>
    </w:p>
    <w:p>
      <w:pPr>
        <w:pStyle w:val="BodyText"/>
      </w:pPr>
      <w:r>
        <w:t xml:space="preserve">Use for:</w:t>
      </w:r>
    </w:p>
    <w:p>
      <w:pPr>
        <w:pStyle w:val="Compact"/>
        <w:numPr>
          <w:ilvl w:val="0"/>
          <w:numId w:val="1011"/>
        </w:numPr>
      </w:pPr>
      <w:r>
        <w:t xml:space="preserve">Primary backgrounds</w:t>
      </w:r>
    </w:p>
    <w:p>
      <w:pPr>
        <w:pStyle w:val="Compact"/>
        <w:numPr>
          <w:ilvl w:val="0"/>
          <w:numId w:val="1011"/>
        </w:numPr>
      </w:pPr>
      <w:r>
        <w:t xml:space="preserve">Logo reverse treatment</w:t>
      </w:r>
    </w:p>
    <w:p>
      <w:pPr>
        <w:pStyle w:val="Compact"/>
        <w:numPr>
          <w:ilvl w:val="0"/>
          <w:numId w:val="1011"/>
        </w:numPr>
      </w:pPr>
      <w:r>
        <w:t xml:space="preserve">Clean space</w:t>
      </w:r>
    </w:p>
    <w:p>
      <w:pPr>
        <w:pStyle w:val="Compact"/>
        <w:numPr>
          <w:ilvl w:val="0"/>
          <w:numId w:val="1011"/>
        </w:numPr>
      </w:pPr>
      <w:r>
        <w:t xml:space="preserve">Application surfaces</w:t>
      </w:r>
    </w:p>
    <w:bookmarkStart w:id="49" w:name="color-ratio"/>
    <w:p>
      <w:pPr>
        <w:pStyle w:val="Heading3"/>
      </w:pPr>
      <w:r>
        <w:t xml:space="preserve">Color Ratio</w:t>
      </w:r>
    </w:p>
    <w:p>
      <w:pPr>
        <w:pStyle w:val="FirstParagraph"/>
      </w:pPr>
      <w:r>
        <w:t xml:space="preserve">A good starting ratio is:</w:t>
      </w:r>
    </w:p>
    <w:p>
      <w:pPr>
        <w:pStyle w:val="BodyText"/>
      </w:pPr>
      <w:r>
        <w:rPr>
          <w:b/>
          <w:bCs/>
        </w:rPr>
        <w:t xml:space="preserve">60% White / Light Gray</w:t>
      </w:r>
      <w:r>
        <w:br/>
      </w:r>
      <w:r>
        <w:rPr>
          <w:b/>
          <w:bCs/>
        </w:rPr>
        <w:t xml:space="preserve">25% Navy</w:t>
      </w:r>
      <w:r>
        <w:br/>
      </w:r>
      <w:r>
        <w:rPr>
          <w:b/>
          <w:bCs/>
        </w:rPr>
        <w:t xml:space="preserve">10% Blue</w:t>
      </w:r>
      <w:r>
        <w:br/>
      </w:r>
      <w:r>
        <w:rPr>
          <w:b/>
          <w:bCs/>
        </w:rPr>
        <w:t xml:space="preserve">5% Gray</w:t>
      </w:r>
    </w:p>
    <w:p>
      <w:pPr>
        <w:pStyle w:val="BodyText"/>
      </w:pPr>
      <w:r>
        <w:t xml:space="preserve">The product should feel predominantly clean and professional rather than heavily saturated.</w:t>
      </w:r>
    </w:p>
    <w:p>
      <w:r>
        <w:pict>
          <v:rect style="width:0;height:1.5pt" o:hralign="center" o:hrstd="t" o:hr="t"/>
        </w:pict>
      </w:r>
    </w:p>
    <w:bookmarkEnd w:id="49"/>
    <w:bookmarkEnd w:id="50"/>
    <w:bookmarkEnd w:id="51"/>
    <w:bookmarkStart w:id="54" w:name="typography"/>
    <w:p>
      <w:pPr>
        <w:pStyle w:val="Heading1"/>
      </w:pPr>
      <w:r>
        <w:t xml:space="preserve">9. Typography</w:t>
      </w:r>
    </w:p>
    <w:p>
      <w:pPr>
        <w:pStyle w:val="FirstParagraph"/>
      </w:pPr>
      <w:r>
        <w:t xml:space="preserve">Typography should be modern, highly legible, and appropriate for enterprise SaaS.</w:t>
      </w:r>
    </w:p>
    <w:bookmarkStart w:id="52" w:name="primary-typeface"/>
    <w:p>
      <w:pPr>
        <w:pStyle w:val="Heading2"/>
      </w:pPr>
      <w:r>
        <w:t xml:space="preserve">Primary Typeface</w:t>
      </w:r>
    </w:p>
    <w:p>
      <w:pPr>
        <w:pStyle w:val="FirstParagraph"/>
      </w:pPr>
      <w:r>
        <w:rPr>
          <w:b/>
          <w:bCs/>
        </w:rPr>
        <w:t xml:space="preserve">Inter</w:t>
      </w:r>
    </w:p>
    <w:p>
      <w:pPr>
        <w:pStyle w:val="BodyText"/>
      </w:pPr>
      <w:r>
        <w:t xml:space="preserve">Use for:</w:t>
      </w:r>
    </w:p>
    <w:p>
      <w:pPr>
        <w:pStyle w:val="Compact"/>
        <w:numPr>
          <w:ilvl w:val="0"/>
          <w:numId w:val="1012"/>
        </w:numPr>
      </w:pPr>
      <w:r>
        <w:t xml:space="preserve">Website</w:t>
      </w:r>
    </w:p>
    <w:p>
      <w:pPr>
        <w:pStyle w:val="Compact"/>
        <w:numPr>
          <w:ilvl w:val="0"/>
          <w:numId w:val="1012"/>
        </w:numPr>
      </w:pPr>
      <w:r>
        <w:t xml:space="preserve">SaaS interface</w:t>
      </w:r>
    </w:p>
    <w:p>
      <w:pPr>
        <w:pStyle w:val="Compact"/>
        <w:numPr>
          <w:ilvl w:val="0"/>
          <w:numId w:val="1012"/>
        </w:numPr>
      </w:pPr>
      <w:r>
        <w:t xml:space="preserve">Navigation</w:t>
      </w:r>
    </w:p>
    <w:p>
      <w:pPr>
        <w:pStyle w:val="Compact"/>
        <w:numPr>
          <w:ilvl w:val="0"/>
          <w:numId w:val="1012"/>
        </w:numPr>
      </w:pPr>
      <w:r>
        <w:t xml:space="preserve">Headings</w:t>
      </w:r>
    </w:p>
    <w:p>
      <w:pPr>
        <w:pStyle w:val="Compact"/>
        <w:numPr>
          <w:ilvl w:val="0"/>
          <w:numId w:val="1012"/>
        </w:numPr>
      </w:pPr>
      <w:r>
        <w:t xml:space="preserve">Body text</w:t>
      </w:r>
    </w:p>
    <w:p>
      <w:pPr>
        <w:pStyle w:val="Compact"/>
        <w:numPr>
          <w:ilvl w:val="0"/>
          <w:numId w:val="1012"/>
        </w:numPr>
      </w:pPr>
      <w:r>
        <w:t xml:space="preserve">Tables</w:t>
      </w:r>
    </w:p>
    <w:p>
      <w:pPr>
        <w:pStyle w:val="Compact"/>
        <w:numPr>
          <w:ilvl w:val="0"/>
          <w:numId w:val="1012"/>
        </w:numPr>
      </w:pPr>
      <w:r>
        <w:t xml:space="preserve">Dashboards</w:t>
      </w:r>
    </w:p>
    <w:p>
      <w:pPr>
        <w:pStyle w:val="FirstParagraph"/>
      </w:pPr>
      <w:r>
        <w:t xml:space="preserve">Recommended weights:</w:t>
      </w:r>
    </w:p>
    <w:p>
      <w:pPr>
        <w:pStyle w:val="Compact"/>
        <w:numPr>
          <w:ilvl w:val="0"/>
          <w:numId w:val="1013"/>
        </w:numPr>
      </w:pPr>
      <w:r>
        <w:t xml:space="preserve">400 — Regular</w:t>
      </w:r>
    </w:p>
    <w:p>
      <w:pPr>
        <w:pStyle w:val="Compact"/>
        <w:numPr>
          <w:ilvl w:val="0"/>
          <w:numId w:val="1013"/>
        </w:numPr>
      </w:pPr>
      <w:r>
        <w:t xml:space="preserve">500 — Medium</w:t>
      </w:r>
    </w:p>
    <w:p>
      <w:pPr>
        <w:pStyle w:val="Compact"/>
        <w:numPr>
          <w:ilvl w:val="0"/>
          <w:numId w:val="1013"/>
        </w:numPr>
      </w:pPr>
      <w:r>
        <w:t xml:space="preserve">600 — Semi-Bold</w:t>
      </w:r>
    </w:p>
    <w:p>
      <w:pPr>
        <w:pStyle w:val="Compact"/>
        <w:numPr>
          <w:ilvl w:val="0"/>
          <w:numId w:val="1013"/>
        </w:numPr>
      </w:pPr>
      <w:r>
        <w:t xml:space="preserve">700 — Bold</w:t>
      </w:r>
    </w:p>
    <w:bookmarkEnd w:id="52"/>
    <w:bookmarkStart w:id="53" w:name="display-marketing-typeface"/>
    <w:p>
      <w:pPr>
        <w:pStyle w:val="Heading2"/>
      </w:pPr>
      <w:r>
        <w:t xml:space="preserve">Display / Marketing Typeface</w:t>
      </w:r>
    </w:p>
    <w:p>
      <w:pPr>
        <w:pStyle w:val="FirstParagraph"/>
      </w:pPr>
      <w:r>
        <w:rPr>
          <w:b/>
          <w:bCs/>
        </w:rPr>
        <w:t xml:space="preserve">Inter Tight</w:t>
      </w:r>
      <w:r>
        <w:t xml:space="preserve"> </w:t>
      </w:r>
      <w:r>
        <w:t xml:space="preserve">or a similar modern geometric sans-serif may be used selectively for major marketing headlines.</w:t>
      </w:r>
    </w:p>
    <w:p>
      <w:pPr>
        <w:pStyle w:val="BodyText"/>
      </w:pPr>
      <w:r>
        <w:t xml:space="preserve">Do not use decorative or industrial novelty fonts.</w:t>
      </w:r>
    </w:p>
    <w:p>
      <w:r>
        <w:pict>
          <v:rect style="width:0;height:1.5pt" o:hralign="center" o:hrstd="t" o:hr="t"/>
        </w:pict>
      </w:r>
    </w:p>
    <w:bookmarkEnd w:id="53"/>
    <w:bookmarkEnd w:id="54"/>
    <w:bookmarkStart w:id="60" w:name="typography-hierarchy"/>
    <w:p>
      <w:pPr>
        <w:pStyle w:val="Heading1"/>
      </w:pPr>
      <w:r>
        <w:t xml:space="preserve">10. Typography Hierarchy</w:t>
      </w:r>
    </w:p>
    <w:bookmarkStart w:id="55" w:name="h1"/>
    <w:p>
      <w:pPr>
        <w:pStyle w:val="Heading3"/>
      </w:pPr>
      <w:r>
        <w:t xml:space="preserve">H1</w:t>
      </w:r>
    </w:p>
    <w:p>
      <w:pPr>
        <w:pStyle w:val="FirstParagraph"/>
      </w:pPr>
      <w:r>
        <w:rPr>
          <w:b/>
          <w:bCs/>
        </w:rPr>
        <w:t xml:space="preserve">Construction Lifecycle Management</w:t>
      </w:r>
    </w:p>
    <w:p>
      <w:pPr>
        <w:pStyle w:val="BodyText"/>
      </w:pPr>
      <w:r>
        <w:t xml:space="preserve">Bold / Navy</w:t>
      </w:r>
    </w:p>
    <w:bookmarkEnd w:id="55"/>
    <w:bookmarkStart w:id="56" w:name="h2"/>
    <w:p>
      <w:pPr>
        <w:pStyle w:val="Heading3"/>
      </w:pPr>
      <w:r>
        <w:t xml:space="preserve">H2</w:t>
      </w:r>
    </w:p>
    <w:p>
      <w:pPr>
        <w:pStyle w:val="FirstParagraph"/>
      </w:pPr>
      <w:r>
        <w:rPr>
          <w:b/>
          <w:bCs/>
        </w:rPr>
        <w:t xml:space="preserve">Everything from Bid to Closeout</w:t>
      </w:r>
    </w:p>
    <w:p>
      <w:pPr>
        <w:pStyle w:val="BodyText"/>
      </w:pPr>
      <w:r>
        <w:t xml:space="preserve">Semi-Bold / Navy</w:t>
      </w:r>
    </w:p>
    <w:bookmarkEnd w:id="56"/>
    <w:bookmarkStart w:id="57" w:name="h3"/>
    <w:p>
      <w:pPr>
        <w:pStyle w:val="Heading3"/>
      </w:pPr>
      <w:r>
        <w:t xml:space="preserve">H3</w:t>
      </w:r>
    </w:p>
    <w:p>
      <w:pPr>
        <w:pStyle w:val="FirstParagraph"/>
      </w:pPr>
      <w:r>
        <w:rPr>
          <w:b/>
          <w:bCs/>
        </w:rPr>
        <w:t xml:space="preserve">Project Financials</w:t>
      </w:r>
    </w:p>
    <w:p>
      <w:pPr>
        <w:pStyle w:val="BodyText"/>
      </w:pPr>
      <w:r>
        <w:t xml:space="preserve">Semi-Bold / Navy</w:t>
      </w:r>
    </w:p>
    <w:bookmarkEnd w:id="57"/>
    <w:bookmarkStart w:id="58" w:name="body"/>
    <w:p>
      <w:pPr>
        <w:pStyle w:val="Heading3"/>
      </w:pPr>
      <w:r>
        <w:t xml:space="preserve">Body</w:t>
      </w:r>
    </w:p>
    <w:p>
      <w:pPr>
        <w:pStyle w:val="FirstParagraph"/>
      </w:pPr>
      <w:r>
        <w:t xml:space="preserve">Construct Lifecycle connects opportunity, project, procurement, delivery, financial, and closeout activities in a unified platform.</w:t>
      </w:r>
    </w:p>
    <w:p>
      <w:pPr>
        <w:pStyle w:val="BodyText"/>
      </w:pPr>
      <w:r>
        <w:t xml:space="preserve">Regular / Gray or Navy</w:t>
      </w:r>
    </w:p>
    <w:bookmarkEnd w:id="58"/>
    <w:bookmarkStart w:id="59" w:name="ui-labels"/>
    <w:p>
      <w:pPr>
        <w:pStyle w:val="Heading3"/>
      </w:pPr>
      <w:r>
        <w:t xml:space="preserve">UI Labels</w:t>
      </w:r>
    </w:p>
    <w:p>
      <w:pPr>
        <w:pStyle w:val="FirstParagraph"/>
      </w:pPr>
      <w:r>
        <w:rPr>
          <w:b/>
          <w:bCs/>
        </w:rPr>
        <w:t xml:space="preserve">PROJECT STATUS</w:t>
      </w:r>
    </w:p>
    <w:p>
      <w:pPr>
        <w:pStyle w:val="BodyText"/>
      </w:pPr>
      <w:r>
        <w:t xml:space="preserve">Medium / Uppercase / Small</w:t>
      </w:r>
    </w:p>
    <w:p>
      <w:r>
        <w:pict>
          <v:rect style="width:0;height:1.5pt" o:hralign="center" o:hrstd="t" o:hr="t"/>
        </w:pict>
      </w:r>
    </w:p>
    <w:bookmarkEnd w:id="59"/>
    <w:bookmarkEnd w:id="60"/>
    <w:bookmarkStart w:id="63" w:name="tagline-system"/>
    <w:p>
      <w:pPr>
        <w:pStyle w:val="Heading1"/>
      </w:pPr>
      <w:r>
        <w:t xml:space="preserve">11. Tagline System</w:t>
      </w:r>
    </w:p>
    <w:bookmarkStart w:id="61" w:name="primary-tagline-1"/>
    <w:p>
      <w:pPr>
        <w:pStyle w:val="Heading2"/>
      </w:pPr>
      <w:r>
        <w:t xml:space="preserve">Primary Tagline</w:t>
      </w:r>
    </w:p>
    <w:p>
      <w:pPr>
        <w:pStyle w:val="BlockText"/>
      </w:pPr>
      <w:r>
        <w:rPr>
          <w:b/>
          <w:bCs/>
        </w:rPr>
        <w:t xml:space="preserve">FROM BID TO CLOSEOUT.</w:t>
      </w:r>
    </w:p>
    <w:p>
      <w:pPr>
        <w:pStyle w:val="FirstParagraph"/>
      </w:pPr>
      <w:r>
        <w:t xml:space="preserve">This should be the primary brand tagline.</w:t>
      </w:r>
    </w:p>
    <w:bookmarkEnd w:id="61"/>
    <w:bookmarkStart w:id="62" w:name="supporting-messaging"/>
    <w:p>
      <w:pPr>
        <w:pStyle w:val="Heading2"/>
      </w:pPr>
      <w:r>
        <w:t xml:space="preserve">Supporting Messaging</w:t>
      </w:r>
    </w:p>
    <w:p>
      <w:pPr>
        <w:pStyle w:val="FirstParagraph"/>
      </w:pPr>
      <w:r>
        <w:t xml:space="preserve">Potential secondary statements:</w:t>
      </w:r>
    </w:p>
    <w:p>
      <w:pPr>
        <w:pStyle w:val="BlockText"/>
      </w:pPr>
      <w:r>
        <w:rPr>
          <w:b/>
          <w:bCs/>
        </w:rPr>
        <w:t xml:space="preserve">One Project. One Lifecycle. One Source of Truth.</w:t>
      </w:r>
    </w:p>
    <w:p>
      <w:pPr>
        <w:pStyle w:val="BlockText"/>
      </w:pPr>
      <w:r>
        <w:rPr>
          <w:b/>
          <w:bCs/>
        </w:rPr>
        <w:t xml:space="preserve">Connect Every Stage of the Project.</w:t>
      </w:r>
    </w:p>
    <w:p>
      <w:pPr>
        <w:pStyle w:val="BlockText"/>
      </w:pPr>
      <w:r>
        <w:rPr>
          <w:b/>
          <w:bCs/>
        </w:rPr>
        <w:t xml:space="preserve">The Construction Lifecycle Platform.</w:t>
      </w:r>
    </w:p>
    <w:p>
      <w:pPr>
        <w:pStyle w:val="BlockText"/>
      </w:pPr>
      <w:r>
        <w:rPr>
          <w:b/>
          <w:bCs/>
        </w:rPr>
        <w:t xml:space="preserve">Where Construction Projects Come Together.</w:t>
      </w:r>
    </w:p>
    <w:p>
      <w:pPr>
        <w:pStyle w:val="FirstParagraph"/>
      </w:pPr>
      <w:r>
        <w:t xml:space="preserve">The primary tagline should remain consistent across major brand materials.</w:t>
      </w:r>
    </w:p>
    <w:p>
      <w:r>
        <w:pict>
          <v:rect style="width:0;height:1.5pt" o:hralign="center" o:hrstd="t" o:hr="t"/>
        </w:pict>
      </w:r>
    </w:p>
    <w:bookmarkEnd w:id="62"/>
    <w:bookmarkEnd w:id="63"/>
    <w:bookmarkStart w:id="67" w:name="brand-voice"/>
    <w:p>
      <w:pPr>
        <w:pStyle w:val="Heading1"/>
      </w:pPr>
      <w:r>
        <w:t xml:space="preserve">12. Brand Voice</w:t>
      </w:r>
    </w:p>
    <w:p>
      <w:pPr>
        <w:pStyle w:val="FirstParagraph"/>
      </w:pPr>
      <w:r>
        <w:t xml:space="preserve">Construct Lifecycle should communicate with confidence and precision.</w:t>
      </w:r>
    </w:p>
    <w:bookmarkStart w:id="64" w:name="use"/>
    <w:p>
      <w:pPr>
        <w:pStyle w:val="Heading3"/>
      </w:pPr>
      <w:r>
        <w:t xml:space="preserve">Use</w:t>
      </w:r>
    </w:p>
    <w:p>
      <w:pPr>
        <w:pStyle w:val="Compact"/>
        <w:numPr>
          <w:ilvl w:val="0"/>
          <w:numId w:val="1014"/>
        </w:numPr>
      </w:pPr>
      <w:r>
        <w:t xml:space="preserve">Clear</w:t>
      </w:r>
    </w:p>
    <w:p>
      <w:pPr>
        <w:pStyle w:val="Compact"/>
        <w:numPr>
          <w:ilvl w:val="0"/>
          <w:numId w:val="1014"/>
        </w:numPr>
      </w:pPr>
      <w:r>
        <w:t xml:space="preserve">Direct</w:t>
      </w:r>
    </w:p>
    <w:p>
      <w:pPr>
        <w:pStyle w:val="Compact"/>
        <w:numPr>
          <w:ilvl w:val="0"/>
          <w:numId w:val="1014"/>
        </w:numPr>
      </w:pPr>
      <w:r>
        <w:t xml:space="preserve">Operational</w:t>
      </w:r>
    </w:p>
    <w:p>
      <w:pPr>
        <w:pStyle w:val="Compact"/>
        <w:numPr>
          <w:ilvl w:val="0"/>
          <w:numId w:val="1014"/>
        </w:numPr>
      </w:pPr>
      <w:r>
        <w:t xml:space="preserve">Data-driven</w:t>
      </w:r>
    </w:p>
    <w:p>
      <w:pPr>
        <w:pStyle w:val="Compact"/>
        <w:numPr>
          <w:ilvl w:val="0"/>
          <w:numId w:val="1014"/>
        </w:numPr>
      </w:pPr>
      <w:r>
        <w:t xml:space="preserve">Practical</w:t>
      </w:r>
    </w:p>
    <w:p>
      <w:pPr>
        <w:pStyle w:val="Compact"/>
        <w:numPr>
          <w:ilvl w:val="0"/>
          <w:numId w:val="1014"/>
        </w:numPr>
      </w:pPr>
      <w:r>
        <w:t xml:space="preserve">Business-focused</w:t>
      </w:r>
    </w:p>
    <w:p>
      <w:pPr>
        <w:pStyle w:val="Compact"/>
        <w:numPr>
          <w:ilvl w:val="0"/>
          <w:numId w:val="1014"/>
        </w:numPr>
      </w:pPr>
      <w:r>
        <w:t xml:space="preserve">Construction-specific terminology</w:t>
      </w:r>
    </w:p>
    <w:bookmarkEnd w:id="64"/>
    <w:bookmarkStart w:id="65" w:name="avoid"/>
    <w:p>
      <w:pPr>
        <w:pStyle w:val="Heading3"/>
      </w:pPr>
      <w:r>
        <w:t xml:space="preserve">Avoid</w:t>
      </w:r>
    </w:p>
    <w:p>
      <w:pPr>
        <w:pStyle w:val="Compact"/>
        <w:numPr>
          <w:ilvl w:val="0"/>
          <w:numId w:val="1015"/>
        </w:numPr>
      </w:pPr>
      <w:r>
        <w:t xml:space="preserve">Excessive marketing language</w:t>
      </w:r>
    </w:p>
    <w:p>
      <w:pPr>
        <w:pStyle w:val="Compact"/>
        <w:numPr>
          <w:ilvl w:val="0"/>
          <w:numId w:val="1015"/>
        </w:numPr>
      </w:pPr>
      <w:r>
        <w:t xml:space="preserve">Buzzword-heavy messaging</w:t>
      </w:r>
    </w:p>
    <w:p>
      <w:pPr>
        <w:pStyle w:val="Compact"/>
        <w:numPr>
          <w:ilvl w:val="0"/>
          <w:numId w:val="1015"/>
        </w:numPr>
      </w:pPr>
      <w:r>
        <w:t xml:space="preserve">“Revolutionary”</w:t>
      </w:r>
    </w:p>
    <w:p>
      <w:pPr>
        <w:pStyle w:val="Compact"/>
        <w:numPr>
          <w:ilvl w:val="0"/>
          <w:numId w:val="1015"/>
        </w:numPr>
      </w:pPr>
      <w:r>
        <w:t xml:space="preserve">“Disruptive”</w:t>
      </w:r>
    </w:p>
    <w:p>
      <w:pPr>
        <w:pStyle w:val="Compact"/>
        <w:numPr>
          <w:ilvl w:val="0"/>
          <w:numId w:val="1015"/>
        </w:numPr>
      </w:pPr>
      <w:r>
        <w:t xml:space="preserve">“Game-changing”</w:t>
      </w:r>
    </w:p>
    <w:p>
      <w:pPr>
        <w:pStyle w:val="Compact"/>
        <w:numPr>
          <w:ilvl w:val="0"/>
          <w:numId w:val="1015"/>
        </w:numPr>
      </w:pPr>
      <w:r>
        <w:t xml:space="preserve">“Next-generation”</w:t>
      </w:r>
      <w:r>
        <w:t xml:space="preserve"> </w:t>
      </w:r>
      <w:r>
        <w:t xml:space="preserve">unless specifically justified</w:t>
      </w:r>
    </w:p>
    <w:p>
      <w:pPr>
        <w:pStyle w:val="Compact"/>
        <w:numPr>
          <w:ilvl w:val="0"/>
          <w:numId w:val="1015"/>
        </w:numPr>
      </w:pPr>
      <w:r>
        <w:t xml:space="preserve">Overly technical language when communicating with executives</w:t>
      </w:r>
    </w:p>
    <w:bookmarkEnd w:id="65"/>
    <w:bookmarkStart w:id="66" w:name="example"/>
    <w:p>
      <w:pPr>
        <w:pStyle w:val="Heading2"/>
      </w:pPr>
      <w:r>
        <w:t xml:space="preserve">Example</w:t>
      </w:r>
    </w:p>
    <w:p>
      <w:pPr>
        <w:pStyle w:val="FirstParagraph"/>
      </w:pPr>
      <w:r>
        <w:t xml:space="preserve">Instead of:</w:t>
      </w:r>
    </w:p>
    <w:p>
      <w:pPr>
        <w:pStyle w:val="BlockText"/>
      </w:pPr>
      <w:r>
        <w:t xml:space="preserve">“Revolutionize your construction business with our cutting-edge ecosystem.”</w:t>
      </w:r>
    </w:p>
    <w:p>
      <w:pPr>
        <w:pStyle w:val="FirstParagraph"/>
      </w:pPr>
      <w:r>
        <w:t xml:space="preserve">Use:</w:t>
      </w:r>
    </w:p>
    <w:p>
      <w:pPr>
        <w:pStyle w:val="BlockText"/>
      </w:pPr>
      <w:r>
        <w:rPr>
          <w:b/>
          <w:bCs/>
        </w:rPr>
        <w:t xml:space="preserve">Manage the entire project lifecycle in one platform—from bid through closeout.</w:t>
      </w:r>
    </w:p>
    <w:p>
      <w:r>
        <w:pict>
          <v:rect style="width:0;height:1.5pt" o:hralign="center" o:hrstd="t" o:hr="t"/>
        </w:pict>
      </w:r>
    </w:p>
    <w:bookmarkEnd w:id="66"/>
    <w:bookmarkEnd w:id="67"/>
    <w:bookmarkStart w:id="73" w:name="core-brand-messages"/>
    <w:p>
      <w:pPr>
        <w:pStyle w:val="Heading1"/>
      </w:pPr>
      <w:r>
        <w:t xml:space="preserve">13. Core Brand Messages</w:t>
      </w:r>
    </w:p>
    <w:bookmarkStart w:id="68" w:name="message-1-visibility"/>
    <w:p>
      <w:pPr>
        <w:pStyle w:val="Heading3"/>
      </w:pPr>
      <w:r>
        <w:t xml:space="preserve">Message 1 — Visibility</w:t>
      </w:r>
    </w:p>
    <w:p>
      <w:pPr>
        <w:pStyle w:val="FirstParagraph"/>
      </w:pPr>
      <w:r>
        <w:rPr>
          <w:b/>
          <w:bCs/>
        </w:rPr>
        <w:t xml:space="preserve">Know where every project stands.</w:t>
      </w:r>
    </w:p>
    <w:bookmarkEnd w:id="68"/>
    <w:bookmarkStart w:id="69" w:name="message-2-control"/>
    <w:p>
      <w:pPr>
        <w:pStyle w:val="Heading3"/>
      </w:pPr>
      <w:r>
        <w:t xml:space="preserve">Message 2 — Control</w:t>
      </w:r>
    </w:p>
    <w:p>
      <w:pPr>
        <w:pStyle w:val="FirstParagraph"/>
      </w:pPr>
      <w:r>
        <w:rPr>
          <w:b/>
          <w:bCs/>
        </w:rPr>
        <w:t xml:space="preserve">Connect commitments, costs, deliveries, and revenue to the project.</w:t>
      </w:r>
    </w:p>
    <w:bookmarkEnd w:id="69"/>
    <w:bookmarkStart w:id="70" w:name="message-3-lifecycle"/>
    <w:p>
      <w:pPr>
        <w:pStyle w:val="Heading3"/>
      </w:pPr>
      <w:r>
        <w:t xml:space="preserve">Message 3 — Lifecycle</w:t>
      </w:r>
    </w:p>
    <w:p>
      <w:pPr>
        <w:pStyle w:val="FirstParagraph"/>
      </w:pPr>
      <w:r>
        <w:rPr>
          <w:b/>
          <w:bCs/>
        </w:rPr>
        <w:t xml:space="preserve">Manage the project from opportunity through closeout—not just one stage of it.</w:t>
      </w:r>
    </w:p>
    <w:bookmarkEnd w:id="70"/>
    <w:bookmarkStart w:id="71" w:name="message-4-integration"/>
    <w:p>
      <w:pPr>
        <w:pStyle w:val="Heading3"/>
      </w:pPr>
      <w:r>
        <w:t xml:space="preserve">Message 4 — Integration</w:t>
      </w:r>
    </w:p>
    <w:p>
      <w:pPr>
        <w:pStyle w:val="FirstParagraph"/>
      </w:pPr>
      <w:r>
        <w:rPr>
          <w:b/>
          <w:bCs/>
        </w:rPr>
        <w:t xml:space="preserve">Connect the systems, people, products, and processes that move construction projects forward.</w:t>
      </w:r>
    </w:p>
    <w:bookmarkEnd w:id="71"/>
    <w:bookmarkStart w:id="72" w:name="message-5-scalability"/>
    <w:p>
      <w:pPr>
        <w:pStyle w:val="Heading3"/>
      </w:pPr>
      <w:r>
        <w:t xml:space="preserve">Message 5 — Scalability</w:t>
      </w:r>
    </w:p>
    <w:p>
      <w:pPr>
        <w:pStyle w:val="FirstParagraph"/>
      </w:pPr>
      <w:r>
        <w:rPr>
          <w:b/>
          <w:bCs/>
        </w:rPr>
        <w:t xml:space="preserve">Built for suppliers today. Designed for the broader construction industry tomorrow.</w:t>
      </w:r>
    </w:p>
    <w:p>
      <w:r>
        <w:pict>
          <v:rect style="width:0;height:1.5pt" o:hralign="center" o:hrstd="t" o:hr="t"/>
        </w:pict>
      </w:r>
    </w:p>
    <w:bookmarkEnd w:id="72"/>
    <w:bookmarkEnd w:id="73"/>
    <w:bookmarkStart w:id="76" w:name="target-market"/>
    <w:p>
      <w:pPr>
        <w:pStyle w:val="Heading1"/>
      </w:pPr>
      <w:r>
        <w:t xml:space="preserve">14. Target Market</w:t>
      </w:r>
    </w:p>
    <w:p>
      <w:pPr>
        <w:pStyle w:val="FirstParagraph"/>
      </w:pPr>
      <w:r>
        <w:t xml:space="preserve">Construct Lifecycle should initially focus on:</w:t>
      </w:r>
    </w:p>
    <w:bookmarkStart w:id="74" w:name="primary"/>
    <w:p>
      <w:pPr>
        <w:pStyle w:val="Heading3"/>
      </w:pPr>
      <w:r>
        <w:t xml:space="preserve">Primary</w:t>
      </w:r>
    </w:p>
    <w:p>
      <w:pPr>
        <w:pStyle w:val="Compact"/>
        <w:numPr>
          <w:ilvl w:val="0"/>
          <w:numId w:val="1016"/>
        </w:numPr>
      </w:pPr>
      <w:r>
        <w:t xml:space="preserve">Construction product suppliers</w:t>
      </w:r>
    </w:p>
    <w:p>
      <w:pPr>
        <w:pStyle w:val="Compact"/>
        <w:numPr>
          <w:ilvl w:val="0"/>
          <w:numId w:val="1016"/>
        </w:numPr>
      </w:pPr>
      <w:r>
        <w:t xml:space="preserve">Building material distributors</w:t>
      </w:r>
    </w:p>
    <w:p>
      <w:pPr>
        <w:pStyle w:val="Compact"/>
        <w:numPr>
          <w:ilvl w:val="0"/>
          <w:numId w:val="1016"/>
        </w:numPr>
      </w:pPr>
      <w:r>
        <w:t xml:space="preserve">Specialty contractors</w:t>
      </w:r>
    </w:p>
    <w:p>
      <w:pPr>
        <w:pStyle w:val="Compact"/>
        <w:numPr>
          <w:ilvl w:val="0"/>
          <w:numId w:val="1016"/>
        </w:numPr>
      </w:pPr>
      <w:r>
        <w:t xml:space="preserve">Cabinet suppliers</w:t>
      </w:r>
    </w:p>
    <w:p>
      <w:pPr>
        <w:pStyle w:val="Compact"/>
        <w:numPr>
          <w:ilvl w:val="0"/>
          <w:numId w:val="1016"/>
        </w:numPr>
      </w:pPr>
      <w:r>
        <w:t xml:space="preserve">Countertop suppliers</w:t>
      </w:r>
    </w:p>
    <w:p>
      <w:pPr>
        <w:pStyle w:val="Compact"/>
        <w:numPr>
          <w:ilvl w:val="0"/>
          <w:numId w:val="1016"/>
        </w:numPr>
      </w:pPr>
      <w:r>
        <w:t xml:space="preserve">Flooring suppliers</w:t>
      </w:r>
    </w:p>
    <w:p>
      <w:pPr>
        <w:pStyle w:val="Compact"/>
        <w:numPr>
          <w:ilvl w:val="0"/>
          <w:numId w:val="1016"/>
        </w:numPr>
      </w:pPr>
      <w:r>
        <w:t xml:space="preserve">Lighting suppliers</w:t>
      </w:r>
    </w:p>
    <w:p>
      <w:pPr>
        <w:pStyle w:val="Compact"/>
        <w:numPr>
          <w:ilvl w:val="0"/>
          <w:numId w:val="1016"/>
        </w:numPr>
      </w:pPr>
      <w:r>
        <w:t xml:space="preserve">Electrical suppliers</w:t>
      </w:r>
    </w:p>
    <w:bookmarkEnd w:id="74"/>
    <w:bookmarkStart w:id="75" w:name="expansion"/>
    <w:p>
      <w:pPr>
        <w:pStyle w:val="Heading3"/>
      </w:pPr>
      <w:r>
        <w:t xml:space="preserve">Expansion</w:t>
      </w:r>
    </w:p>
    <w:p>
      <w:pPr>
        <w:pStyle w:val="Compact"/>
        <w:numPr>
          <w:ilvl w:val="0"/>
          <w:numId w:val="1017"/>
        </w:numPr>
      </w:pPr>
      <w:r>
        <w:t xml:space="preserve">Developers</w:t>
      </w:r>
    </w:p>
    <w:p>
      <w:pPr>
        <w:pStyle w:val="Compact"/>
        <w:numPr>
          <w:ilvl w:val="0"/>
          <w:numId w:val="1017"/>
        </w:numPr>
      </w:pPr>
      <w:r>
        <w:t xml:space="preserve">Homebuilders</w:t>
      </w:r>
    </w:p>
    <w:p>
      <w:pPr>
        <w:pStyle w:val="Compact"/>
        <w:numPr>
          <w:ilvl w:val="0"/>
          <w:numId w:val="1017"/>
        </w:numPr>
      </w:pPr>
      <w:r>
        <w:t xml:space="preserve">General contractors</w:t>
      </w:r>
    </w:p>
    <w:p>
      <w:pPr>
        <w:pStyle w:val="Compact"/>
        <w:numPr>
          <w:ilvl w:val="0"/>
          <w:numId w:val="1017"/>
        </w:numPr>
      </w:pPr>
      <w:r>
        <w:t xml:space="preserve">Specialty subcontractors</w:t>
      </w:r>
    </w:p>
    <w:p>
      <w:pPr>
        <w:pStyle w:val="Compact"/>
        <w:numPr>
          <w:ilvl w:val="0"/>
          <w:numId w:val="1017"/>
        </w:numPr>
      </w:pPr>
      <w:r>
        <w:t xml:space="preserve">Construction procurement organizations</w:t>
      </w:r>
    </w:p>
    <w:p>
      <w:pPr>
        <w:pStyle w:val="FirstParagraph"/>
      </w:pPr>
      <w:r>
        <w:t xml:space="preserve">The brand should never be positioned exclusively around one construction trade.</w:t>
      </w:r>
    </w:p>
    <w:p>
      <w:r>
        <w:pict>
          <v:rect style="width:0;height:1.5pt" o:hralign="center" o:hrstd="t" o:hr="t"/>
        </w:pict>
      </w:r>
    </w:p>
    <w:bookmarkEnd w:id="75"/>
    <w:bookmarkEnd w:id="76"/>
    <w:bookmarkStart w:id="82" w:name="product-design-principles"/>
    <w:p>
      <w:pPr>
        <w:pStyle w:val="Heading1"/>
      </w:pPr>
      <w:r>
        <w:t xml:space="preserve">15. Product Design Principles</w:t>
      </w:r>
    </w:p>
    <w:p>
      <w:pPr>
        <w:pStyle w:val="FirstParagraph"/>
      </w:pPr>
      <w:r>
        <w:t xml:space="preserve">The SaaS interface should follow five principles.</w:t>
      </w:r>
    </w:p>
    <w:bookmarkStart w:id="77" w:name="lifecycle-first"/>
    <w:p>
      <w:pPr>
        <w:pStyle w:val="Heading3"/>
      </w:pPr>
      <w:r>
        <w:t xml:space="preserve">1. Lifecycle First</w:t>
      </w:r>
    </w:p>
    <w:p>
      <w:pPr>
        <w:pStyle w:val="FirstParagraph"/>
      </w:pPr>
      <w:r>
        <w:t xml:space="preserve">The project lifecycle should be the organizing structure of the application.</w:t>
      </w:r>
    </w:p>
    <w:bookmarkEnd w:id="77"/>
    <w:bookmarkStart w:id="78" w:name="single-source-of-truth"/>
    <w:p>
      <w:pPr>
        <w:pStyle w:val="Heading3"/>
      </w:pPr>
      <w:r>
        <w:t xml:space="preserve">2. Single Source of Truth</w:t>
      </w:r>
    </w:p>
    <w:p>
      <w:pPr>
        <w:pStyle w:val="FirstParagraph"/>
      </w:pPr>
      <w:r>
        <w:t xml:space="preserve">Users should be able to trace information from the project back to its originating opportunity, contract, product, order, delivery, cost, and closeout activity.</w:t>
      </w:r>
    </w:p>
    <w:bookmarkEnd w:id="78"/>
    <w:bookmarkStart w:id="79" w:name="action-over-information"/>
    <w:p>
      <w:pPr>
        <w:pStyle w:val="Heading3"/>
      </w:pPr>
      <w:r>
        <w:t xml:space="preserve">3. Action Over Information</w:t>
      </w:r>
    </w:p>
    <w:p>
      <w:pPr>
        <w:pStyle w:val="FirstParagraph"/>
      </w:pPr>
      <w:r>
        <w:t xml:space="preserve">Dashboards should help users determine what needs to happen next.</w:t>
      </w:r>
    </w:p>
    <w:bookmarkEnd w:id="79"/>
    <w:bookmarkStart w:id="80" w:name="configuration-over-customization"/>
    <w:p>
      <w:pPr>
        <w:pStyle w:val="Heading3"/>
      </w:pPr>
      <w:r>
        <w:t xml:space="preserve">4. Configuration Over Customization</w:t>
      </w:r>
    </w:p>
    <w:p>
      <w:pPr>
        <w:pStyle w:val="FirstParagraph"/>
      </w:pPr>
      <w:r>
        <w:t xml:space="preserve">Support different organizations and workflows through configuration rather than creating separate software versions.</w:t>
      </w:r>
    </w:p>
    <w:bookmarkEnd w:id="80"/>
    <w:bookmarkStart w:id="81" w:name="automation-where-it-matters"/>
    <w:p>
      <w:pPr>
        <w:pStyle w:val="Heading3"/>
      </w:pPr>
      <w:r>
        <w:t xml:space="preserve">5. Automation Where It Matters</w:t>
      </w:r>
    </w:p>
    <w:p>
      <w:pPr>
        <w:pStyle w:val="FirstParagraph"/>
      </w:pPr>
      <w:r>
        <w:t xml:space="preserve">Automate repetitive administrative work while keeping important commercial decisions under user control.</w:t>
      </w:r>
    </w:p>
    <w:p>
      <w:r>
        <w:pict>
          <v:rect style="width:0;height:1.5pt" o:hralign="center" o:hrstd="t" o:hr="t"/>
        </w:pict>
      </w:r>
    </w:p>
    <w:bookmarkEnd w:id="81"/>
    <w:bookmarkEnd w:id="82"/>
    <w:bookmarkStart w:id="83" w:name="saas-multi-tenant-brand-architecture"/>
    <w:p>
      <w:pPr>
        <w:pStyle w:val="Heading1"/>
      </w:pPr>
      <w:r>
        <w:t xml:space="preserve">16. SaaS / Multi-Tenant Brand Architecture</w:t>
      </w:r>
    </w:p>
    <w:p>
      <w:pPr>
        <w:pStyle w:val="FirstParagraph"/>
      </w:pPr>
      <w:r>
        <w:t xml:space="preserve">Construct Lifecycle should be designed as a</w:t>
      </w:r>
      <w:r>
        <w:t xml:space="preserve"> </w:t>
      </w:r>
      <w:r>
        <w:rPr>
          <w:b/>
          <w:bCs/>
        </w:rPr>
        <w:t xml:space="preserve">platform brand</w:t>
      </w:r>
      <w:r>
        <w:t xml:space="preserve">, not a custom application for an individual customer.</w:t>
      </w:r>
    </w:p>
    <w:p>
      <w:pPr>
        <w:pStyle w:val="BodyText"/>
      </w:pPr>
      <w:r>
        <w:t xml:space="preserve">The conceptual hierarchy should be:</w:t>
      </w:r>
    </w:p>
    <w:p>
      <w:pPr>
        <w:pStyle w:val="BodyText"/>
      </w:pPr>
      <w:r>
        <w:rPr>
          <w:b/>
          <w:bCs/>
        </w:rPr>
        <w:t xml:space="preserve">Construct Lifecycle</w:t>
      </w:r>
    </w:p>
    <w:p>
      <w:pPr>
        <w:pStyle w:val="BodyText"/>
      </w:pPr>
      <w:r>
        <w:t xml:space="preserve">→ Tenant / Organization</w:t>
      </w:r>
    </w:p>
    <w:p>
      <w:pPr>
        <w:pStyle w:val="BodyText"/>
      </w:pPr>
      <w:r>
        <w:t xml:space="preserve">→ Division / Business Unit</w:t>
      </w:r>
    </w:p>
    <w:p>
      <w:pPr>
        <w:pStyle w:val="BodyText"/>
      </w:pPr>
      <w:r>
        <w:t xml:space="preserve">→ Project</w:t>
      </w:r>
    </w:p>
    <w:p>
      <w:pPr>
        <w:pStyle w:val="BodyText"/>
      </w:pPr>
      <w:r>
        <w:t xml:space="preserve">→ Lifecycle Stage</w:t>
      </w:r>
    </w:p>
    <w:p>
      <w:pPr>
        <w:pStyle w:val="BodyText"/>
      </w:pPr>
      <w:r>
        <w:t xml:space="preserve">→ Workstream</w:t>
      </w:r>
    </w:p>
    <w:p>
      <w:pPr>
        <w:pStyle w:val="BodyText"/>
      </w:pPr>
      <w:r>
        <w:t xml:space="preserve">→ Transaction / Activity</w:t>
      </w:r>
    </w:p>
    <w:p>
      <w:pPr>
        <w:pStyle w:val="BodyText"/>
      </w:pPr>
      <w:r>
        <w:t xml:space="preserve">This allows the platform to support multiple organizations while maintaining a consistent product identity.</w:t>
      </w:r>
    </w:p>
    <w:p>
      <w:r>
        <w:pict>
          <v:rect style="width:0;height:1.5pt" o:hralign="center" o:hrstd="t" o:hr="t"/>
        </w:pict>
      </w:r>
    </w:p>
    <w:bookmarkEnd w:id="83"/>
    <w:bookmarkStart w:id="84" w:name="iconography"/>
    <w:p>
      <w:pPr>
        <w:pStyle w:val="Heading1"/>
      </w:pPr>
      <w:r>
        <w:t xml:space="preserve">17. Iconography</w:t>
      </w:r>
    </w:p>
    <w:p>
      <w:pPr>
        <w:pStyle w:val="FirstParagraph"/>
      </w:pPr>
      <w:r>
        <w:t xml:space="preserve">Icons should be:</w:t>
      </w:r>
    </w:p>
    <w:p>
      <w:pPr>
        <w:pStyle w:val="Compact"/>
        <w:numPr>
          <w:ilvl w:val="0"/>
          <w:numId w:val="1018"/>
        </w:numPr>
      </w:pPr>
      <w:r>
        <w:t xml:space="preserve">Simple</w:t>
      </w:r>
    </w:p>
    <w:p>
      <w:pPr>
        <w:pStyle w:val="Compact"/>
        <w:numPr>
          <w:ilvl w:val="0"/>
          <w:numId w:val="1018"/>
        </w:numPr>
      </w:pPr>
      <w:r>
        <w:t xml:space="preserve">Geometric</w:t>
      </w:r>
    </w:p>
    <w:p>
      <w:pPr>
        <w:pStyle w:val="Compact"/>
        <w:numPr>
          <w:ilvl w:val="0"/>
          <w:numId w:val="1018"/>
        </w:numPr>
      </w:pPr>
      <w:r>
        <w:t xml:space="preserve">Consistent</w:t>
      </w:r>
    </w:p>
    <w:p>
      <w:pPr>
        <w:pStyle w:val="Compact"/>
        <w:numPr>
          <w:ilvl w:val="0"/>
          <w:numId w:val="1018"/>
        </w:numPr>
      </w:pPr>
      <w:r>
        <w:t xml:space="preserve">Line-based or restrained filled forms</w:t>
      </w:r>
    </w:p>
    <w:p>
      <w:pPr>
        <w:pStyle w:val="Compact"/>
        <w:numPr>
          <w:ilvl w:val="0"/>
          <w:numId w:val="1018"/>
        </w:numPr>
      </w:pPr>
      <w:r>
        <w:t xml:space="preserve">Easily recognizable at small sizes</w:t>
      </w:r>
    </w:p>
    <w:p>
      <w:pPr>
        <w:pStyle w:val="FirstParagraph"/>
      </w:pPr>
      <w:r>
        <w:t xml:space="preserve">Recommended visual language:</w:t>
      </w:r>
    </w:p>
    <w:p>
      <w:pPr>
        <w:pStyle w:val="BodyText"/>
      </w:pPr>
      <w:r>
        <w:rPr>
          <w:b/>
          <w:bCs/>
        </w:rPr>
        <w:t xml:space="preserve">2 px stroke</w:t>
      </w:r>
      <w:r>
        <w:t xml:space="preserve"> </w:t>
      </w:r>
      <w:r>
        <w:t xml:space="preserve">for standard UI icons.</w:t>
      </w:r>
    </w:p>
    <w:p>
      <w:pPr>
        <w:pStyle w:val="BodyText"/>
      </w:pPr>
      <w:r>
        <w:t xml:space="preserve">Avoid overly detailed illustrations.</w:t>
      </w:r>
    </w:p>
    <w:p>
      <w:pPr>
        <w:pStyle w:val="BodyText"/>
      </w:pPr>
      <w:r>
        <w:t xml:space="preserve">Potential lifecycle iconography:</w:t>
      </w:r>
    </w:p>
    <w:p>
      <w:pPr>
        <w:pStyle w:val="BodyText"/>
      </w:pPr>
      <w:r>
        <w:rPr>
          <w:b/>
          <w:bCs/>
        </w:rPr>
        <w:t xml:space="preserve">Bid → Contract → Procure → Deliver → Financial → Closeout</w:t>
      </w:r>
    </w:p>
    <w:p>
      <w:pPr>
        <w:pStyle w:val="BodyText"/>
      </w:pPr>
      <w:r>
        <w:t xml:space="preserve">Each lifecycle stage should eventually have a consistent icon.</w:t>
      </w:r>
    </w:p>
    <w:p>
      <w:r>
        <w:pict>
          <v:rect style="width:0;height:1.5pt" o:hralign="center" o:hrstd="t" o:hr="t"/>
        </w:pict>
      </w:r>
    </w:p>
    <w:bookmarkEnd w:id="84"/>
    <w:bookmarkStart w:id="85" w:name="photography-imagery"/>
    <w:p>
      <w:pPr>
        <w:pStyle w:val="Heading1"/>
      </w:pPr>
      <w:r>
        <w:t xml:space="preserve">18. Photography &amp; Imagery</w:t>
      </w:r>
    </w:p>
    <w:p>
      <w:pPr>
        <w:pStyle w:val="FirstParagraph"/>
      </w:pPr>
      <w:r>
        <w:t xml:space="preserve">When photography is used, prioritize:</w:t>
      </w:r>
    </w:p>
    <w:p>
      <w:pPr>
        <w:pStyle w:val="Compact"/>
        <w:numPr>
          <w:ilvl w:val="0"/>
          <w:numId w:val="1019"/>
        </w:numPr>
      </w:pPr>
      <w:r>
        <w:t xml:space="preserve">Active construction projects</w:t>
      </w:r>
    </w:p>
    <w:p>
      <w:pPr>
        <w:pStyle w:val="Compact"/>
        <w:numPr>
          <w:ilvl w:val="0"/>
          <w:numId w:val="1019"/>
        </w:numPr>
      </w:pPr>
      <w:r>
        <w:t xml:space="preserve">Commercial construction</w:t>
      </w:r>
    </w:p>
    <w:p>
      <w:pPr>
        <w:pStyle w:val="Compact"/>
        <w:numPr>
          <w:ilvl w:val="0"/>
          <w:numId w:val="1019"/>
        </w:numPr>
      </w:pPr>
      <w:r>
        <w:t xml:space="preserve">Building materials</w:t>
      </w:r>
    </w:p>
    <w:p>
      <w:pPr>
        <w:pStyle w:val="Compact"/>
        <w:numPr>
          <w:ilvl w:val="0"/>
          <w:numId w:val="1019"/>
        </w:numPr>
      </w:pPr>
      <w:r>
        <w:t xml:space="preserve">Architectural details</w:t>
      </w:r>
    </w:p>
    <w:p>
      <w:pPr>
        <w:pStyle w:val="Compact"/>
        <w:numPr>
          <w:ilvl w:val="0"/>
          <w:numId w:val="1019"/>
        </w:numPr>
      </w:pPr>
      <w:r>
        <w:t xml:space="preserve">Project teams</w:t>
      </w:r>
    </w:p>
    <w:p>
      <w:pPr>
        <w:pStyle w:val="Compact"/>
        <w:numPr>
          <w:ilvl w:val="0"/>
          <w:numId w:val="1019"/>
        </w:numPr>
      </w:pPr>
      <w:r>
        <w:t xml:space="preserve">Warehouses</w:t>
      </w:r>
    </w:p>
    <w:p>
      <w:pPr>
        <w:pStyle w:val="Compact"/>
        <w:numPr>
          <w:ilvl w:val="0"/>
          <w:numId w:val="1019"/>
        </w:numPr>
      </w:pPr>
      <w:r>
        <w:t xml:space="preserve">Job sites</w:t>
      </w:r>
    </w:p>
    <w:p>
      <w:pPr>
        <w:pStyle w:val="Compact"/>
        <w:numPr>
          <w:ilvl w:val="0"/>
          <w:numId w:val="1019"/>
        </w:numPr>
      </w:pPr>
      <w:r>
        <w:t xml:space="preserve">Material logistics</w:t>
      </w:r>
    </w:p>
    <w:p>
      <w:pPr>
        <w:pStyle w:val="Compact"/>
        <w:numPr>
          <w:ilvl w:val="0"/>
          <w:numId w:val="1019"/>
        </w:numPr>
      </w:pPr>
      <w:r>
        <w:t xml:space="preserve">Digital project management</w:t>
      </w:r>
    </w:p>
    <w:p>
      <w:pPr>
        <w:pStyle w:val="FirstParagraph"/>
      </w:pPr>
      <w:r>
        <w:t xml:space="preserve">Avoid generic stock photography featuring people in hard hats simply looking at blueprints.</w:t>
      </w:r>
    </w:p>
    <w:p>
      <w:pPr>
        <w:pStyle w:val="BodyText"/>
      </w:pPr>
      <w:r>
        <w:t xml:space="preserve">Images should communicate</w:t>
      </w:r>
      <w:r>
        <w:t xml:space="preserve"> </w:t>
      </w:r>
      <w:r>
        <w:rPr>
          <w:b/>
          <w:bCs/>
        </w:rPr>
        <w:t xml:space="preserve">real construction operations</w:t>
      </w:r>
      <w:r>
        <w:t xml:space="preserve">.</w:t>
      </w:r>
    </w:p>
    <w:p>
      <w:r>
        <w:pict>
          <v:rect style="width:0;height:1.5pt" o:hralign="center" o:hrstd="t" o:hr="t"/>
        </w:pict>
      </w:r>
    </w:p>
    <w:bookmarkEnd w:id="85"/>
    <w:bookmarkStart w:id="87" w:name="website-positioning"/>
    <w:p>
      <w:pPr>
        <w:pStyle w:val="Heading1"/>
      </w:pPr>
      <w:r>
        <w:t xml:space="preserve">19. Website Positioning</w:t>
      </w:r>
    </w:p>
    <w:bookmarkStart w:id="86" w:name="homepage-hero"/>
    <w:p>
      <w:pPr>
        <w:pStyle w:val="Heading3"/>
      </w:pPr>
      <w:r>
        <w:t xml:space="preserve">Homepage Hero</w:t>
      </w:r>
    </w:p>
    <w:p>
      <w:pPr>
        <w:pStyle w:val="FirstParagraph"/>
      </w:pPr>
      <w:r>
        <w:rPr>
          <w:b/>
          <w:bCs/>
        </w:rPr>
        <w:t xml:space="preserve">FROM BID TO CLOSEOUT.</w:t>
      </w:r>
    </w:p>
    <w:p>
      <w:pPr>
        <w:pStyle w:val="BodyText"/>
      </w:pPr>
      <w:r>
        <w:rPr>
          <w:b/>
          <w:bCs/>
        </w:rPr>
        <w:t xml:space="preserve">The Construction Lifecycle Platform</w:t>
      </w:r>
    </w:p>
    <w:p>
      <w:pPr>
        <w:pStyle w:val="BodyText"/>
      </w:pPr>
      <w:r>
        <w:t xml:space="preserve">Connect projects, contracts, products, procurement, deliveries, financials, and closeout in one platform.</w:t>
      </w:r>
    </w:p>
    <w:p>
      <w:pPr>
        <w:pStyle w:val="BodyText"/>
      </w:pPr>
      <w:r>
        <w:rPr>
          <w:b/>
          <w:bCs/>
        </w:rPr>
        <w:t xml:space="preserve">[Request a Demo]</w:t>
      </w:r>
    </w:p>
    <w:p>
      <w:r>
        <w:pict>
          <v:rect style="width:0;height:1.5pt" o:hralign="center" o:hrstd="t" o:hr="t"/>
        </w:pict>
      </w:r>
    </w:p>
    <w:bookmarkEnd w:id="86"/>
    <w:bookmarkEnd w:id="87"/>
    <w:bookmarkStart w:id="88" w:name="competitive-positioning"/>
    <w:p>
      <w:pPr>
        <w:pStyle w:val="Heading1"/>
      </w:pPr>
      <w:r>
        <w:t xml:space="preserve">20. Competitive Positioning</w:t>
      </w:r>
    </w:p>
    <w:p>
      <w:pPr>
        <w:pStyle w:val="FirstParagraph"/>
      </w:pPr>
      <w:r>
        <w:t xml:space="preserve">Construct Lifecycle should not position itself simply as another:</w:t>
      </w:r>
    </w:p>
    <w:p>
      <w:pPr>
        <w:pStyle w:val="Compact"/>
        <w:numPr>
          <w:ilvl w:val="0"/>
          <w:numId w:val="1020"/>
        </w:numPr>
      </w:pPr>
      <w:r>
        <w:t xml:space="preserve">ERP</w:t>
      </w:r>
    </w:p>
    <w:p>
      <w:pPr>
        <w:pStyle w:val="Compact"/>
        <w:numPr>
          <w:ilvl w:val="0"/>
          <w:numId w:val="1020"/>
        </w:numPr>
      </w:pPr>
      <w:r>
        <w:t xml:space="preserve">CRM</w:t>
      </w:r>
    </w:p>
    <w:p>
      <w:pPr>
        <w:pStyle w:val="Compact"/>
        <w:numPr>
          <w:ilvl w:val="0"/>
          <w:numId w:val="1020"/>
        </w:numPr>
      </w:pPr>
      <w:r>
        <w:t xml:space="preserve">Estimating application</w:t>
      </w:r>
    </w:p>
    <w:p>
      <w:pPr>
        <w:pStyle w:val="Compact"/>
        <w:numPr>
          <w:ilvl w:val="0"/>
          <w:numId w:val="1020"/>
        </w:numPr>
      </w:pPr>
      <w:r>
        <w:t xml:space="preserve">Takeoff application</w:t>
      </w:r>
    </w:p>
    <w:p>
      <w:pPr>
        <w:pStyle w:val="Compact"/>
        <w:numPr>
          <w:ilvl w:val="0"/>
          <w:numId w:val="1020"/>
        </w:numPr>
      </w:pPr>
      <w:r>
        <w:t xml:space="preserve">Project management application</w:t>
      </w:r>
    </w:p>
    <w:p>
      <w:pPr>
        <w:pStyle w:val="Compact"/>
        <w:numPr>
          <w:ilvl w:val="0"/>
          <w:numId w:val="1020"/>
        </w:numPr>
      </w:pPr>
      <w:r>
        <w:t xml:space="preserve">Procurement system</w:t>
      </w:r>
    </w:p>
    <w:p>
      <w:pPr>
        <w:pStyle w:val="FirstParagraph"/>
      </w:pPr>
      <w:r>
        <w:t xml:space="preserve">Instead:</w:t>
      </w:r>
    </w:p>
    <w:p>
      <w:pPr>
        <w:pStyle w:val="BlockText"/>
      </w:pPr>
      <w:r>
        <w:rPr>
          <w:b/>
          <w:bCs/>
        </w:rPr>
        <w:t xml:space="preserve">Construct Lifecycle connects the systems and processes that already exist around the project and organizes them around the complete project lifecycle.</w:t>
      </w:r>
    </w:p>
    <w:p>
      <w:pPr>
        <w:pStyle w:val="FirstParagraph"/>
      </w:pPr>
      <w:r>
        <w:t xml:space="preserve">This distinction becomes particularly important as integrations with ERP, PIM, estimating, takeoff, accounting, ecommerce, and other specialized systems are introduced.</w:t>
      </w:r>
    </w:p>
    <w:p>
      <w:r>
        <w:pict>
          <v:rect style="width:0;height:1.5pt" o:hralign="center" o:hrstd="t" o:hr="t"/>
        </w:pict>
      </w:r>
    </w:p>
    <w:bookmarkEnd w:id="88"/>
    <w:bookmarkStart w:id="93" w:name="brand-evolution"/>
    <w:p>
      <w:pPr>
        <w:pStyle w:val="Heading1"/>
      </w:pPr>
      <w:r>
        <w:t xml:space="preserve">21. Brand Evolution</w:t>
      </w:r>
    </w:p>
    <w:p>
      <w:pPr>
        <w:pStyle w:val="FirstParagraph"/>
      </w:pPr>
      <w:r>
        <w:t xml:space="preserve">The initial product may be heavily influenced by material suppliers and specialty construction businesses.</w:t>
      </w:r>
    </w:p>
    <w:p>
      <w:pPr>
        <w:pStyle w:val="BodyText"/>
      </w:pPr>
      <w:r>
        <w:t xml:space="preserve">The brand should nevertheless maintain a broader identity.</w:t>
      </w:r>
    </w:p>
    <w:bookmarkStart w:id="89" w:name="phase-1"/>
    <w:p>
      <w:pPr>
        <w:pStyle w:val="Heading3"/>
      </w:pPr>
      <w:r>
        <w:t xml:space="preserve">Phase 1</w:t>
      </w:r>
    </w:p>
    <w:p>
      <w:pPr>
        <w:pStyle w:val="FirstParagraph"/>
      </w:pPr>
      <w:r>
        <w:rPr>
          <w:b/>
          <w:bCs/>
        </w:rPr>
        <w:t xml:space="preserve">Construction Product Suppliers</w:t>
      </w:r>
    </w:p>
    <w:p>
      <w:pPr>
        <w:pStyle w:val="BodyText"/>
      </w:pPr>
      <w:r>
        <w:t xml:space="preserve">Bid → Contract → Products → Orders → Delivery → Financials → Closeout</w:t>
      </w:r>
    </w:p>
    <w:bookmarkEnd w:id="89"/>
    <w:bookmarkStart w:id="90" w:name="phase-2"/>
    <w:p>
      <w:pPr>
        <w:pStyle w:val="Heading3"/>
      </w:pPr>
      <w:r>
        <w:t xml:space="preserve">Phase 2</w:t>
      </w:r>
    </w:p>
    <w:p>
      <w:pPr>
        <w:pStyle w:val="FirstParagraph"/>
      </w:pPr>
      <w:r>
        <w:rPr>
          <w:b/>
          <w:bCs/>
        </w:rPr>
        <w:t xml:space="preserve">Developers &amp; Builders</w:t>
      </w:r>
    </w:p>
    <w:p>
      <w:pPr>
        <w:pStyle w:val="BodyText"/>
      </w:pPr>
      <w:r>
        <w:t xml:space="preserve">Opportunity → Project → Procurement → Construction → Financials → Closeout</w:t>
      </w:r>
    </w:p>
    <w:bookmarkEnd w:id="90"/>
    <w:bookmarkStart w:id="91" w:name="phase-3"/>
    <w:p>
      <w:pPr>
        <w:pStyle w:val="Heading3"/>
      </w:pPr>
      <w:r>
        <w:t xml:space="preserve">Phase 3</w:t>
      </w:r>
    </w:p>
    <w:p>
      <w:pPr>
        <w:pStyle w:val="FirstParagraph"/>
      </w:pPr>
      <w:r>
        <w:rPr>
          <w:b/>
          <w:bCs/>
        </w:rPr>
        <w:t xml:space="preserve">General Contractors</w:t>
      </w:r>
    </w:p>
    <w:p>
      <w:pPr>
        <w:pStyle w:val="BodyText"/>
      </w:pPr>
      <w:r>
        <w:t xml:space="preserve">Bid → Estimate → Contract → Subcontract → Procurement → Project Execution → Financials → Closeout</w:t>
      </w:r>
    </w:p>
    <w:bookmarkEnd w:id="91"/>
    <w:bookmarkStart w:id="92" w:name="long-term"/>
    <w:p>
      <w:pPr>
        <w:pStyle w:val="Heading3"/>
      </w:pPr>
      <w:r>
        <w:t xml:space="preserve">Long-Term</w:t>
      </w:r>
    </w:p>
    <w:p>
      <w:pPr>
        <w:pStyle w:val="FirstParagraph"/>
      </w:pPr>
      <w:r>
        <w:rPr>
          <w:b/>
          <w:bCs/>
        </w:rPr>
        <w:t xml:space="preserve">Construction Lifecycle Operating Platform</w:t>
      </w:r>
    </w:p>
    <w:p>
      <w:pPr>
        <w:pStyle w:val="BodyText"/>
      </w:pPr>
      <w:r>
        <w:t xml:space="preserve">A connected ecosystem spanning the commercial and operational lifecycle of construction projects.</w:t>
      </w:r>
    </w:p>
    <w:p>
      <w:r>
        <w:pict>
          <v:rect style="width:0;height:1.5pt" o:hralign="center" o:hrstd="t" o:hr="t"/>
        </w:pict>
      </w:r>
    </w:p>
    <w:bookmarkEnd w:id="92"/>
    <w:bookmarkEnd w:id="93"/>
    <w:bookmarkStart w:id="94" w:name="brand-naming-convention"/>
    <w:p>
      <w:pPr>
        <w:pStyle w:val="Heading1"/>
      </w:pPr>
      <w:r>
        <w:t xml:space="preserve">22. Brand Naming Convention</w:t>
      </w:r>
    </w:p>
    <w:p>
      <w:pPr>
        <w:pStyle w:val="FirstParagraph"/>
      </w:pPr>
      <w:r>
        <w:t xml:space="preserve">Use:</w:t>
      </w:r>
    </w:p>
    <w:p>
      <w:pPr>
        <w:pStyle w:val="BodyText"/>
      </w:pPr>
      <w:r>
        <w:rPr>
          <w:b/>
          <w:bCs/>
        </w:rPr>
        <w:t xml:space="preserve">Construct Lifecycle</w:t>
      </w:r>
    </w:p>
    <w:p>
      <w:pPr>
        <w:pStyle w:val="BodyText"/>
      </w:pPr>
      <w:r>
        <w:t xml:space="preserve">for formal/company references.</w:t>
      </w:r>
    </w:p>
    <w:p>
      <w:pPr>
        <w:pStyle w:val="BodyText"/>
      </w:pPr>
      <w:r>
        <w:t xml:space="preserve">Use:</w:t>
      </w:r>
    </w:p>
    <w:p>
      <w:pPr>
        <w:pStyle w:val="BodyText"/>
      </w:pPr>
      <w:r>
        <w:rPr>
          <w:b/>
          <w:bCs/>
        </w:rPr>
        <w:t xml:space="preserve">Construct LC</w:t>
      </w:r>
    </w:p>
    <w:p>
      <w:pPr>
        <w:pStyle w:val="BodyText"/>
      </w:pPr>
      <w:r>
        <w:t xml:space="preserve">for the product/application and conversational references.</w:t>
      </w:r>
    </w:p>
    <w:p>
      <w:pPr>
        <w:pStyle w:val="BodyText"/>
      </w:pPr>
      <w:r>
        <w:t xml:space="preserve">Examples:</w:t>
      </w:r>
    </w:p>
    <w:p>
      <w:pPr>
        <w:pStyle w:val="BlockText"/>
      </w:pPr>
      <w:r>
        <w:t xml:space="preserve">Welcome to Construct LC.</w:t>
      </w:r>
    </w:p>
    <w:p>
      <w:pPr>
        <w:pStyle w:val="BlockText"/>
      </w:pPr>
      <w:r>
        <w:t xml:space="preserve">Construct Lifecycle provides construction lifecycle management software.</w:t>
      </w:r>
    </w:p>
    <w:p>
      <w:pPr>
        <w:pStyle w:val="BlockText"/>
      </w:pPr>
      <w:r>
        <w:t xml:space="preserve">Manage your projects with Construct LC.</w:t>
      </w:r>
    </w:p>
    <w:p>
      <w:pPr>
        <w:pStyle w:val="FirstParagraph"/>
      </w:pPr>
      <w:r>
        <w:t xml:space="preserve">Avoid:</w:t>
      </w:r>
    </w:p>
    <w:p>
      <w:pPr>
        <w:pStyle w:val="BlockText"/>
      </w:pPr>
      <w:r>
        <w:t xml:space="preserve">Construct Lifecycle LC</w:t>
      </w:r>
    </w:p>
    <w:p>
      <w:pPr>
        <w:pStyle w:val="BlockText"/>
      </w:pPr>
      <w:r>
        <w:t xml:space="preserve">ConstructLifecycle Software</w:t>
      </w:r>
    </w:p>
    <w:p>
      <w:pPr>
        <w:pStyle w:val="BlockText"/>
      </w:pPr>
      <w:r>
        <w:t xml:space="preserve">Construct LC Software Platform</w:t>
      </w:r>
    </w:p>
    <w:p>
      <w:pPr>
        <w:pStyle w:val="FirstParagraph"/>
      </w:pPr>
      <w:r>
        <w:t xml:space="preserve">unless necessary for legal or technical clarification.</w:t>
      </w:r>
    </w:p>
    <w:p>
      <w:r>
        <w:pict>
          <v:rect style="width:0;height:1.5pt" o:hralign="center" o:hrstd="t" o:hr="t"/>
        </w:pict>
      </w:r>
    </w:p>
    <w:bookmarkEnd w:id="94"/>
    <w:bookmarkStart w:id="97" w:name="domain-strategy"/>
    <w:p>
      <w:pPr>
        <w:pStyle w:val="Heading1"/>
      </w:pPr>
      <w:r>
        <w:t xml:space="preserve">23. Domain Strategy</w:t>
      </w:r>
    </w:p>
    <w:bookmarkStart w:id="95" w:name="primary-1"/>
    <w:p>
      <w:pPr>
        <w:pStyle w:val="Heading3"/>
      </w:pPr>
      <w:r>
        <w:t xml:space="preserve">Primary</w:t>
      </w:r>
    </w:p>
    <w:p>
      <w:pPr>
        <w:pStyle w:val="FirstParagraph"/>
      </w:pPr>
      <w:r>
        <w:rPr>
          <w:b/>
          <w:bCs/>
        </w:rPr>
        <w:t xml:space="preserve">ConstructLifeCycle.com</w:t>
      </w:r>
    </w:p>
    <w:p>
      <w:pPr>
        <w:pStyle w:val="BodyText"/>
      </w:pPr>
      <w:r>
        <w:t xml:space="preserve">This should be the primary public-facing domain.</w:t>
      </w:r>
    </w:p>
    <w:bookmarkEnd w:id="95"/>
    <w:bookmarkStart w:id="96" w:name="secondary"/>
    <w:p>
      <w:pPr>
        <w:pStyle w:val="Heading3"/>
      </w:pPr>
      <w:r>
        <w:t xml:space="preserve">Secondary</w:t>
      </w:r>
    </w:p>
    <w:p>
      <w:pPr>
        <w:pStyle w:val="FirstParagraph"/>
      </w:pPr>
      <w:r>
        <w:rPr>
          <w:b/>
          <w:bCs/>
        </w:rPr>
        <w:t xml:space="preserve">ConstructLC.com</w:t>
      </w:r>
    </w:p>
    <w:p>
      <w:pPr>
        <w:pStyle w:val="BodyText"/>
      </w:pPr>
      <w:r>
        <w:t xml:space="preserve">Use as a short URL and redirect it to the primary domain.</w:t>
      </w:r>
    </w:p>
    <w:p>
      <w:pPr>
        <w:pStyle w:val="BodyText"/>
      </w:pPr>
      <w:r>
        <w:t xml:space="preserve">The short domain can become increasingly valuable as the</w:t>
      </w:r>
      <w:r>
        <w:t xml:space="preserve"> </w:t>
      </w:r>
      <w:r>
        <w:rPr>
          <w:b/>
          <w:bCs/>
        </w:rPr>
        <w:t xml:space="preserve">Construct LC</w:t>
      </w:r>
      <w:r>
        <w:t xml:space="preserve"> </w:t>
      </w:r>
      <w:r>
        <w:t xml:space="preserve">brand becomes established.</w:t>
      </w:r>
    </w:p>
    <w:p>
      <w:r>
        <w:pict>
          <v:rect style="width:0;height:1.5pt" o:hralign="center" o:hrstd="t" o:hr="t"/>
        </w:pict>
      </w:r>
    </w:p>
    <w:bookmarkEnd w:id="96"/>
    <w:bookmarkEnd w:id="97"/>
    <w:bookmarkStart w:id="98" w:name="brand-signature"/>
    <w:p>
      <w:pPr>
        <w:pStyle w:val="Heading1"/>
      </w:pPr>
      <w:r>
        <w:t xml:space="preserve">24. Brand Signature</w:t>
      </w:r>
    </w:p>
    <w:p>
      <w:pPr>
        <w:pStyle w:val="FirstParagraph"/>
      </w:pPr>
      <w:r>
        <w:t xml:space="preserve">The preferred brand signature is:</w:t>
      </w:r>
    </w:p>
    <w:p>
      <w:pPr>
        <w:pStyle w:val="BodyText"/>
      </w:pPr>
      <w:r>
        <w:rPr>
          <w:b/>
          <w:bCs/>
        </w:rPr>
        <w:t xml:space="preserve">CONSTRUCT LIFECYCLE™</w:t>
      </w:r>
    </w:p>
    <w:p>
      <w:pPr>
        <w:pStyle w:val="BodyText"/>
      </w:pPr>
      <w:r>
        <w:rPr>
          <w:b/>
          <w:bCs/>
        </w:rPr>
        <w:t xml:space="preserve">FROM BID TO CLOSEOUT</w:t>
      </w:r>
    </w:p>
    <w:p>
      <w:pPr>
        <w:pStyle w:val="BodyText"/>
      </w:pPr>
      <w:r>
        <w:t xml:space="preserve">The CL icon may be used independently when the brand has already been established or when space is limited.</w:t>
      </w:r>
    </w:p>
    <w:p>
      <w:r>
        <w:pict>
          <v:rect style="width:0;height:1.5pt" o:hralign="center" o:hrstd="t" o:hr="t"/>
        </w:pict>
      </w:r>
    </w:p>
    <w:bookmarkEnd w:id="98"/>
    <w:bookmarkStart w:id="99" w:name="brand-north-star"/>
    <w:p>
      <w:pPr>
        <w:pStyle w:val="Heading1"/>
      </w:pPr>
      <w:r>
        <w:t xml:space="preserve">25. Brand North Star</w:t>
      </w:r>
    </w:p>
    <w:p>
      <w:pPr>
        <w:pStyle w:val="FirstParagraph"/>
      </w:pPr>
      <w:r>
        <w:t xml:space="preserve">Everything about Construct Lifecycle should reinforce one idea:</w:t>
      </w:r>
    </w:p>
    <w:p>
      <w:pPr>
        <w:pStyle w:val="BlockText"/>
      </w:pPr>
      <w:r>
        <w:rPr>
          <w:b/>
          <w:bCs/>
        </w:rPr>
        <w:t xml:space="preserve">Construction projects are a lifecycle—not a collection of disconnected transactions.</w:t>
      </w:r>
    </w:p>
    <w:p>
      <w:pPr>
        <w:pStyle w:val="FirstParagraph"/>
      </w:pPr>
      <w:r>
        <w:t xml:space="preserve">Construct Lifecycle exists to connect that lifecycle.</w:t>
      </w:r>
    </w:p>
    <w:p>
      <w:pPr>
        <w:pStyle w:val="BodyText"/>
      </w:pPr>
      <w:r>
        <w:rPr>
          <w:b/>
          <w:bCs/>
        </w:rPr>
        <w:t xml:space="preserve">From Bid to Closeout.</w:t>
      </w:r>
    </w:p>
    <w:bookmarkEnd w:id="9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file>