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B1ED2" w14:textId="77777777" w:rsidR="008C6706" w:rsidRDefault="00000000">
      <w:pPr>
        <w:spacing w:before="2600"/>
        <w:jc w:val="center"/>
        <w:rPr>
          <w:lang w:eastAsia="ja-JP"/>
        </w:rPr>
      </w:pPr>
      <w:r>
        <w:rPr>
          <w:rFonts w:ascii="Yu Gothic" w:eastAsia="Yu Gothic" w:hAnsi="Yu Gothic" w:cs="Yu Gothic"/>
          <w:b/>
          <w:bCs/>
          <w:color w:val="1F3864"/>
          <w:sz w:val="40"/>
          <w:szCs w:val="40"/>
          <w:lang w:eastAsia="ja-JP"/>
        </w:rPr>
        <w:t>海外有名大学における</w:t>
      </w:r>
    </w:p>
    <w:p w14:paraId="436A10DE" w14:textId="77777777" w:rsidR="008C6706" w:rsidRDefault="00000000">
      <w:pPr>
        <w:jc w:val="center"/>
        <w:rPr>
          <w:lang w:eastAsia="ja-JP"/>
        </w:rPr>
      </w:pPr>
      <w:r>
        <w:rPr>
          <w:rFonts w:ascii="Yu Gothic" w:eastAsia="Yu Gothic" w:hAnsi="Yu Gothic" w:cs="Yu Gothic"/>
          <w:b/>
          <w:bCs/>
          <w:color w:val="1F3864"/>
          <w:sz w:val="40"/>
          <w:szCs w:val="40"/>
          <w:lang w:eastAsia="ja-JP"/>
        </w:rPr>
        <w:t>寄付受入れスクリーニングに関する</w:t>
      </w:r>
    </w:p>
    <w:p w14:paraId="5715DF6D" w14:textId="77777777" w:rsidR="008C6706" w:rsidRDefault="00000000">
      <w:pPr>
        <w:spacing w:after="300"/>
        <w:jc w:val="center"/>
        <w:rPr>
          <w:lang w:eastAsia="ja-JP"/>
        </w:rPr>
      </w:pPr>
      <w:r>
        <w:rPr>
          <w:rFonts w:ascii="Yu Gothic" w:eastAsia="Yu Gothic" w:hAnsi="Yu Gothic" w:cs="Yu Gothic"/>
          <w:b/>
          <w:bCs/>
          <w:color w:val="1F3864"/>
          <w:sz w:val="40"/>
          <w:szCs w:val="40"/>
          <w:lang w:eastAsia="ja-JP"/>
        </w:rPr>
        <w:t>ポリシー・手続きの調査報告書</w:t>
      </w:r>
    </w:p>
    <w:p w14:paraId="7D293D13" w14:textId="77777777" w:rsidR="008C6706" w:rsidRDefault="00000000">
      <w:pPr>
        <w:spacing w:after="120"/>
        <w:jc w:val="center"/>
        <w:rPr>
          <w:lang w:eastAsia="ja-JP"/>
        </w:rPr>
      </w:pPr>
      <w:r>
        <w:rPr>
          <w:rFonts w:ascii="Yu Gothic" w:eastAsia="Yu Gothic" w:hAnsi="Yu Gothic" w:cs="Yu Gothic"/>
          <w:color w:val="2E5496"/>
          <w:sz w:val="24"/>
          <w:szCs w:val="24"/>
          <w:lang w:eastAsia="ja-JP"/>
        </w:rPr>
        <w:t>— 米国・英国大学および大学病院の事例に基づくベンチマーク —</w:t>
      </w:r>
    </w:p>
    <w:p w14:paraId="3218F1FF" w14:textId="77777777" w:rsidR="008C6706" w:rsidRDefault="00000000">
      <w:pPr>
        <w:spacing w:before="1200"/>
        <w:jc w:val="center"/>
        <w:rPr>
          <w:lang w:eastAsia="ja-JP"/>
        </w:rPr>
      </w:pPr>
      <w:r>
        <w:rPr>
          <w:rFonts w:ascii="Yu Gothic" w:eastAsia="Yu Gothic" w:hAnsi="Yu Gothic" w:cs="Yu Gothic"/>
          <w:sz w:val="22"/>
          <w:szCs w:val="22"/>
          <w:lang w:eastAsia="ja-JP"/>
        </w:rPr>
        <w:t>国内大学における寄付関連規定・手続きの策定に向けた参考資料</w:t>
      </w:r>
    </w:p>
    <w:p w14:paraId="0208934A" w14:textId="77777777" w:rsidR="008C6706" w:rsidRDefault="00000000">
      <w:pPr>
        <w:spacing w:before="2000"/>
        <w:jc w:val="center"/>
      </w:pPr>
      <w:r>
        <w:rPr>
          <w:rFonts w:ascii="Yu Gothic" w:eastAsia="Yu Gothic" w:hAnsi="Yu Gothic" w:cs="Yu Gothic"/>
          <w:sz w:val="22"/>
          <w:szCs w:val="22"/>
        </w:rPr>
        <w:t>2026年7月</w:t>
      </w:r>
    </w:p>
    <w:p w14:paraId="1E073495" w14:textId="77777777" w:rsidR="008C6706" w:rsidRDefault="00000000">
      <w:r>
        <w:br w:type="page"/>
      </w:r>
    </w:p>
    <w:p w14:paraId="1579028A" w14:textId="77777777" w:rsidR="008C6706" w:rsidRDefault="00000000">
      <w:pPr>
        <w:pStyle w:val="Heading1"/>
      </w:pPr>
      <w:r>
        <w:lastRenderedPageBreak/>
        <w:t>目次</w:t>
      </w:r>
    </w:p>
    <w:sdt>
      <w:sdtPr>
        <w:alias w:val="Table of Contents"/>
        <w:id w:val="-164329451"/>
      </w:sdtPr>
      <w:sdtContent>
        <w:p w14:paraId="5E631A68" w14:textId="77777777" w:rsidR="008C6706" w:rsidRDefault="00000000">
          <w:r>
            <w:fldChar w:fldCharType="begin"/>
          </w:r>
          <w:r>
            <w:instrText>TOC \h \o "1-2"</w:instrText>
          </w:r>
          <w:r>
            <w:fldChar w:fldCharType="separate"/>
          </w:r>
        </w:p>
        <w:p w14:paraId="1AF9036A" w14:textId="77777777" w:rsidR="008C6706" w:rsidRDefault="00000000">
          <w:r>
            <w:fldChar w:fldCharType="end"/>
          </w:r>
        </w:p>
      </w:sdtContent>
    </w:sdt>
    <w:p w14:paraId="5E04C81B" w14:textId="77777777" w:rsidR="008C6706" w:rsidRDefault="00000000">
      <w:r>
        <w:br w:type="page"/>
      </w:r>
    </w:p>
    <w:p w14:paraId="787DA266" w14:textId="77777777" w:rsidR="008C6706" w:rsidRDefault="00000000">
      <w:pPr>
        <w:pStyle w:val="Heading1"/>
        <w:rPr>
          <w:lang w:eastAsia="ja-JP"/>
        </w:rPr>
      </w:pPr>
      <w:r>
        <w:rPr>
          <w:lang w:eastAsia="ja-JP"/>
        </w:rPr>
        <w:lastRenderedPageBreak/>
        <w:t>エグゼクティブ・サマリー</w:t>
      </w:r>
    </w:p>
    <w:p w14:paraId="06CC2728" w14:textId="77777777" w:rsidR="008C6706" w:rsidRDefault="00000000">
      <w:pPr>
        <w:spacing w:after="140" w:line="300" w:lineRule="auto"/>
        <w:jc w:val="both"/>
        <w:rPr>
          <w:lang w:eastAsia="ja-JP"/>
        </w:rPr>
      </w:pPr>
      <w:r>
        <w:rPr>
          <w:lang w:eastAsia="ja-JP"/>
        </w:rPr>
        <w:t>本報告書は、米国および英国の有名大学（大学病院を含む）が、寄付を受け入れる際に実施している</w:t>
      </w:r>
      <w:r>
        <w:rPr>
          <w:b/>
          <w:bCs/>
          <w:lang w:eastAsia="ja-JP"/>
        </w:rPr>
        <w:t>スクリーニング（寄付元・寄付条件の審査）に関するポリシーおよび手続き</w:t>
      </w:r>
      <w:r>
        <w:rPr>
          <w:lang w:eastAsia="ja-JP"/>
        </w:rPr>
        <w:t>を調査し、国内大学が同種の規定を整備する際のベンチマークとして整理したものである。</w:t>
      </w:r>
    </w:p>
    <w:p w14:paraId="6106E5FF" w14:textId="77777777" w:rsidR="008C6706" w:rsidRDefault="00000000">
      <w:pPr>
        <w:spacing w:after="140" w:line="300" w:lineRule="auto"/>
        <w:jc w:val="both"/>
      </w:pPr>
      <w:r>
        <w:rPr>
          <w:lang w:eastAsia="ja-JP"/>
        </w:rPr>
        <w:t>調査の結果、いずれの大学でも、寄付の受入れは「善意の受贈」ではなく、</w:t>
      </w:r>
      <w:r>
        <w:rPr>
          <w:b/>
          <w:bCs/>
          <w:lang w:eastAsia="ja-JP"/>
        </w:rPr>
        <w:t>大学の評判・法務・財務上のリスクを管理するための正式な統制プロセス</w:t>
      </w:r>
      <w:r>
        <w:rPr>
          <w:lang w:eastAsia="ja-JP"/>
        </w:rPr>
        <w:t>として制度化されていることが確認された。</w:t>
      </w:r>
      <w:r>
        <w:t>共通する骨格は次の3層構造である。</w:t>
      </w:r>
    </w:p>
    <w:p w14:paraId="60B257E1" w14:textId="77777777" w:rsidR="008C6706" w:rsidRDefault="00000000">
      <w:pPr>
        <w:pStyle w:val="ListParagraph"/>
        <w:numPr>
          <w:ilvl w:val="0"/>
          <w:numId w:val="2"/>
        </w:numPr>
        <w:spacing w:after="80" w:line="288" w:lineRule="auto"/>
        <w:rPr>
          <w:lang w:eastAsia="ja-JP"/>
        </w:rPr>
      </w:pPr>
      <w:r>
        <w:rPr>
          <w:b/>
          <w:bCs/>
          <w:lang w:eastAsia="ja-JP"/>
        </w:rPr>
        <w:t>① 寄付元の適格性審査（デューデリジェンス）</w:t>
      </w:r>
      <w:r>
        <w:rPr>
          <w:lang w:eastAsia="ja-JP"/>
        </w:rPr>
        <w:t>：資金源の合法性、制裁リスト・反マネーロンダリング（AML）確認、寄付者の来歴・評判調査を、金額の閾値に応じて段階的に実施。</w:t>
      </w:r>
    </w:p>
    <w:p w14:paraId="34E23053" w14:textId="77777777" w:rsidR="008C6706" w:rsidRDefault="00000000">
      <w:pPr>
        <w:pStyle w:val="ListParagraph"/>
        <w:numPr>
          <w:ilvl w:val="0"/>
          <w:numId w:val="2"/>
        </w:numPr>
        <w:spacing w:after="80" w:line="288" w:lineRule="auto"/>
      </w:pPr>
      <w:r>
        <w:rPr>
          <w:b/>
          <w:bCs/>
        </w:rPr>
        <w:t>② 審査・意思決定の体制</w:t>
      </w:r>
      <w:r>
        <w:t>：一定金額以上・高リスク案件を専門委員会（Gift Acceptance / Review Committee 等）に付議し、承認・拒否・返還の権限を明確化。</w:t>
      </w:r>
    </w:p>
    <w:p w14:paraId="6464B4F8" w14:textId="77777777" w:rsidR="008C6706" w:rsidRDefault="00000000">
      <w:pPr>
        <w:pStyle w:val="ListParagraph"/>
        <w:numPr>
          <w:ilvl w:val="0"/>
          <w:numId w:val="2"/>
        </w:numPr>
        <w:spacing w:after="80" w:line="288" w:lineRule="auto"/>
        <w:rPr>
          <w:lang w:eastAsia="ja-JP"/>
        </w:rPr>
      </w:pPr>
      <w:r>
        <w:rPr>
          <w:b/>
          <w:bCs/>
          <w:lang w:eastAsia="ja-JP"/>
        </w:rPr>
        <w:t>③ 利益相反・倫理の統制</w:t>
      </w:r>
      <w:r>
        <w:rPr>
          <w:lang w:eastAsia="ja-JP"/>
        </w:rPr>
        <w:t>：学問の自由・大学の自律性を害する条件を拒否し、命名（naming）や研究独立性、利益相反（COI）を横断的に審査。</w:t>
      </w:r>
    </w:p>
    <w:p w14:paraId="067F7F9D" w14:textId="77777777" w:rsidR="008C6706" w:rsidRDefault="00000000">
      <w:pPr>
        <w:spacing w:after="140" w:line="300" w:lineRule="auto"/>
        <w:jc w:val="both"/>
        <w:rPr>
          <w:lang w:eastAsia="ja-JP"/>
        </w:rPr>
      </w:pPr>
      <w:r>
        <w:t>大学病院に特有の論点として、</w:t>
      </w:r>
      <w:r>
        <w:rPr>
          <w:b/>
          <w:bCs/>
        </w:rPr>
        <w:t>感謝患者による寄付（grateful patient philanthropy）</w:t>
      </w:r>
      <w:r>
        <w:t>とHIPAA（患者情報保護）・医療倫理の緊張関係があり、Johns Hopkins等が独立した倫理指針を整備している。</w:t>
      </w:r>
      <w:r>
        <w:rPr>
          <w:lang w:eastAsia="ja-JP"/>
        </w:rPr>
        <w:t>詳細および国内規定への示唆は第6章・第7章に記載する。</w:t>
      </w:r>
    </w:p>
    <w:p w14:paraId="644F64A1" w14:textId="77777777" w:rsidR="008C6706" w:rsidRDefault="00000000">
      <w:pPr>
        <w:rPr>
          <w:lang w:eastAsia="ja-JP"/>
        </w:rPr>
      </w:pPr>
      <w:r>
        <w:rPr>
          <w:lang w:eastAsia="ja-JP"/>
        </w:rPr>
        <w:br w:type="page"/>
      </w:r>
    </w:p>
    <w:p w14:paraId="54D44FFA" w14:textId="77777777" w:rsidR="008C6706" w:rsidRDefault="00000000">
      <w:pPr>
        <w:pStyle w:val="Heading1"/>
        <w:rPr>
          <w:lang w:eastAsia="ja-JP"/>
        </w:rPr>
      </w:pPr>
      <w:r>
        <w:rPr>
          <w:lang w:eastAsia="ja-JP"/>
        </w:rPr>
        <w:lastRenderedPageBreak/>
        <w:t>1. 調査の背景・目的と対象範囲</w:t>
      </w:r>
    </w:p>
    <w:p w14:paraId="700CFB57" w14:textId="77777777" w:rsidR="008C6706" w:rsidRDefault="00000000">
      <w:pPr>
        <w:pStyle w:val="Heading2"/>
        <w:rPr>
          <w:lang w:eastAsia="ja-JP"/>
        </w:rPr>
      </w:pPr>
      <w:r>
        <w:rPr>
          <w:lang w:eastAsia="ja-JP"/>
        </w:rPr>
        <w:t>1.1 背景と目的</w:t>
      </w:r>
    </w:p>
    <w:p w14:paraId="3D132A6C" w14:textId="77777777" w:rsidR="008C6706" w:rsidRDefault="00000000">
      <w:pPr>
        <w:spacing w:after="140" w:line="300" w:lineRule="auto"/>
        <w:jc w:val="both"/>
        <w:rPr>
          <w:lang w:eastAsia="ja-JP"/>
        </w:rPr>
      </w:pPr>
      <w:r>
        <w:rPr>
          <w:lang w:eastAsia="ja-JP"/>
        </w:rPr>
        <w:t>大学に対する寄付は財政基盤を支える一方、寄付者の資金源や意図によっては、大学の評判・独立性・法令遵守に重大なリスクをもたらし得る。米英の有名大学では、著名な不祥事（例：Epstein氏からの寄付をめぐるHarvard等での問題）を契機に、寄付受入れの審査を明文化・体系化する動きが加速した。本報告書は、これら先行事例を整理し、国内大学が寄付関連規定を策定する際の</w:t>
      </w:r>
      <w:r>
        <w:rPr>
          <w:b/>
          <w:bCs/>
          <w:lang w:eastAsia="ja-JP"/>
        </w:rPr>
        <w:t>参照枠組み</w:t>
      </w:r>
      <w:r>
        <w:rPr>
          <w:lang w:eastAsia="ja-JP"/>
        </w:rPr>
        <w:t>を提供することを目的とする。</w:t>
      </w:r>
    </w:p>
    <w:p w14:paraId="234F47C7" w14:textId="77777777" w:rsidR="008C6706" w:rsidRDefault="00000000">
      <w:pPr>
        <w:pStyle w:val="Heading2"/>
        <w:rPr>
          <w:lang w:eastAsia="ja-JP"/>
        </w:rPr>
      </w:pPr>
      <w:r>
        <w:rPr>
          <w:lang w:eastAsia="ja-JP"/>
        </w:rPr>
        <w:t>1.2 対象範囲と重点観点</w:t>
      </w:r>
    </w:p>
    <w:p w14:paraId="33816F44" w14:textId="77777777" w:rsidR="008C6706" w:rsidRDefault="00000000">
      <w:pPr>
        <w:spacing w:after="140" w:line="300" w:lineRule="auto"/>
        <w:jc w:val="both"/>
        <w:rPr>
          <w:lang w:eastAsia="ja-JP"/>
        </w:rPr>
      </w:pPr>
      <w:r>
        <w:rPr>
          <w:lang w:eastAsia="ja-JP"/>
        </w:rPr>
        <w:t>本調査は、依頼者の指定に基づき、以下の3つの観点を重点として整理した。大学病院固有の論点も併せて扱う。</w:t>
      </w:r>
    </w:p>
    <w:p w14:paraId="0796529B" w14:textId="77777777" w:rsidR="008C6706" w:rsidRDefault="00000000">
      <w:pPr>
        <w:pStyle w:val="ListParagraph"/>
        <w:numPr>
          <w:ilvl w:val="0"/>
          <w:numId w:val="2"/>
        </w:numPr>
        <w:spacing w:after="80" w:line="288" w:lineRule="auto"/>
        <w:rPr>
          <w:lang w:eastAsia="ja-JP"/>
        </w:rPr>
      </w:pPr>
      <w:r>
        <w:rPr>
          <w:b/>
          <w:bCs/>
          <w:lang w:eastAsia="ja-JP"/>
        </w:rPr>
        <w:t>観点A：寄付元の適格性審査（デューデリジェンス）</w:t>
      </w:r>
      <w:r>
        <w:rPr>
          <w:lang w:eastAsia="ja-JP"/>
        </w:rPr>
        <w:t>— 資金源・寄付者の来歴確認、AML/制裁確認、KYC。</w:t>
      </w:r>
    </w:p>
    <w:p w14:paraId="2CEBC20D" w14:textId="77777777" w:rsidR="008C6706" w:rsidRDefault="00000000">
      <w:pPr>
        <w:pStyle w:val="ListParagraph"/>
        <w:numPr>
          <w:ilvl w:val="0"/>
          <w:numId w:val="2"/>
        </w:numPr>
        <w:spacing w:after="80" w:line="288" w:lineRule="auto"/>
        <w:rPr>
          <w:lang w:eastAsia="ja-JP"/>
        </w:rPr>
      </w:pPr>
      <w:r>
        <w:rPr>
          <w:b/>
          <w:bCs/>
          <w:lang w:eastAsia="ja-JP"/>
        </w:rPr>
        <w:t>観点B：審査・意思決定の体制</w:t>
      </w:r>
      <w:r>
        <w:rPr>
          <w:lang w:eastAsia="ja-JP"/>
        </w:rPr>
        <w:t>— 委員会の構成、承認権限、拒否・返還の手続き。</w:t>
      </w:r>
    </w:p>
    <w:p w14:paraId="6B8039F9" w14:textId="77777777" w:rsidR="008C6706" w:rsidRDefault="00000000">
      <w:pPr>
        <w:pStyle w:val="ListParagraph"/>
        <w:numPr>
          <w:ilvl w:val="0"/>
          <w:numId w:val="2"/>
        </w:numPr>
        <w:spacing w:after="80" w:line="288" w:lineRule="auto"/>
        <w:rPr>
          <w:lang w:eastAsia="ja-JP"/>
        </w:rPr>
      </w:pPr>
      <w:r>
        <w:rPr>
          <w:b/>
          <w:bCs/>
          <w:lang w:eastAsia="ja-JP"/>
        </w:rPr>
        <w:t>観点C：利益相反・倫理</w:t>
      </w:r>
      <w:r>
        <w:rPr>
          <w:lang w:eastAsia="ja-JP"/>
        </w:rPr>
        <w:t>— 学問の自由、大学の自律性、命名、COI管理。</w:t>
      </w:r>
    </w:p>
    <w:p w14:paraId="313CE9B6" w14:textId="77777777" w:rsidR="008C6706" w:rsidRDefault="00000000">
      <w:pPr>
        <w:spacing w:after="140" w:line="300" w:lineRule="auto"/>
        <w:jc w:val="both"/>
        <w:rPr>
          <w:lang w:eastAsia="ja-JP"/>
        </w:rPr>
      </w:pPr>
      <w:r>
        <w:rPr>
          <w:b/>
          <w:bCs/>
          <w:lang w:eastAsia="ja-JP"/>
        </w:rPr>
        <w:t>【留意事項】</w:t>
      </w:r>
      <w:r>
        <w:rPr>
          <w:lang w:eastAsia="ja-JP"/>
        </w:rPr>
        <w:t xml:space="preserve"> 各大学のポリシーは随時改定される。本報告書は2026年7月時点で公開されている一次情報（各大学の公式ポリシー文書等）に基づく。実際の規定策定にあたっては、最新版の原典（第9章の出典）を確認されたい。金額の閾値や委員会名称は当該時点の公表値である。</w:t>
      </w:r>
    </w:p>
    <w:p w14:paraId="08DEC64F" w14:textId="77777777" w:rsidR="008C6706" w:rsidRDefault="00000000">
      <w:pPr>
        <w:rPr>
          <w:lang w:eastAsia="ja-JP"/>
        </w:rPr>
      </w:pPr>
      <w:r>
        <w:rPr>
          <w:lang w:eastAsia="ja-JP"/>
        </w:rPr>
        <w:br w:type="page"/>
      </w:r>
    </w:p>
    <w:p w14:paraId="656A7A59" w14:textId="77777777" w:rsidR="008C6706" w:rsidRDefault="00000000">
      <w:pPr>
        <w:pStyle w:val="Heading1"/>
        <w:rPr>
          <w:lang w:eastAsia="ja-JP"/>
        </w:rPr>
      </w:pPr>
      <w:r>
        <w:rPr>
          <w:lang w:eastAsia="ja-JP"/>
        </w:rPr>
        <w:lastRenderedPageBreak/>
        <w:t>2. 海外大学の寄付スクリーニングの全体像</w:t>
      </w:r>
    </w:p>
    <w:p w14:paraId="40E48445" w14:textId="77777777" w:rsidR="008C6706" w:rsidRDefault="00000000">
      <w:pPr>
        <w:spacing w:after="140" w:line="300" w:lineRule="auto"/>
        <w:jc w:val="both"/>
      </w:pPr>
      <w:r>
        <w:rPr>
          <w:lang w:eastAsia="ja-JP"/>
        </w:rPr>
        <w:t>多くの大学は、寄付受入れの基本方針を「</w:t>
      </w:r>
      <w:r>
        <w:rPr>
          <w:b/>
          <w:bCs/>
          <w:lang w:eastAsia="ja-JP"/>
        </w:rPr>
        <w:t>ギフト受入れポリシー（Gift Acceptance Policy）</w:t>
      </w:r>
      <w:r>
        <w:rPr>
          <w:lang w:eastAsia="ja-JP"/>
        </w:rPr>
        <w:t>」として文書化し、その中に審査基準・委員会・拒否/返還の権限を規定する。</w:t>
      </w:r>
      <w:r>
        <w:t>共通する設計思想は次の通り。</w:t>
      </w:r>
    </w:p>
    <w:p w14:paraId="19B3200A" w14:textId="77777777" w:rsidR="008C6706" w:rsidRDefault="00000000">
      <w:pPr>
        <w:pStyle w:val="ListParagraph"/>
        <w:numPr>
          <w:ilvl w:val="0"/>
          <w:numId w:val="2"/>
        </w:numPr>
        <w:spacing w:after="80" w:line="288" w:lineRule="auto"/>
        <w:rPr>
          <w:lang w:eastAsia="ja-JP"/>
        </w:rPr>
      </w:pPr>
      <w:r>
        <w:rPr>
          <w:b/>
          <w:bCs/>
          <w:lang w:eastAsia="ja-JP"/>
        </w:rPr>
        <w:t>目的はリスク管理</w:t>
      </w:r>
      <w:r>
        <w:rPr>
          <w:lang w:eastAsia="ja-JP"/>
        </w:rPr>
        <w:t>：UC Berkeleyのポリシーは、その存在理由を「不適切な寄付の受入れ・使用に伴う評判上・法務上・財務上のリスクから大学を保護すること」と明記している。</w:t>
      </w:r>
    </w:p>
    <w:p w14:paraId="07E0D25D" w14:textId="77777777" w:rsidR="008C6706" w:rsidRDefault="00000000">
      <w:pPr>
        <w:pStyle w:val="ListParagraph"/>
        <w:numPr>
          <w:ilvl w:val="0"/>
          <w:numId w:val="2"/>
        </w:numPr>
        <w:spacing w:after="80" w:line="288" w:lineRule="auto"/>
        <w:rPr>
          <w:lang w:eastAsia="ja-JP"/>
        </w:rPr>
      </w:pPr>
      <w:r>
        <w:rPr>
          <w:b/>
          <w:bCs/>
          <w:lang w:eastAsia="ja-JP"/>
        </w:rPr>
        <w:t>金額に応じた段階的審査</w:t>
      </w:r>
      <w:r>
        <w:rPr>
          <w:lang w:eastAsia="ja-JP"/>
        </w:rPr>
        <w:t>：小口は簡易処理、一定額以上・高リスク案件は専門委員会に付議する多段階（tiered）構造。</w:t>
      </w:r>
    </w:p>
    <w:p w14:paraId="56F2EC23" w14:textId="77777777" w:rsidR="008C6706" w:rsidRDefault="00000000">
      <w:pPr>
        <w:pStyle w:val="ListParagraph"/>
        <w:numPr>
          <w:ilvl w:val="0"/>
          <w:numId w:val="2"/>
        </w:numPr>
        <w:spacing w:after="80" w:line="288" w:lineRule="auto"/>
        <w:rPr>
          <w:lang w:eastAsia="ja-JP"/>
        </w:rPr>
      </w:pPr>
      <w:r>
        <w:rPr>
          <w:b/>
          <w:bCs/>
          <w:lang w:eastAsia="ja-JP"/>
        </w:rPr>
        <w:t>拒否できることの明文化</w:t>
      </w:r>
      <w:r>
        <w:rPr>
          <w:lang w:eastAsia="ja-JP"/>
        </w:rPr>
        <w:t>：「大学はすべての寄付を受け入れる義務を負わない」ことを原則として規定し、拒否理由を列挙。</w:t>
      </w:r>
    </w:p>
    <w:p w14:paraId="4059D6F4" w14:textId="77777777" w:rsidR="008C6706" w:rsidRDefault="00000000">
      <w:pPr>
        <w:pStyle w:val="ListParagraph"/>
        <w:numPr>
          <w:ilvl w:val="0"/>
          <w:numId w:val="2"/>
        </w:numPr>
        <w:spacing w:after="80" w:line="288" w:lineRule="auto"/>
        <w:rPr>
          <w:lang w:eastAsia="ja-JP"/>
        </w:rPr>
      </w:pPr>
      <w:r>
        <w:rPr>
          <w:b/>
          <w:bCs/>
          <w:lang w:eastAsia="ja-JP"/>
        </w:rPr>
        <w:t>大学の自律性の保護</w:t>
      </w:r>
      <w:r>
        <w:rPr>
          <w:lang w:eastAsia="ja-JP"/>
        </w:rPr>
        <w:t>：入試・人事・研究・カリキュラム等の意思決定に寄付者が影響を及ぼす条件を明確に排除。</w:t>
      </w:r>
    </w:p>
    <w:p w14:paraId="5198191E" w14:textId="77777777" w:rsidR="008C6706" w:rsidRDefault="00000000">
      <w:pPr>
        <w:pStyle w:val="Heading2"/>
        <w:rPr>
          <w:lang w:eastAsia="ja-JP"/>
        </w:rPr>
      </w:pPr>
      <w:r>
        <w:rPr>
          <w:lang w:eastAsia="ja-JP"/>
        </w:rPr>
        <w:t>2.1 「受け入れない寄付」の典型的な列挙（UC Berkeley の例）</w:t>
      </w:r>
    </w:p>
    <w:p w14:paraId="530882DE" w14:textId="77777777" w:rsidR="008C6706" w:rsidRDefault="00000000">
      <w:pPr>
        <w:spacing w:after="140" w:line="300" w:lineRule="auto"/>
        <w:jc w:val="both"/>
        <w:rPr>
          <w:lang w:eastAsia="ja-JP"/>
        </w:rPr>
      </w:pPr>
      <w:r>
        <w:rPr>
          <w:lang w:eastAsia="ja-JP"/>
        </w:rPr>
        <w:t>UC Berkeleyのポリシーは、受け入れない寄付の条件を具体的に列挙している。これは国内規定の「拒否事由」条項の設計に直接参照できる。</w:t>
      </w:r>
    </w:p>
    <w:p w14:paraId="089158DE" w14:textId="77777777" w:rsidR="008C6706" w:rsidRDefault="00000000">
      <w:pPr>
        <w:pStyle w:val="ListParagraph"/>
        <w:numPr>
          <w:ilvl w:val="0"/>
          <w:numId w:val="2"/>
        </w:numPr>
        <w:spacing w:after="80" w:line="288" w:lineRule="auto"/>
        <w:rPr>
          <w:lang w:eastAsia="ja-JP"/>
        </w:rPr>
      </w:pPr>
      <w:r>
        <w:rPr>
          <w:lang w:eastAsia="ja-JP"/>
        </w:rPr>
        <w:t>大学又は法令に違反する条件を伴うもの</w:t>
      </w:r>
    </w:p>
    <w:p w14:paraId="4B0AE46F" w14:textId="77777777" w:rsidR="008C6706" w:rsidRDefault="00000000">
      <w:pPr>
        <w:pStyle w:val="ListParagraph"/>
        <w:numPr>
          <w:ilvl w:val="0"/>
          <w:numId w:val="2"/>
        </w:numPr>
        <w:spacing w:after="80" w:line="288" w:lineRule="auto"/>
      </w:pPr>
      <w:r>
        <w:t>大学の「コミュニティ原則（Principles of Community）」に抵触するもの</w:t>
      </w:r>
    </w:p>
    <w:p w14:paraId="7BEA6178" w14:textId="77777777" w:rsidR="008C6706" w:rsidRDefault="00000000">
      <w:pPr>
        <w:pStyle w:val="ListParagraph"/>
        <w:numPr>
          <w:ilvl w:val="0"/>
          <w:numId w:val="2"/>
        </w:numPr>
        <w:spacing w:after="80" w:line="288" w:lineRule="auto"/>
        <w:rPr>
          <w:lang w:eastAsia="ja-JP"/>
        </w:rPr>
      </w:pPr>
      <w:r>
        <w:rPr>
          <w:lang w:eastAsia="ja-JP"/>
        </w:rPr>
        <w:t>教育・研究・社会貢献に関する大学の自律性・学問の自由を制約するもの</w:t>
      </w:r>
    </w:p>
    <w:p w14:paraId="69AA2F0E" w14:textId="77777777" w:rsidR="008C6706" w:rsidRDefault="00000000">
      <w:pPr>
        <w:pStyle w:val="ListParagraph"/>
        <w:numPr>
          <w:ilvl w:val="0"/>
          <w:numId w:val="2"/>
        </w:numPr>
        <w:spacing w:after="80" w:line="288" w:lineRule="auto"/>
        <w:rPr>
          <w:lang w:eastAsia="ja-JP"/>
        </w:rPr>
      </w:pPr>
      <w:r>
        <w:rPr>
          <w:lang w:eastAsia="ja-JP"/>
        </w:rPr>
        <w:t>過度に限定的で、実際の活用が不可能・非現実的なもの</w:t>
      </w:r>
    </w:p>
    <w:p w14:paraId="40DC0CAB" w14:textId="77777777" w:rsidR="008C6706" w:rsidRDefault="00000000">
      <w:pPr>
        <w:pStyle w:val="ListParagraph"/>
        <w:numPr>
          <w:ilvl w:val="0"/>
          <w:numId w:val="2"/>
        </w:numPr>
        <w:spacing w:after="80" w:line="288" w:lineRule="auto"/>
        <w:rPr>
          <w:lang w:eastAsia="ja-JP"/>
        </w:rPr>
      </w:pPr>
      <w:r>
        <w:rPr>
          <w:lang w:eastAsia="ja-JP"/>
        </w:rPr>
        <w:t>過大な管理コスト・財務リスクを課すもの</w:t>
      </w:r>
    </w:p>
    <w:p w14:paraId="54DEDB21" w14:textId="77777777" w:rsidR="008C6706" w:rsidRDefault="00000000">
      <w:pPr>
        <w:pStyle w:val="ListParagraph"/>
        <w:numPr>
          <w:ilvl w:val="0"/>
          <w:numId w:val="2"/>
        </w:numPr>
        <w:spacing w:after="80" w:line="288" w:lineRule="auto"/>
        <w:rPr>
          <w:lang w:eastAsia="ja-JP"/>
        </w:rPr>
      </w:pPr>
      <w:r>
        <w:rPr>
          <w:lang w:eastAsia="ja-JP"/>
        </w:rPr>
        <w:t>大学の評判を毀損しうる用途を要するもの／免税資格を脅かすもの</w:t>
      </w:r>
    </w:p>
    <w:p w14:paraId="0489671F" w14:textId="77777777" w:rsidR="008C6706" w:rsidRDefault="00000000">
      <w:pPr>
        <w:pStyle w:val="ListParagraph"/>
        <w:numPr>
          <w:ilvl w:val="0"/>
          <w:numId w:val="2"/>
        </w:numPr>
        <w:spacing w:after="80" w:line="288" w:lineRule="auto"/>
        <w:rPr>
          <w:lang w:eastAsia="ja-JP"/>
        </w:rPr>
      </w:pPr>
      <w:r>
        <w:rPr>
          <w:lang w:eastAsia="ja-JP"/>
        </w:rPr>
        <w:t>大学の独立した意思決定を妨げるもの（特定個人への使途指定を含む）</w:t>
      </w:r>
    </w:p>
    <w:p w14:paraId="2645B37B" w14:textId="77777777" w:rsidR="008C6706" w:rsidRDefault="00000000">
      <w:pPr>
        <w:spacing w:after="140" w:line="300" w:lineRule="auto"/>
        <w:jc w:val="both"/>
        <w:rPr>
          <w:lang w:eastAsia="ja-JP"/>
        </w:rPr>
      </w:pPr>
      <w:r>
        <w:rPr>
          <w:lang w:eastAsia="ja-JP"/>
        </w:rPr>
        <w:t>加えてBerkeleyは、米財務省「特別指定国民（SDN）リスト」や国務省「テロ排除リスト」に掲載された個人・団体からは寄付を受け入れないこと、</w:t>
      </w:r>
      <w:r>
        <w:rPr>
          <w:b/>
          <w:bCs/>
          <w:lang w:eastAsia="ja-JP"/>
        </w:rPr>
        <w:t>完全な匿名寄付は受け入れない</w:t>
      </w:r>
      <w:r>
        <w:rPr>
          <w:lang w:eastAsia="ja-JP"/>
        </w:rPr>
        <w:t>こと（誰から受領するかを把握する法的義務があるため）を明記している。</w:t>
      </w:r>
    </w:p>
    <w:p w14:paraId="5B033765" w14:textId="77777777" w:rsidR="008C6706" w:rsidRDefault="00000000">
      <w:pPr>
        <w:rPr>
          <w:lang w:eastAsia="ja-JP"/>
        </w:rPr>
      </w:pPr>
      <w:r>
        <w:rPr>
          <w:lang w:eastAsia="ja-JP"/>
        </w:rPr>
        <w:br w:type="page"/>
      </w:r>
    </w:p>
    <w:p w14:paraId="257102FF" w14:textId="77777777" w:rsidR="008C6706" w:rsidRDefault="00000000">
      <w:pPr>
        <w:pStyle w:val="Heading1"/>
        <w:rPr>
          <w:lang w:eastAsia="ja-JP"/>
        </w:rPr>
      </w:pPr>
      <w:r>
        <w:rPr>
          <w:lang w:eastAsia="ja-JP"/>
        </w:rPr>
        <w:lastRenderedPageBreak/>
        <w:t>3. 観点A：寄付元の適格性審査（デューデリジェンス）</w:t>
      </w:r>
    </w:p>
    <w:p w14:paraId="7B8CBA4A" w14:textId="77777777" w:rsidR="008C6706" w:rsidRDefault="00000000">
      <w:pPr>
        <w:pStyle w:val="Heading2"/>
        <w:rPr>
          <w:lang w:eastAsia="ja-JP"/>
        </w:rPr>
      </w:pPr>
      <w:r>
        <w:rPr>
          <w:lang w:eastAsia="ja-JP"/>
        </w:rPr>
        <w:t>3.1 審査を発動する「閾値」と「トリガー」</w:t>
      </w:r>
    </w:p>
    <w:p w14:paraId="60D397ED" w14:textId="77777777" w:rsidR="008C6706" w:rsidRDefault="00000000">
      <w:pPr>
        <w:spacing w:after="140" w:line="300" w:lineRule="auto"/>
        <w:jc w:val="both"/>
      </w:pPr>
      <w:r>
        <w:rPr>
          <w:lang w:eastAsia="ja-JP"/>
        </w:rPr>
        <w:t>各大学は、金額の閾値と定性的なトリガー（引き金）の組合せで、審査の深さを決めている。</w:t>
      </w:r>
      <w:r>
        <w:t>代表例を以下に示す。</w:t>
      </w:r>
    </w:p>
    <w:tbl>
      <w:tblPr>
        <w:tblW w:w="936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CellMar>
          <w:left w:w="10" w:type="dxa"/>
          <w:right w:w="10" w:type="dxa"/>
        </w:tblCellMar>
        <w:tblLook w:val="04A0" w:firstRow="1" w:lastRow="0" w:firstColumn="1" w:lastColumn="0" w:noHBand="0" w:noVBand="1"/>
      </w:tblPr>
      <w:tblGrid>
        <w:gridCol w:w="1900"/>
        <w:gridCol w:w="2600"/>
        <w:gridCol w:w="4860"/>
      </w:tblGrid>
      <w:tr w:rsidR="008C6706" w14:paraId="26088C29" w14:textId="77777777">
        <w:tblPrEx>
          <w:tblCellMar>
            <w:top w:w="0" w:type="dxa"/>
            <w:bottom w:w="0" w:type="dxa"/>
          </w:tblCellMar>
        </w:tblPrEx>
        <w:trPr>
          <w:tblHeader/>
        </w:trPr>
        <w:tc>
          <w:tcPr>
            <w:tcW w:w="1900" w:type="dxa"/>
            <w:shd w:val="clear" w:color="auto" w:fill="1F3864"/>
            <w:tcMar>
              <w:top w:w="70" w:type="dxa"/>
              <w:left w:w="110" w:type="dxa"/>
              <w:bottom w:w="70" w:type="dxa"/>
              <w:right w:w="110" w:type="dxa"/>
            </w:tcMar>
            <w:vAlign w:val="center"/>
          </w:tcPr>
          <w:p w14:paraId="30784048" w14:textId="77777777" w:rsidR="008C6706" w:rsidRDefault="00000000">
            <w:pPr>
              <w:spacing w:after="40" w:line="264" w:lineRule="auto"/>
            </w:pPr>
            <w:r>
              <w:rPr>
                <w:b/>
                <w:bCs/>
                <w:color w:val="FFFFFF"/>
                <w:sz w:val="19"/>
                <w:szCs w:val="19"/>
              </w:rPr>
              <w:t>大学</w:t>
            </w:r>
          </w:p>
        </w:tc>
        <w:tc>
          <w:tcPr>
            <w:tcW w:w="2600" w:type="dxa"/>
            <w:shd w:val="clear" w:color="auto" w:fill="1F3864"/>
            <w:tcMar>
              <w:top w:w="70" w:type="dxa"/>
              <w:left w:w="110" w:type="dxa"/>
              <w:bottom w:w="70" w:type="dxa"/>
              <w:right w:w="110" w:type="dxa"/>
            </w:tcMar>
            <w:vAlign w:val="center"/>
          </w:tcPr>
          <w:p w14:paraId="1046D430" w14:textId="77777777" w:rsidR="008C6706" w:rsidRDefault="00000000">
            <w:pPr>
              <w:spacing w:after="40" w:line="264" w:lineRule="auto"/>
              <w:rPr>
                <w:lang w:eastAsia="ja-JP"/>
              </w:rPr>
            </w:pPr>
            <w:r>
              <w:rPr>
                <w:b/>
                <w:bCs/>
                <w:color w:val="FFFFFF"/>
                <w:sz w:val="19"/>
                <w:szCs w:val="19"/>
                <w:lang w:eastAsia="ja-JP"/>
              </w:rPr>
              <w:t>デューデリジェンスの閾値</w:t>
            </w:r>
          </w:p>
        </w:tc>
        <w:tc>
          <w:tcPr>
            <w:tcW w:w="4860" w:type="dxa"/>
            <w:shd w:val="clear" w:color="auto" w:fill="1F3864"/>
            <w:tcMar>
              <w:top w:w="70" w:type="dxa"/>
              <w:left w:w="110" w:type="dxa"/>
              <w:bottom w:w="70" w:type="dxa"/>
              <w:right w:w="110" w:type="dxa"/>
            </w:tcMar>
            <w:vAlign w:val="center"/>
          </w:tcPr>
          <w:p w14:paraId="0846FA9A" w14:textId="77777777" w:rsidR="008C6706" w:rsidRDefault="00000000">
            <w:pPr>
              <w:spacing w:after="40" w:line="264" w:lineRule="auto"/>
            </w:pPr>
            <w:r>
              <w:rPr>
                <w:b/>
                <w:bCs/>
                <w:color w:val="FFFFFF"/>
                <w:sz w:val="19"/>
                <w:szCs w:val="19"/>
              </w:rPr>
              <w:t>内容・特徴</w:t>
            </w:r>
          </w:p>
        </w:tc>
      </w:tr>
      <w:tr w:rsidR="008C6706" w14:paraId="115F1B90" w14:textId="77777777">
        <w:tblPrEx>
          <w:tblCellMar>
            <w:top w:w="0" w:type="dxa"/>
            <w:bottom w:w="0" w:type="dxa"/>
          </w:tblCellMar>
        </w:tblPrEx>
        <w:tc>
          <w:tcPr>
            <w:tcW w:w="1900" w:type="dxa"/>
            <w:tcMar>
              <w:top w:w="70" w:type="dxa"/>
              <w:left w:w="110" w:type="dxa"/>
              <w:bottom w:w="70" w:type="dxa"/>
              <w:right w:w="110" w:type="dxa"/>
            </w:tcMar>
            <w:vAlign w:val="center"/>
          </w:tcPr>
          <w:p w14:paraId="30F5CCCC" w14:textId="77777777" w:rsidR="008C6706" w:rsidRDefault="00000000">
            <w:pPr>
              <w:spacing w:after="40" w:line="264" w:lineRule="auto"/>
            </w:pPr>
            <w:r>
              <w:rPr>
                <w:color w:val="000000"/>
                <w:sz w:val="19"/>
                <w:szCs w:val="19"/>
              </w:rPr>
              <w:t>UC Berkeley</w:t>
            </w:r>
          </w:p>
        </w:tc>
        <w:tc>
          <w:tcPr>
            <w:tcW w:w="2600" w:type="dxa"/>
            <w:tcMar>
              <w:top w:w="70" w:type="dxa"/>
              <w:left w:w="110" w:type="dxa"/>
              <w:bottom w:w="70" w:type="dxa"/>
              <w:right w:w="110" w:type="dxa"/>
            </w:tcMar>
            <w:vAlign w:val="center"/>
          </w:tcPr>
          <w:p w14:paraId="60BE8806" w14:textId="77777777" w:rsidR="008C6706" w:rsidRDefault="00000000">
            <w:pPr>
              <w:spacing w:after="40" w:line="264" w:lineRule="auto"/>
            </w:pPr>
            <w:r>
              <w:rPr>
                <w:color w:val="000000"/>
                <w:sz w:val="19"/>
                <w:szCs w:val="19"/>
              </w:rPr>
              <w:t>50万ドル(principal gift）で本格DD／個別10万ドル超・年間25万ドル超でAML確認</w:t>
            </w:r>
          </w:p>
        </w:tc>
        <w:tc>
          <w:tcPr>
            <w:tcW w:w="4860" w:type="dxa"/>
            <w:tcMar>
              <w:top w:w="70" w:type="dxa"/>
              <w:left w:w="110" w:type="dxa"/>
              <w:bottom w:w="70" w:type="dxa"/>
              <w:right w:w="110" w:type="dxa"/>
            </w:tcMar>
            <w:vAlign w:val="center"/>
          </w:tcPr>
          <w:p w14:paraId="087526D3" w14:textId="77777777" w:rsidR="008C6706" w:rsidRDefault="00000000">
            <w:pPr>
              <w:spacing w:after="40" w:line="264" w:lineRule="auto"/>
              <w:rPr>
                <w:lang w:eastAsia="ja-JP"/>
              </w:rPr>
            </w:pPr>
            <w:r>
              <w:rPr>
                <w:color w:val="000000"/>
                <w:sz w:val="19"/>
                <w:szCs w:val="19"/>
              </w:rPr>
              <w:t>「Principal gift（500万ドル以上）」は受入れ前に必ずDD調査を実施し、調査報告書を寄付契約に添付。</w:t>
            </w:r>
            <w:r>
              <w:rPr>
                <w:color w:val="000000"/>
                <w:sz w:val="19"/>
                <w:szCs w:val="19"/>
                <w:lang w:eastAsia="ja-JP"/>
              </w:rPr>
              <w:t>連邦AML・愛国者法の要件を、個別10万ドル超・年間累計25万ドル超・外国口座/外国からの寄付に適用。</w:t>
            </w:r>
          </w:p>
        </w:tc>
      </w:tr>
      <w:tr w:rsidR="008C6706" w14:paraId="2D377F22" w14:textId="77777777">
        <w:tblPrEx>
          <w:tblCellMar>
            <w:top w:w="0" w:type="dxa"/>
            <w:bottom w:w="0" w:type="dxa"/>
          </w:tblCellMar>
        </w:tblPrEx>
        <w:tc>
          <w:tcPr>
            <w:tcW w:w="1900" w:type="dxa"/>
            <w:shd w:val="clear" w:color="auto" w:fill="EAF0F7"/>
            <w:tcMar>
              <w:top w:w="70" w:type="dxa"/>
              <w:left w:w="110" w:type="dxa"/>
              <w:bottom w:w="70" w:type="dxa"/>
              <w:right w:w="110" w:type="dxa"/>
            </w:tcMar>
            <w:vAlign w:val="center"/>
          </w:tcPr>
          <w:p w14:paraId="08B10B8D" w14:textId="77777777" w:rsidR="008C6706" w:rsidRDefault="00000000">
            <w:pPr>
              <w:spacing w:after="40" w:line="264" w:lineRule="auto"/>
            </w:pPr>
            <w:r>
              <w:rPr>
                <w:color w:val="000000"/>
                <w:sz w:val="19"/>
                <w:szCs w:val="19"/>
              </w:rPr>
              <w:t>Univ. of Cambridge</w:t>
            </w:r>
          </w:p>
        </w:tc>
        <w:tc>
          <w:tcPr>
            <w:tcW w:w="2600" w:type="dxa"/>
            <w:shd w:val="clear" w:color="auto" w:fill="EAF0F7"/>
            <w:tcMar>
              <w:top w:w="70" w:type="dxa"/>
              <w:left w:w="110" w:type="dxa"/>
              <w:bottom w:w="70" w:type="dxa"/>
              <w:right w:w="110" w:type="dxa"/>
            </w:tcMar>
            <w:vAlign w:val="center"/>
          </w:tcPr>
          <w:p w14:paraId="0B14E875" w14:textId="77777777" w:rsidR="008C6706" w:rsidRDefault="00000000">
            <w:pPr>
              <w:spacing w:after="40" w:line="264" w:lineRule="auto"/>
              <w:rPr>
                <w:lang w:eastAsia="ja-JP"/>
              </w:rPr>
            </w:pPr>
            <w:r>
              <w:rPr>
                <w:color w:val="000000"/>
                <w:sz w:val="19"/>
                <w:szCs w:val="19"/>
                <w:lang w:eastAsia="ja-JP"/>
              </w:rPr>
              <w:t>10万ポンド超で専門チームがDD／100万ポンド超・論争的案件は委員会審査</w:t>
            </w:r>
          </w:p>
        </w:tc>
        <w:tc>
          <w:tcPr>
            <w:tcW w:w="4860" w:type="dxa"/>
            <w:shd w:val="clear" w:color="auto" w:fill="EAF0F7"/>
            <w:tcMar>
              <w:top w:w="70" w:type="dxa"/>
              <w:left w:w="110" w:type="dxa"/>
              <w:bottom w:w="70" w:type="dxa"/>
              <w:right w:w="110" w:type="dxa"/>
            </w:tcMar>
            <w:vAlign w:val="center"/>
          </w:tcPr>
          <w:p w14:paraId="3C2687E0" w14:textId="77777777" w:rsidR="008C6706" w:rsidRDefault="00000000">
            <w:pPr>
              <w:spacing w:after="40" w:line="264" w:lineRule="auto"/>
            </w:pPr>
            <w:r>
              <w:rPr>
                <w:color w:val="000000"/>
                <w:sz w:val="19"/>
                <w:szCs w:val="19"/>
              </w:rPr>
              <w:t>Development部門の「Philanthropic Due Diligence Team」が10万ポンド超の全寄付をレビュー。100万ポンド超又は特に論争的な案件はCBELA（下記）に付議。</w:t>
            </w:r>
          </w:p>
        </w:tc>
      </w:tr>
      <w:tr w:rsidR="008C6706" w14:paraId="7A500F82" w14:textId="77777777">
        <w:tblPrEx>
          <w:tblCellMar>
            <w:top w:w="0" w:type="dxa"/>
            <w:bottom w:w="0" w:type="dxa"/>
          </w:tblCellMar>
        </w:tblPrEx>
        <w:tc>
          <w:tcPr>
            <w:tcW w:w="1900" w:type="dxa"/>
            <w:tcMar>
              <w:top w:w="70" w:type="dxa"/>
              <w:left w:w="110" w:type="dxa"/>
              <w:bottom w:w="70" w:type="dxa"/>
              <w:right w:w="110" w:type="dxa"/>
            </w:tcMar>
            <w:vAlign w:val="center"/>
          </w:tcPr>
          <w:p w14:paraId="4514FE43" w14:textId="77777777" w:rsidR="008C6706" w:rsidRDefault="00000000">
            <w:pPr>
              <w:spacing w:after="40" w:line="264" w:lineRule="auto"/>
            </w:pPr>
            <w:r>
              <w:rPr>
                <w:color w:val="000000"/>
                <w:sz w:val="19"/>
                <w:szCs w:val="19"/>
              </w:rPr>
              <w:t>Univ. of Oxford</w:t>
            </w:r>
          </w:p>
        </w:tc>
        <w:tc>
          <w:tcPr>
            <w:tcW w:w="2600" w:type="dxa"/>
            <w:tcMar>
              <w:top w:w="70" w:type="dxa"/>
              <w:left w:w="110" w:type="dxa"/>
              <w:bottom w:w="70" w:type="dxa"/>
              <w:right w:w="110" w:type="dxa"/>
            </w:tcMar>
            <w:vAlign w:val="center"/>
          </w:tcPr>
          <w:p w14:paraId="516B320C" w14:textId="77777777" w:rsidR="008C6706" w:rsidRDefault="00000000">
            <w:pPr>
              <w:spacing w:after="40" w:line="264" w:lineRule="auto"/>
              <w:rPr>
                <w:lang w:eastAsia="ja-JP"/>
              </w:rPr>
            </w:pPr>
            <w:r>
              <w:rPr>
                <w:color w:val="000000"/>
                <w:sz w:val="19"/>
                <w:szCs w:val="19"/>
                <w:lang w:eastAsia="ja-JP"/>
              </w:rPr>
              <w:t>100万ポンド超の全寄付＋あらゆる金額の高リスク案件</w:t>
            </w:r>
          </w:p>
        </w:tc>
        <w:tc>
          <w:tcPr>
            <w:tcW w:w="4860" w:type="dxa"/>
            <w:tcMar>
              <w:top w:w="70" w:type="dxa"/>
              <w:left w:w="110" w:type="dxa"/>
              <w:bottom w:w="70" w:type="dxa"/>
              <w:right w:w="110" w:type="dxa"/>
            </w:tcMar>
            <w:vAlign w:val="center"/>
          </w:tcPr>
          <w:p w14:paraId="186BCACE" w14:textId="77777777" w:rsidR="008C6706" w:rsidRDefault="00000000">
            <w:pPr>
              <w:spacing w:after="40" w:line="264" w:lineRule="auto"/>
              <w:rPr>
                <w:lang w:eastAsia="ja-JP"/>
              </w:rPr>
            </w:pPr>
            <w:r>
              <w:rPr>
                <w:color w:val="000000"/>
                <w:sz w:val="19"/>
                <w:szCs w:val="19"/>
                <w:lang w:eastAsia="ja-JP"/>
              </w:rPr>
              <w:t>「寄付・研究資金審査委員会（CRDRF）」が、100万ポンド超の主要寄付と、金額を問わず高リスクと判断される寄付にDDを実施。</w:t>
            </w:r>
          </w:p>
        </w:tc>
      </w:tr>
      <w:tr w:rsidR="008C6706" w14:paraId="2D41A0B8" w14:textId="77777777">
        <w:tblPrEx>
          <w:tblCellMar>
            <w:top w:w="0" w:type="dxa"/>
            <w:bottom w:w="0" w:type="dxa"/>
          </w:tblCellMar>
        </w:tblPrEx>
        <w:tc>
          <w:tcPr>
            <w:tcW w:w="1900" w:type="dxa"/>
            <w:shd w:val="clear" w:color="auto" w:fill="EAF0F7"/>
            <w:tcMar>
              <w:top w:w="70" w:type="dxa"/>
              <w:left w:w="110" w:type="dxa"/>
              <w:bottom w:w="70" w:type="dxa"/>
              <w:right w:w="110" w:type="dxa"/>
            </w:tcMar>
            <w:vAlign w:val="center"/>
          </w:tcPr>
          <w:p w14:paraId="6C6FE3C9" w14:textId="77777777" w:rsidR="008C6706" w:rsidRDefault="00000000">
            <w:pPr>
              <w:spacing w:after="40" w:line="264" w:lineRule="auto"/>
            </w:pPr>
            <w:r>
              <w:rPr>
                <w:color w:val="000000"/>
                <w:sz w:val="19"/>
                <w:szCs w:val="19"/>
              </w:rPr>
              <w:t>Harvard</w:t>
            </w:r>
          </w:p>
        </w:tc>
        <w:tc>
          <w:tcPr>
            <w:tcW w:w="2600" w:type="dxa"/>
            <w:shd w:val="clear" w:color="auto" w:fill="EAF0F7"/>
            <w:tcMar>
              <w:top w:w="70" w:type="dxa"/>
              <w:left w:w="110" w:type="dxa"/>
              <w:bottom w:w="70" w:type="dxa"/>
              <w:right w:w="110" w:type="dxa"/>
            </w:tcMar>
            <w:vAlign w:val="center"/>
          </w:tcPr>
          <w:p w14:paraId="1B829613" w14:textId="77777777" w:rsidR="008C6706" w:rsidRDefault="00000000">
            <w:pPr>
              <w:spacing w:after="40" w:line="264" w:lineRule="auto"/>
              <w:rPr>
                <w:lang w:eastAsia="ja-JP"/>
              </w:rPr>
            </w:pPr>
            <w:r>
              <w:rPr>
                <w:color w:val="000000"/>
                <w:sz w:val="19"/>
                <w:szCs w:val="19"/>
                <w:lang w:eastAsia="ja-JP"/>
              </w:rPr>
              <w:t>金額・関係性・既知の懸念による『トリガー基準』</w:t>
            </w:r>
          </w:p>
        </w:tc>
        <w:tc>
          <w:tcPr>
            <w:tcW w:w="4860" w:type="dxa"/>
            <w:shd w:val="clear" w:color="auto" w:fill="EAF0F7"/>
            <w:tcMar>
              <w:top w:w="70" w:type="dxa"/>
              <w:left w:w="110" w:type="dxa"/>
              <w:bottom w:w="70" w:type="dxa"/>
              <w:right w:w="110" w:type="dxa"/>
            </w:tcMar>
            <w:vAlign w:val="center"/>
          </w:tcPr>
          <w:p w14:paraId="7BC41AB6" w14:textId="77777777" w:rsidR="008C6706" w:rsidRDefault="00000000">
            <w:pPr>
              <w:spacing w:after="40" w:line="264" w:lineRule="auto"/>
              <w:rPr>
                <w:lang w:eastAsia="ja-JP"/>
              </w:rPr>
            </w:pPr>
            <w:r>
              <w:rPr>
                <w:color w:val="000000"/>
                <w:sz w:val="19"/>
                <w:szCs w:val="19"/>
                <w:lang w:eastAsia="ja-JP"/>
              </w:rPr>
              <w:t>Epstein問題を受けた報告書の提言に基づき、寄付額の大きさ、寄付者と大学との関係の薄さ、寄付者に関する『既知の懸念』等を、委員会に付議すべき『トリガー基準』として設定。</w:t>
            </w:r>
          </w:p>
        </w:tc>
      </w:tr>
    </w:tbl>
    <w:p w14:paraId="49BF7C33" w14:textId="77777777" w:rsidR="008C6706" w:rsidRDefault="00000000">
      <w:pPr>
        <w:pStyle w:val="Heading2"/>
        <w:rPr>
          <w:lang w:eastAsia="ja-JP"/>
        </w:rPr>
      </w:pPr>
      <w:r>
        <w:rPr>
          <w:lang w:eastAsia="ja-JP"/>
        </w:rPr>
        <w:t>3.2 具体的な確認項目</w:t>
      </w:r>
    </w:p>
    <w:p w14:paraId="520C83B2" w14:textId="77777777" w:rsidR="008C6706" w:rsidRDefault="00000000">
      <w:pPr>
        <w:spacing w:after="140" w:line="300" w:lineRule="auto"/>
        <w:jc w:val="both"/>
        <w:rPr>
          <w:lang w:eastAsia="ja-JP"/>
        </w:rPr>
      </w:pPr>
      <w:r>
        <w:rPr>
          <w:lang w:eastAsia="ja-JP"/>
        </w:rPr>
        <w:t>公開ポリシーから抽出される、寄付元適格性審査の標準的な確認項目は次の通り。</w:t>
      </w:r>
    </w:p>
    <w:p w14:paraId="45253555" w14:textId="77777777" w:rsidR="008C6706" w:rsidRDefault="00000000">
      <w:pPr>
        <w:pStyle w:val="ListParagraph"/>
        <w:numPr>
          <w:ilvl w:val="0"/>
          <w:numId w:val="3"/>
        </w:numPr>
        <w:spacing w:after="80" w:line="288" w:lineRule="auto"/>
        <w:rPr>
          <w:lang w:eastAsia="ja-JP"/>
        </w:rPr>
      </w:pPr>
      <w:r>
        <w:rPr>
          <w:b/>
          <w:bCs/>
          <w:lang w:eastAsia="ja-JP"/>
        </w:rPr>
        <w:t>資金源の合法性</w:t>
      </w:r>
      <w:r>
        <w:rPr>
          <w:lang w:eastAsia="ja-JP"/>
        </w:rPr>
        <w:t>：寄付資金・寄付財産の出所が適法であり、来歴（provenance）が文書で確認できること（Yale）。</w:t>
      </w:r>
    </w:p>
    <w:p w14:paraId="3F7BC669" w14:textId="77777777" w:rsidR="008C6706" w:rsidRDefault="00000000">
      <w:pPr>
        <w:pStyle w:val="ListParagraph"/>
        <w:numPr>
          <w:ilvl w:val="0"/>
          <w:numId w:val="3"/>
        </w:numPr>
        <w:spacing w:after="80" w:line="288" w:lineRule="auto"/>
        <w:rPr>
          <w:lang w:eastAsia="ja-JP"/>
        </w:rPr>
      </w:pPr>
      <w:r>
        <w:rPr>
          <w:b/>
          <w:bCs/>
          <w:lang w:eastAsia="ja-JP"/>
        </w:rPr>
        <w:t>制裁・テロリスト・スクリーニング</w:t>
      </w:r>
      <w:r>
        <w:rPr>
          <w:lang w:eastAsia="ja-JP"/>
        </w:rPr>
        <w:t>：SDNリスト、テロ排除リスト等の制裁リストとの照合（Berkeley）。</w:t>
      </w:r>
    </w:p>
    <w:p w14:paraId="0A777D65" w14:textId="77777777" w:rsidR="008C6706" w:rsidRDefault="00000000">
      <w:pPr>
        <w:pStyle w:val="ListParagraph"/>
        <w:numPr>
          <w:ilvl w:val="0"/>
          <w:numId w:val="3"/>
        </w:numPr>
        <w:spacing w:after="80" w:line="288" w:lineRule="auto"/>
        <w:rPr>
          <w:lang w:eastAsia="ja-JP"/>
        </w:rPr>
      </w:pPr>
      <w:r>
        <w:rPr>
          <w:b/>
          <w:bCs/>
          <w:lang w:eastAsia="ja-JP"/>
        </w:rPr>
        <w:t>反マネーロンダリング（AML）／KYC</w:t>
      </w:r>
      <w:r>
        <w:rPr>
          <w:lang w:eastAsia="ja-JP"/>
        </w:rPr>
        <w:t>：一定額超・外国資金・暗号資産寄付について本人確認（Know Your Customer）と資金源の表明を要求（Berkeley：暗号資産はKYC調査票の提出を必須化）。</w:t>
      </w:r>
    </w:p>
    <w:p w14:paraId="2512379A" w14:textId="77777777" w:rsidR="008C6706" w:rsidRDefault="00000000">
      <w:pPr>
        <w:pStyle w:val="ListParagraph"/>
        <w:numPr>
          <w:ilvl w:val="0"/>
          <w:numId w:val="3"/>
        </w:numPr>
        <w:spacing w:after="80" w:line="288" w:lineRule="auto"/>
        <w:rPr>
          <w:lang w:eastAsia="ja-JP"/>
        </w:rPr>
      </w:pPr>
      <w:r>
        <w:rPr>
          <w:b/>
          <w:bCs/>
          <w:lang w:eastAsia="ja-JP"/>
        </w:rPr>
        <w:lastRenderedPageBreak/>
        <w:t>評判・来歴の調査</w:t>
      </w:r>
      <w:r>
        <w:rPr>
          <w:lang w:eastAsia="ja-JP"/>
        </w:rPr>
        <w:t>：報道・訴訟記録・公的プロフィール等から、寄付者の事業慣行や公的評判に関するリスクを評価。CASE等の職能団体は「噂・憶測」と「確認された事実・司法判断」を区別すべきとする。</w:t>
      </w:r>
    </w:p>
    <w:p w14:paraId="46EBD35B" w14:textId="77777777" w:rsidR="008C6706" w:rsidRDefault="00000000">
      <w:pPr>
        <w:pStyle w:val="ListParagraph"/>
        <w:numPr>
          <w:ilvl w:val="0"/>
          <w:numId w:val="3"/>
        </w:numPr>
        <w:spacing w:after="80" w:line="288" w:lineRule="auto"/>
        <w:rPr>
          <w:lang w:eastAsia="ja-JP"/>
        </w:rPr>
      </w:pPr>
      <w:r>
        <w:rPr>
          <w:b/>
          <w:bCs/>
          <w:lang w:eastAsia="ja-JP"/>
        </w:rPr>
        <w:t>使途と大学ミッションとの整合</w:t>
      </w:r>
      <w:r>
        <w:rPr>
          <w:lang w:eastAsia="ja-JP"/>
        </w:rPr>
        <w:t>：資金源が大学の使命と相反する業種（例：たばこ産業）に該当しないか。Oxfordは、違法行為・たばこ産業・化石燃料に関する寄付を評価基準として明文化。</w:t>
      </w:r>
    </w:p>
    <w:p w14:paraId="60181DAD" w14:textId="77777777" w:rsidR="008C6706" w:rsidRDefault="00000000">
      <w:pPr>
        <w:pStyle w:val="ListParagraph"/>
        <w:numPr>
          <w:ilvl w:val="0"/>
          <w:numId w:val="3"/>
        </w:numPr>
        <w:spacing w:after="80" w:line="288" w:lineRule="auto"/>
        <w:rPr>
          <w:lang w:eastAsia="ja-JP"/>
        </w:rPr>
      </w:pPr>
      <w:r>
        <w:rPr>
          <w:b/>
          <w:bCs/>
          <w:lang w:eastAsia="ja-JP"/>
        </w:rPr>
        <w:t>匿名性の扱い</w:t>
      </w:r>
      <w:r>
        <w:rPr>
          <w:lang w:eastAsia="ja-JP"/>
        </w:rPr>
        <w:t>：完全匿名は不可としつつ、安全上・個人情報上の配慮から、内部的に寄付者を特定した上で対外的に匿名扱いとする運用を規定（Berkeley）。「公にできない寄付は匿名でも受けない」（Harvard）。</w:t>
      </w:r>
    </w:p>
    <w:p w14:paraId="18376AF7" w14:textId="77777777" w:rsidR="008C6706" w:rsidRDefault="00000000">
      <w:pPr>
        <w:spacing w:after="140" w:line="300" w:lineRule="auto"/>
        <w:jc w:val="both"/>
      </w:pPr>
      <w:r>
        <w:rPr>
          <w:b/>
          <w:bCs/>
        </w:rPr>
        <w:t>実務ツール：</w:t>
      </w:r>
      <w:r>
        <w:t xml:space="preserve"> 大学は専門の調査基準（例：APRA — Association of Professional Researchers for Advancement の業界標準）や外部のデューデリジェンス調査サービスを用いて寄付者調査を実施している。</w:t>
      </w:r>
    </w:p>
    <w:p w14:paraId="210F3589" w14:textId="77777777" w:rsidR="008C6706" w:rsidRDefault="00000000">
      <w:r>
        <w:br w:type="page"/>
      </w:r>
    </w:p>
    <w:p w14:paraId="5F859E43" w14:textId="77777777" w:rsidR="008C6706" w:rsidRDefault="00000000">
      <w:pPr>
        <w:pStyle w:val="Heading1"/>
        <w:rPr>
          <w:lang w:eastAsia="ja-JP"/>
        </w:rPr>
      </w:pPr>
      <w:r>
        <w:rPr>
          <w:lang w:eastAsia="ja-JP"/>
        </w:rPr>
        <w:lastRenderedPageBreak/>
        <w:t>4. 観点B：審査・意思決定の体制</w:t>
      </w:r>
    </w:p>
    <w:p w14:paraId="241553D9" w14:textId="77777777" w:rsidR="008C6706" w:rsidRDefault="00000000">
      <w:pPr>
        <w:pStyle w:val="Heading2"/>
      </w:pPr>
      <w:r>
        <w:t>4.1 専門委員会（Gift/Benefaction Review Committee）</w:t>
      </w:r>
    </w:p>
    <w:p w14:paraId="613E67B3" w14:textId="77777777" w:rsidR="008C6706" w:rsidRDefault="00000000">
      <w:pPr>
        <w:spacing w:after="140" w:line="300" w:lineRule="auto"/>
        <w:jc w:val="both"/>
        <w:rPr>
          <w:lang w:eastAsia="ja-JP"/>
        </w:rPr>
      </w:pPr>
      <w:r>
        <w:t>高額・高リスク案件は、複数部門で構成する常設委員会に付議される。</w:t>
      </w:r>
      <w:r>
        <w:rPr>
          <w:lang w:eastAsia="ja-JP"/>
        </w:rPr>
        <w:t>委員会は「大学が受け取ってよいか」を倫理・評判・法務の観点から独立に判断する機能を担う。</w:t>
      </w:r>
    </w:p>
    <w:tbl>
      <w:tblPr>
        <w:tblW w:w="936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CellMar>
          <w:left w:w="10" w:type="dxa"/>
          <w:right w:w="10" w:type="dxa"/>
        </w:tblCellMar>
        <w:tblLook w:val="04A0" w:firstRow="1" w:lastRow="0" w:firstColumn="1" w:lastColumn="0" w:noHBand="0" w:noVBand="1"/>
      </w:tblPr>
      <w:tblGrid>
        <w:gridCol w:w="2100"/>
        <w:gridCol w:w="3630"/>
        <w:gridCol w:w="3630"/>
      </w:tblGrid>
      <w:tr w:rsidR="008C6706" w14:paraId="7C572085" w14:textId="77777777">
        <w:tblPrEx>
          <w:tblCellMar>
            <w:top w:w="0" w:type="dxa"/>
            <w:bottom w:w="0" w:type="dxa"/>
          </w:tblCellMar>
        </w:tblPrEx>
        <w:trPr>
          <w:tblHeader/>
        </w:trPr>
        <w:tc>
          <w:tcPr>
            <w:tcW w:w="2100" w:type="dxa"/>
            <w:shd w:val="clear" w:color="auto" w:fill="1F3864"/>
            <w:tcMar>
              <w:top w:w="70" w:type="dxa"/>
              <w:left w:w="110" w:type="dxa"/>
              <w:bottom w:w="70" w:type="dxa"/>
              <w:right w:w="110" w:type="dxa"/>
            </w:tcMar>
            <w:vAlign w:val="center"/>
          </w:tcPr>
          <w:p w14:paraId="321D1CE3" w14:textId="77777777" w:rsidR="008C6706" w:rsidRDefault="00000000">
            <w:pPr>
              <w:spacing w:after="40" w:line="264" w:lineRule="auto"/>
            </w:pPr>
            <w:r>
              <w:rPr>
                <w:b/>
                <w:bCs/>
                <w:color w:val="FFFFFF"/>
                <w:sz w:val="19"/>
                <w:szCs w:val="19"/>
              </w:rPr>
              <w:t>大学</w:t>
            </w:r>
          </w:p>
        </w:tc>
        <w:tc>
          <w:tcPr>
            <w:tcW w:w="3630" w:type="dxa"/>
            <w:shd w:val="clear" w:color="auto" w:fill="1F3864"/>
            <w:tcMar>
              <w:top w:w="70" w:type="dxa"/>
              <w:left w:w="110" w:type="dxa"/>
              <w:bottom w:w="70" w:type="dxa"/>
              <w:right w:w="110" w:type="dxa"/>
            </w:tcMar>
            <w:vAlign w:val="center"/>
          </w:tcPr>
          <w:p w14:paraId="21EA08A8" w14:textId="77777777" w:rsidR="008C6706" w:rsidRDefault="00000000">
            <w:pPr>
              <w:spacing w:after="40" w:line="264" w:lineRule="auto"/>
            </w:pPr>
            <w:r>
              <w:rPr>
                <w:b/>
                <w:bCs/>
                <w:color w:val="FFFFFF"/>
                <w:sz w:val="19"/>
                <w:szCs w:val="19"/>
              </w:rPr>
              <w:t>委員会・機関</w:t>
            </w:r>
          </w:p>
        </w:tc>
        <w:tc>
          <w:tcPr>
            <w:tcW w:w="3630" w:type="dxa"/>
            <w:shd w:val="clear" w:color="auto" w:fill="1F3864"/>
            <w:tcMar>
              <w:top w:w="70" w:type="dxa"/>
              <w:left w:w="110" w:type="dxa"/>
              <w:bottom w:w="70" w:type="dxa"/>
              <w:right w:w="110" w:type="dxa"/>
            </w:tcMar>
            <w:vAlign w:val="center"/>
          </w:tcPr>
          <w:p w14:paraId="2A5AE6DB" w14:textId="77777777" w:rsidR="008C6706" w:rsidRDefault="00000000">
            <w:pPr>
              <w:spacing w:after="40" w:line="264" w:lineRule="auto"/>
              <w:rPr>
                <w:lang w:eastAsia="ja-JP"/>
              </w:rPr>
            </w:pPr>
            <w:r>
              <w:rPr>
                <w:b/>
                <w:bCs/>
                <w:color w:val="FFFFFF"/>
                <w:sz w:val="19"/>
                <w:szCs w:val="19"/>
                <w:lang w:eastAsia="ja-JP"/>
              </w:rPr>
              <w:t>構成・付議基準・特徴</w:t>
            </w:r>
          </w:p>
        </w:tc>
      </w:tr>
      <w:tr w:rsidR="008C6706" w14:paraId="12CAE678" w14:textId="77777777">
        <w:tblPrEx>
          <w:tblCellMar>
            <w:top w:w="0" w:type="dxa"/>
            <w:bottom w:w="0" w:type="dxa"/>
          </w:tblCellMar>
        </w:tblPrEx>
        <w:tc>
          <w:tcPr>
            <w:tcW w:w="2100" w:type="dxa"/>
            <w:tcMar>
              <w:top w:w="70" w:type="dxa"/>
              <w:left w:w="110" w:type="dxa"/>
              <w:bottom w:w="70" w:type="dxa"/>
              <w:right w:w="110" w:type="dxa"/>
            </w:tcMar>
            <w:vAlign w:val="center"/>
          </w:tcPr>
          <w:p w14:paraId="35877AAA" w14:textId="77777777" w:rsidR="008C6706" w:rsidRDefault="00000000">
            <w:pPr>
              <w:spacing w:after="40" w:line="264" w:lineRule="auto"/>
            </w:pPr>
            <w:r>
              <w:rPr>
                <w:color w:val="000000"/>
                <w:sz w:val="19"/>
                <w:szCs w:val="19"/>
              </w:rPr>
              <w:t>Univ. of Oxford</w:t>
            </w:r>
          </w:p>
        </w:tc>
        <w:tc>
          <w:tcPr>
            <w:tcW w:w="3630" w:type="dxa"/>
            <w:tcMar>
              <w:top w:w="70" w:type="dxa"/>
              <w:left w:w="110" w:type="dxa"/>
              <w:bottom w:w="70" w:type="dxa"/>
              <w:right w:w="110" w:type="dxa"/>
            </w:tcMar>
            <w:vAlign w:val="center"/>
          </w:tcPr>
          <w:p w14:paraId="29799843" w14:textId="77777777" w:rsidR="008C6706" w:rsidRDefault="00000000">
            <w:pPr>
              <w:spacing w:after="40" w:line="264" w:lineRule="auto"/>
            </w:pPr>
            <w:r>
              <w:rPr>
                <w:color w:val="000000"/>
                <w:sz w:val="19"/>
                <w:szCs w:val="19"/>
              </w:rPr>
              <w:t>寄付・研究資金審査委員会（CRDRF）</w:t>
            </w:r>
          </w:p>
        </w:tc>
        <w:tc>
          <w:tcPr>
            <w:tcW w:w="3630" w:type="dxa"/>
            <w:tcMar>
              <w:top w:w="70" w:type="dxa"/>
              <w:left w:w="110" w:type="dxa"/>
              <w:bottom w:w="70" w:type="dxa"/>
              <w:right w:w="110" w:type="dxa"/>
            </w:tcMar>
            <w:vAlign w:val="center"/>
          </w:tcPr>
          <w:p w14:paraId="38D30746" w14:textId="77777777" w:rsidR="008C6706" w:rsidRDefault="00000000">
            <w:pPr>
              <w:spacing w:after="40" w:line="264" w:lineRule="auto"/>
            </w:pPr>
            <w:r>
              <w:rPr>
                <w:color w:val="000000"/>
                <w:sz w:val="19"/>
                <w:szCs w:val="19"/>
              </w:rPr>
              <w:t>Council（評議会）が任命する10名で構成。100万ポンド超の主要寄付とあらゆる金額の高リスク案件を審査。</w:t>
            </w:r>
            <w:r>
              <w:rPr>
                <w:color w:val="000000"/>
                <w:sz w:val="19"/>
                <w:szCs w:val="19"/>
                <w:lang w:eastAsia="ja-JP"/>
              </w:rPr>
              <w:t>「法務・倫理・評判のリスクを考慮する、堅牢で独立したシステム」と位置付け。</w:t>
            </w:r>
            <w:r>
              <w:rPr>
                <w:color w:val="000000"/>
                <w:sz w:val="19"/>
                <w:szCs w:val="19"/>
              </w:rPr>
              <w:t>2021/22年度には候補寄付の約12%を拒否。</w:t>
            </w:r>
          </w:p>
        </w:tc>
      </w:tr>
      <w:tr w:rsidR="008C6706" w14:paraId="6F4FE8B1" w14:textId="77777777">
        <w:tblPrEx>
          <w:tblCellMar>
            <w:top w:w="0" w:type="dxa"/>
            <w:bottom w:w="0" w:type="dxa"/>
          </w:tblCellMar>
        </w:tblPrEx>
        <w:tc>
          <w:tcPr>
            <w:tcW w:w="2100" w:type="dxa"/>
            <w:shd w:val="clear" w:color="auto" w:fill="EAF0F7"/>
            <w:tcMar>
              <w:top w:w="70" w:type="dxa"/>
              <w:left w:w="110" w:type="dxa"/>
              <w:bottom w:w="70" w:type="dxa"/>
              <w:right w:w="110" w:type="dxa"/>
            </w:tcMar>
            <w:vAlign w:val="center"/>
          </w:tcPr>
          <w:p w14:paraId="0CF83B80" w14:textId="77777777" w:rsidR="008C6706" w:rsidRDefault="00000000">
            <w:pPr>
              <w:spacing w:after="40" w:line="264" w:lineRule="auto"/>
            </w:pPr>
            <w:r>
              <w:rPr>
                <w:color w:val="000000"/>
                <w:sz w:val="19"/>
                <w:szCs w:val="19"/>
              </w:rPr>
              <w:t>Univ. of Cambridge</w:t>
            </w:r>
          </w:p>
        </w:tc>
        <w:tc>
          <w:tcPr>
            <w:tcW w:w="3630" w:type="dxa"/>
            <w:shd w:val="clear" w:color="auto" w:fill="EAF0F7"/>
            <w:tcMar>
              <w:top w:w="70" w:type="dxa"/>
              <w:left w:w="110" w:type="dxa"/>
              <w:bottom w:w="70" w:type="dxa"/>
              <w:right w:w="110" w:type="dxa"/>
            </w:tcMar>
            <w:vAlign w:val="center"/>
          </w:tcPr>
          <w:p w14:paraId="2A0F4FEE" w14:textId="77777777" w:rsidR="008C6706" w:rsidRDefault="00000000">
            <w:pPr>
              <w:spacing w:after="40" w:line="264" w:lineRule="auto"/>
            </w:pPr>
            <w:r>
              <w:rPr>
                <w:color w:val="000000"/>
                <w:sz w:val="19"/>
                <w:szCs w:val="19"/>
              </w:rPr>
              <w:t>Committee on Benefactions and External and Legal Affairs（CBELA）</w:t>
            </w:r>
          </w:p>
        </w:tc>
        <w:tc>
          <w:tcPr>
            <w:tcW w:w="3630" w:type="dxa"/>
            <w:shd w:val="clear" w:color="auto" w:fill="EAF0F7"/>
            <w:tcMar>
              <w:top w:w="70" w:type="dxa"/>
              <w:left w:w="110" w:type="dxa"/>
              <w:bottom w:w="70" w:type="dxa"/>
              <w:right w:w="110" w:type="dxa"/>
            </w:tcMar>
            <w:vAlign w:val="center"/>
          </w:tcPr>
          <w:p w14:paraId="287A1A4E" w14:textId="77777777" w:rsidR="008C6706" w:rsidRDefault="00000000">
            <w:pPr>
              <w:spacing w:after="40" w:line="264" w:lineRule="auto"/>
              <w:rPr>
                <w:lang w:eastAsia="ja-JP"/>
              </w:rPr>
            </w:pPr>
            <w:r>
              <w:rPr>
                <w:color w:val="000000"/>
                <w:sz w:val="19"/>
                <w:szCs w:val="19"/>
                <w:lang w:eastAsia="ja-JP"/>
              </w:rPr>
              <w:t>副学長に助言する常設委員会。10万ポンド超は専門DDチーム、100万ポンド超・論争的案件はCBELA、400万ポンド超・重大な社会的関心を呼ぶ案件は倫理・評判の観点から受入れ可否を審議。</w:t>
            </w:r>
          </w:p>
        </w:tc>
      </w:tr>
      <w:tr w:rsidR="008C6706" w14:paraId="47DC8E7F" w14:textId="77777777">
        <w:tblPrEx>
          <w:tblCellMar>
            <w:top w:w="0" w:type="dxa"/>
            <w:bottom w:w="0" w:type="dxa"/>
          </w:tblCellMar>
        </w:tblPrEx>
        <w:tc>
          <w:tcPr>
            <w:tcW w:w="2100" w:type="dxa"/>
            <w:tcMar>
              <w:top w:w="70" w:type="dxa"/>
              <w:left w:w="110" w:type="dxa"/>
              <w:bottom w:w="70" w:type="dxa"/>
              <w:right w:w="110" w:type="dxa"/>
            </w:tcMar>
            <w:vAlign w:val="center"/>
          </w:tcPr>
          <w:p w14:paraId="679EBDA4" w14:textId="77777777" w:rsidR="008C6706" w:rsidRDefault="00000000">
            <w:pPr>
              <w:spacing w:after="40" w:line="264" w:lineRule="auto"/>
            </w:pPr>
            <w:r>
              <w:rPr>
                <w:color w:val="000000"/>
                <w:sz w:val="19"/>
                <w:szCs w:val="19"/>
              </w:rPr>
              <w:t>Harvard</w:t>
            </w:r>
          </w:p>
        </w:tc>
        <w:tc>
          <w:tcPr>
            <w:tcW w:w="3630" w:type="dxa"/>
            <w:tcMar>
              <w:top w:w="70" w:type="dxa"/>
              <w:left w:w="110" w:type="dxa"/>
              <w:bottom w:w="70" w:type="dxa"/>
              <w:right w:w="110" w:type="dxa"/>
            </w:tcMar>
            <w:vAlign w:val="center"/>
          </w:tcPr>
          <w:p w14:paraId="4FDE39A2" w14:textId="77777777" w:rsidR="008C6706" w:rsidRDefault="00000000">
            <w:pPr>
              <w:spacing w:after="40" w:line="264" w:lineRule="auto"/>
            </w:pPr>
            <w:r>
              <w:rPr>
                <w:color w:val="000000"/>
                <w:sz w:val="19"/>
                <w:szCs w:val="19"/>
              </w:rPr>
              <w:t>Gift Policy Committee（ギフト・ポリシー委員会）</w:t>
            </w:r>
          </w:p>
        </w:tc>
        <w:tc>
          <w:tcPr>
            <w:tcW w:w="3630" w:type="dxa"/>
            <w:tcMar>
              <w:top w:w="70" w:type="dxa"/>
              <w:left w:w="110" w:type="dxa"/>
              <w:bottom w:w="70" w:type="dxa"/>
              <w:right w:w="110" w:type="dxa"/>
            </w:tcMar>
            <w:vAlign w:val="center"/>
          </w:tcPr>
          <w:p w14:paraId="1B55DBC3" w14:textId="77777777" w:rsidR="008C6706" w:rsidRDefault="00000000">
            <w:pPr>
              <w:spacing w:after="40" w:line="264" w:lineRule="auto"/>
              <w:rPr>
                <w:lang w:eastAsia="ja-JP"/>
              </w:rPr>
            </w:pPr>
            <w:r>
              <w:rPr>
                <w:color w:val="000000"/>
                <w:sz w:val="19"/>
                <w:szCs w:val="19"/>
                <w:lang w:eastAsia="ja-JP"/>
              </w:rPr>
              <w:t>「トリガー基準」に該当する寄付を委員会に付議。学問の自由の保持、利益相反の回避、大学と寄付者の自律性の確保を最優先事項として明記。</w:t>
            </w:r>
          </w:p>
        </w:tc>
      </w:tr>
      <w:tr w:rsidR="008C6706" w14:paraId="4C6CD129" w14:textId="77777777">
        <w:tblPrEx>
          <w:tblCellMar>
            <w:top w:w="0" w:type="dxa"/>
            <w:bottom w:w="0" w:type="dxa"/>
          </w:tblCellMar>
        </w:tblPrEx>
        <w:tc>
          <w:tcPr>
            <w:tcW w:w="2100" w:type="dxa"/>
            <w:shd w:val="clear" w:color="auto" w:fill="EAF0F7"/>
            <w:tcMar>
              <w:top w:w="70" w:type="dxa"/>
              <w:left w:w="110" w:type="dxa"/>
              <w:bottom w:w="70" w:type="dxa"/>
              <w:right w:w="110" w:type="dxa"/>
            </w:tcMar>
            <w:vAlign w:val="center"/>
          </w:tcPr>
          <w:p w14:paraId="735382FD" w14:textId="77777777" w:rsidR="008C6706" w:rsidRDefault="00000000">
            <w:pPr>
              <w:spacing w:after="40" w:line="264" w:lineRule="auto"/>
            </w:pPr>
            <w:r>
              <w:rPr>
                <w:color w:val="000000"/>
                <w:sz w:val="19"/>
                <w:szCs w:val="19"/>
              </w:rPr>
              <w:t>Yale</w:t>
            </w:r>
          </w:p>
        </w:tc>
        <w:tc>
          <w:tcPr>
            <w:tcW w:w="3630" w:type="dxa"/>
            <w:shd w:val="clear" w:color="auto" w:fill="EAF0F7"/>
            <w:tcMar>
              <w:top w:w="70" w:type="dxa"/>
              <w:left w:w="110" w:type="dxa"/>
              <w:bottom w:w="70" w:type="dxa"/>
              <w:right w:w="110" w:type="dxa"/>
            </w:tcMar>
            <w:vAlign w:val="center"/>
          </w:tcPr>
          <w:p w14:paraId="65D5107B" w14:textId="77777777" w:rsidR="008C6706" w:rsidRDefault="00000000">
            <w:pPr>
              <w:spacing w:after="40" w:line="264" w:lineRule="auto"/>
              <w:rPr>
                <w:lang w:eastAsia="ja-JP"/>
              </w:rPr>
            </w:pPr>
            <w:r>
              <w:rPr>
                <w:color w:val="000000"/>
                <w:sz w:val="19"/>
                <w:szCs w:val="19"/>
                <w:lang w:eastAsia="ja-JP"/>
              </w:rPr>
              <w:t>Provost（教務担当副学長）を中心とする段階的承認 ＋ 関係部署協議</w:t>
            </w:r>
          </w:p>
        </w:tc>
        <w:tc>
          <w:tcPr>
            <w:tcW w:w="3630" w:type="dxa"/>
            <w:shd w:val="clear" w:color="auto" w:fill="EAF0F7"/>
            <w:tcMar>
              <w:top w:w="70" w:type="dxa"/>
              <w:left w:w="110" w:type="dxa"/>
              <w:bottom w:w="70" w:type="dxa"/>
              <w:right w:w="110" w:type="dxa"/>
            </w:tcMar>
            <w:vAlign w:val="center"/>
          </w:tcPr>
          <w:p w14:paraId="39E6202A" w14:textId="77777777" w:rsidR="008C6706" w:rsidRDefault="00000000">
            <w:pPr>
              <w:spacing w:after="40" w:line="264" w:lineRule="auto"/>
              <w:rPr>
                <w:lang w:eastAsia="ja-JP"/>
              </w:rPr>
            </w:pPr>
            <w:r>
              <w:rPr>
                <w:color w:val="000000"/>
                <w:sz w:val="19"/>
                <w:szCs w:val="19"/>
                <w:lang w:eastAsia="ja-JP"/>
              </w:rPr>
              <w:t>寄付機会のカタログを整備しProvostが承認。10万ドル超の使途指定・基金寄付はProvost（法務顧問と協議可）が審査、施設命名は学長・Provost、新設センター/研究所はProvost・学長・理事会が承認。寄付者と大学に前例がない等の場合は開発・財務・法務・Provostが追加審査。</w:t>
            </w:r>
          </w:p>
        </w:tc>
      </w:tr>
      <w:tr w:rsidR="008C6706" w14:paraId="7B35B983" w14:textId="77777777">
        <w:tblPrEx>
          <w:tblCellMar>
            <w:top w:w="0" w:type="dxa"/>
            <w:bottom w:w="0" w:type="dxa"/>
          </w:tblCellMar>
        </w:tblPrEx>
        <w:tc>
          <w:tcPr>
            <w:tcW w:w="2100" w:type="dxa"/>
            <w:tcMar>
              <w:top w:w="70" w:type="dxa"/>
              <w:left w:w="110" w:type="dxa"/>
              <w:bottom w:w="70" w:type="dxa"/>
              <w:right w:w="110" w:type="dxa"/>
            </w:tcMar>
            <w:vAlign w:val="center"/>
          </w:tcPr>
          <w:p w14:paraId="05A0ECF0" w14:textId="77777777" w:rsidR="008C6706" w:rsidRDefault="00000000">
            <w:pPr>
              <w:spacing w:after="40" w:line="264" w:lineRule="auto"/>
            </w:pPr>
            <w:r>
              <w:rPr>
                <w:color w:val="000000"/>
                <w:sz w:val="19"/>
                <w:szCs w:val="19"/>
              </w:rPr>
              <w:t>UC Berkeley</w:t>
            </w:r>
          </w:p>
        </w:tc>
        <w:tc>
          <w:tcPr>
            <w:tcW w:w="3630" w:type="dxa"/>
            <w:tcMar>
              <w:top w:w="70" w:type="dxa"/>
              <w:left w:w="110" w:type="dxa"/>
              <w:bottom w:w="70" w:type="dxa"/>
              <w:right w:w="110" w:type="dxa"/>
            </w:tcMar>
            <w:vAlign w:val="center"/>
          </w:tcPr>
          <w:p w14:paraId="09AE5AE7" w14:textId="77777777" w:rsidR="008C6706" w:rsidRDefault="00000000">
            <w:pPr>
              <w:spacing w:after="40" w:line="264" w:lineRule="auto"/>
            </w:pPr>
            <w:r>
              <w:rPr>
                <w:color w:val="000000"/>
                <w:sz w:val="19"/>
                <w:szCs w:val="19"/>
              </w:rPr>
              <w:t>金額に応じた承認権限の委任（Delegation of Authority）</w:t>
            </w:r>
          </w:p>
        </w:tc>
        <w:tc>
          <w:tcPr>
            <w:tcW w:w="3630" w:type="dxa"/>
            <w:tcMar>
              <w:top w:w="70" w:type="dxa"/>
              <w:left w:w="110" w:type="dxa"/>
              <w:bottom w:w="70" w:type="dxa"/>
              <w:right w:w="110" w:type="dxa"/>
            </w:tcMar>
            <w:vAlign w:val="center"/>
          </w:tcPr>
          <w:p w14:paraId="00E20DBD" w14:textId="77777777" w:rsidR="008C6706" w:rsidRDefault="00000000">
            <w:pPr>
              <w:spacing w:after="40" w:line="264" w:lineRule="auto"/>
              <w:rPr>
                <w:lang w:eastAsia="ja-JP"/>
              </w:rPr>
            </w:pPr>
            <w:r>
              <w:rPr>
                <w:color w:val="000000"/>
                <w:sz w:val="19"/>
                <w:szCs w:val="19"/>
              </w:rPr>
              <w:t>100万ドル以下はUDAR（開発担当副学長部門）、1,000万ドル以下は学長（Chancellor）、1,000万ドル超は総長（President）が受諾。</w:t>
            </w:r>
            <w:r>
              <w:rPr>
                <w:color w:val="000000"/>
                <w:sz w:val="19"/>
                <w:szCs w:val="19"/>
                <w:lang w:eastAsia="ja-JP"/>
              </w:rPr>
              <w:t>施設命名は原則として建設費の50%相当の寄付を目安とする。</w:t>
            </w:r>
          </w:p>
        </w:tc>
      </w:tr>
    </w:tbl>
    <w:p w14:paraId="571ADD16" w14:textId="77777777" w:rsidR="008C6706" w:rsidRDefault="00000000">
      <w:pPr>
        <w:pStyle w:val="Heading2"/>
        <w:rPr>
          <w:lang w:eastAsia="ja-JP"/>
        </w:rPr>
      </w:pPr>
      <w:r>
        <w:rPr>
          <w:lang w:eastAsia="ja-JP"/>
        </w:rPr>
        <w:lastRenderedPageBreak/>
        <w:t>4.2 承認フローの典型パターン</w:t>
      </w:r>
    </w:p>
    <w:p w14:paraId="3CA07C05" w14:textId="77777777" w:rsidR="008C6706" w:rsidRDefault="00000000">
      <w:pPr>
        <w:spacing w:after="140" w:line="300" w:lineRule="auto"/>
        <w:jc w:val="both"/>
        <w:rPr>
          <w:lang w:eastAsia="ja-JP"/>
        </w:rPr>
      </w:pPr>
      <w:r>
        <w:rPr>
          <w:lang w:eastAsia="ja-JP"/>
        </w:rPr>
        <w:t>公開ポリシーから読み取れる標準的なワークフローは次の通り。</w:t>
      </w:r>
    </w:p>
    <w:p w14:paraId="73C29C49" w14:textId="77777777" w:rsidR="008C6706" w:rsidRDefault="00000000">
      <w:pPr>
        <w:pStyle w:val="ListParagraph"/>
        <w:numPr>
          <w:ilvl w:val="0"/>
          <w:numId w:val="3"/>
        </w:numPr>
        <w:spacing w:after="80" w:line="288" w:lineRule="auto"/>
        <w:rPr>
          <w:lang w:eastAsia="ja-JP"/>
        </w:rPr>
      </w:pPr>
      <w:r>
        <w:rPr>
          <w:lang w:eastAsia="ja-JP"/>
        </w:rPr>
        <w:t>開発（ファンドレイジング）部門が寄付を勧誘・受付し、寄付機会が事前承認カタログにあるかを確認。</w:t>
      </w:r>
    </w:p>
    <w:p w14:paraId="0BF29FDF" w14:textId="77777777" w:rsidR="008C6706" w:rsidRDefault="00000000">
      <w:pPr>
        <w:pStyle w:val="ListParagraph"/>
        <w:numPr>
          <w:ilvl w:val="0"/>
          <w:numId w:val="3"/>
        </w:numPr>
        <w:spacing w:after="80" w:line="288" w:lineRule="auto"/>
        <w:rPr>
          <w:lang w:eastAsia="ja-JP"/>
        </w:rPr>
      </w:pPr>
      <w:r>
        <w:rPr>
          <w:lang w:eastAsia="ja-JP"/>
        </w:rPr>
        <w:t>金額の閾値・トリガー該当性を判定。閾値未満・低リスクは通常処理。</w:t>
      </w:r>
    </w:p>
    <w:p w14:paraId="75EBF185" w14:textId="77777777" w:rsidR="008C6706" w:rsidRDefault="00000000">
      <w:pPr>
        <w:pStyle w:val="ListParagraph"/>
        <w:numPr>
          <w:ilvl w:val="0"/>
          <w:numId w:val="3"/>
        </w:numPr>
        <w:spacing w:after="80" w:line="288" w:lineRule="auto"/>
        <w:rPr>
          <w:lang w:eastAsia="ja-JP"/>
        </w:rPr>
      </w:pPr>
      <w:r>
        <w:rPr>
          <w:lang w:eastAsia="ja-JP"/>
        </w:rPr>
        <w:t>閾値超・高リスクはデューデリジェンス調査を実施し、調査報告書を作成・保管（寄付契約に添付する例あり）。</w:t>
      </w:r>
    </w:p>
    <w:p w14:paraId="779D6E67" w14:textId="77777777" w:rsidR="008C6706" w:rsidRDefault="00000000">
      <w:pPr>
        <w:pStyle w:val="ListParagraph"/>
        <w:numPr>
          <w:ilvl w:val="0"/>
          <w:numId w:val="3"/>
        </w:numPr>
        <w:spacing w:after="80" w:line="288" w:lineRule="auto"/>
        <w:rPr>
          <w:lang w:eastAsia="ja-JP"/>
        </w:rPr>
      </w:pPr>
      <w:r>
        <w:rPr>
          <w:lang w:eastAsia="ja-JP"/>
        </w:rPr>
        <w:t>専門委員会が倫理・評判・法務・利益相反の観点から審議し、受諾／条件付受諾／拒否を判断。</w:t>
      </w:r>
    </w:p>
    <w:p w14:paraId="6DA1659E" w14:textId="77777777" w:rsidR="008C6706" w:rsidRDefault="00000000">
      <w:pPr>
        <w:pStyle w:val="ListParagraph"/>
        <w:numPr>
          <w:ilvl w:val="0"/>
          <w:numId w:val="3"/>
        </w:numPr>
        <w:spacing w:after="80" w:line="288" w:lineRule="auto"/>
        <w:rPr>
          <w:lang w:eastAsia="ja-JP"/>
        </w:rPr>
      </w:pPr>
      <w:r>
        <w:rPr>
          <w:lang w:eastAsia="ja-JP"/>
        </w:rPr>
        <w:t>金額に応じた権限者（副学長・学長・総長・理事会等）が最終受諾。命名・新設組織は上位承認。</w:t>
      </w:r>
    </w:p>
    <w:p w14:paraId="63C45682" w14:textId="77777777" w:rsidR="008C6706" w:rsidRDefault="00000000">
      <w:pPr>
        <w:pStyle w:val="ListParagraph"/>
        <w:numPr>
          <w:ilvl w:val="0"/>
          <w:numId w:val="3"/>
        </w:numPr>
        <w:spacing w:after="80" w:line="288" w:lineRule="auto"/>
      </w:pPr>
      <w:r>
        <w:t>寄付契約（gift agreement）を締結し、使途・寄付者の意図・将来の使途変更条項（gift over/contingency）を明記。</w:t>
      </w:r>
    </w:p>
    <w:p w14:paraId="7E3799A8" w14:textId="77777777" w:rsidR="008C6706" w:rsidRDefault="00000000">
      <w:pPr>
        <w:pStyle w:val="Heading2"/>
        <w:rPr>
          <w:lang w:eastAsia="ja-JP"/>
        </w:rPr>
      </w:pPr>
      <w:r>
        <w:rPr>
          <w:lang w:eastAsia="ja-JP"/>
        </w:rPr>
        <w:t>4.3 拒否・返還（Refusal / Return）の手続き</w:t>
      </w:r>
    </w:p>
    <w:p w14:paraId="360EB978" w14:textId="77777777" w:rsidR="008C6706" w:rsidRDefault="00000000">
      <w:pPr>
        <w:spacing w:after="140" w:line="300" w:lineRule="auto"/>
        <w:jc w:val="both"/>
        <w:rPr>
          <w:lang w:eastAsia="ja-JP"/>
        </w:rPr>
      </w:pPr>
      <w:r>
        <w:rPr>
          <w:lang w:eastAsia="ja-JP"/>
        </w:rPr>
        <w:t>受入れ後に問題が判明した場合の「返還・命名撤回・使途転用」の権限と手続きも明文化されている点が重要である。</w:t>
      </w:r>
    </w:p>
    <w:p w14:paraId="6DEDF899" w14:textId="77777777" w:rsidR="008C6706" w:rsidRDefault="00000000">
      <w:pPr>
        <w:pStyle w:val="ListParagraph"/>
        <w:numPr>
          <w:ilvl w:val="0"/>
          <w:numId w:val="2"/>
        </w:numPr>
        <w:spacing w:after="80" w:line="288" w:lineRule="auto"/>
      </w:pPr>
      <w:r>
        <w:rPr>
          <w:b/>
          <w:bCs/>
        </w:rPr>
        <w:t>拒否の権利の明記</w:t>
      </w:r>
      <w:r>
        <w:t>：University of Dundee等は「寄付の受入れと拒否（acceptance and refusal）」を単一のポリシーとして明示し、拒否できることを制度化。</w:t>
      </w:r>
    </w:p>
    <w:p w14:paraId="5D66F4C6" w14:textId="77777777" w:rsidR="008C6706" w:rsidRDefault="00000000">
      <w:pPr>
        <w:pStyle w:val="ListParagraph"/>
        <w:numPr>
          <w:ilvl w:val="0"/>
          <w:numId w:val="2"/>
        </w:numPr>
        <w:spacing w:after="80" w:line="288" w:lineRule="auto"/>
        <w:rPr>
          <w:lang w:eastAsia="ja-JP"/>
        </w:rPr>
      </w:pPr>
      <w:r>
        <w:rPr>
          <w:b/>
          <w:bCs/>
          <w:lang w:eastAsia="ja-JP"/>
        </w:rPr>
        <w:t>返還への強い推定（Yale）</w:t>
      </w:r>
      <w:r>
        <w:rPr>
          <w:lang w:eastAsia="ja-JP"/>
        </w:rPr>
        <w:t>：「受け入れた寄付は原則として返還しない」という強い推定を置きつつ、受入れ時に知り得なかった事実により受入原則への違反が『明白』となった例外的な場合に限り返還を認める。</w:t>
      </w:r>
    </w:p>
    <w:p w14:paraId="51C93F0C" w14:textId="77777777" w:rsidR="008C6706" w:rsidRDefault="00000000">
      <w:pPr>
        <w:pStyle w:val="ListParagraph"/>
        <w:numPr>
          <w:ilvl w:val="0"/>
          <w:numId w:val="2"/>
        </w:numPr>
        <w:spacing w:after="80" w:line="288" w:lineRule="auto"/>
        <w:rPr>
          <w:lang w:eastAsia="ja-JP"/>
        </w:rPr>
      </w:pPr>
      <w:r>
        <w:rPr>
          <w:b/>
          <w:bCs/>
          <w:lang w:eastAsia="ja-JP"/>
        </w:rPr>
        <w:t>将来事象への対応と権限委任（Berkeley）</w:t>
      </w:r>
      <w:r>
        <w:rPr>
          <w:lang w:eastAsia="ja-JP"/>
        </w:rPr>
        <w:t>：寄付者の将来の行為又は過去に関する新事実が拒否事由に該当し得る場合、UDARが対応（返還・命名撤回・使途転用等）を主導。返還権限は総長からの委任（Delegation of Authority）に基づく。使途不履行による返還と、過払い等の誤りによる『返金（refund）』を区別。</w:t>
      </w:r>
    </w:p>
    <w:p w14:paraId="30849783" w14:textId="77777777" w:rsidR="008C6706" w:rsidRDefault="00000000">
      <w:pPr>
        <w:pStyle w:val="ListParagraph"/>
        <w:numPr>
          <w:ilvl w:val="0"/>
          <w:numId w:val="2"/>
        </w:numPr>
        <w:spacing w:after="80" w:line="288" w:lineRule="auto"/>
        <w:rPr>
          <w:lang w:eastAsia="ja-JP"/>
        </w:rPr>
      </w:pPr>
      <w:r>
        <w:rPr>
          <w:b/>
          <w:bCs/>
          <w:lang w:eastAsia="ja-JP"/>
        </w:rPr>
        <w:t>使途変更（redirection）条項</w:t>
      </w:r>
      <w:r>
        <w:rPr>
          <w:lang w:eastAsia="ja-JP"/>
        </w:rPr>
        <w:t>：当初使途の遂行が不可能・非現実的になった場合に備え、寄付者の一般的意図に沿って別用途へ転用できる条項を寄付契約に組み込む（Berkeley、Yale）。</w:t>
      </w:r>
    </w:p>
    <w:p w14:paraId="69B5427F" w14:textId="77777777" w:rsidR="008C6706" w:rsidRDefault="00000000">
      <w:pPr>
        <w:rPr>
          <w:lang w:eastAsia="ja-JP"/>
        </w:rPr>
      </w:pPr>
      <w:r>
        <w:rPr>
          <w:lang w:eastAsia="ja-JP"/>
        </w:rPr>
        <w:br w:type="page"/>
      </w:r>
    </w:p>
    <w:p w14:paraId="69C4EE08" w14:textId="77777777" w:rsidR="008C6706" w:rsidRDefault="00000000">
      <w:pPr>
        <w:pStyle w:val="Heading1"/>
        <w:rPr>
          <w:lang w:eastAsia="ja-JP"/>
        </w:rPr>
      </w:pPr>
      <w:r>
        <w:rPr>
          <w:lang w:eastAsia="ja-JP"/>
        </w:rPr>
        <w:lastRenderedPageBreak/>
        <w:t>5. 観点C：利益相反・倫理</w:t>
      </w:r>
    </w:p>
    <w:p w14:paraId="42EC9853" w14:textId="77777777" w:rsidR="008C6706" w:rsidRDefault="00000000">
      <w:pPr>
        <w:pStyle w:val="Heading2"/>
        <w:rPr>
          <w:lang w:eastAsia="ja-JP"/>
        </w:rPr>
      </w:pPr>
      <w:r>
        <w:rPr>
          <w:lang w:eastAsia="ja-JP"/>
        </w:rPr>
        <w:t>5.1 学問の自由と大学の自律性の保護</w:t>
      </w:r>
    </w:p>
    <w:p w14:paraId="099C85D1" w14:textId="77777777" w:rsidR="008C6706" w:rsidRDefault="00000000">
      <w:pPr>
        <w:spacing w:after="140" w:line="300" w:lineRule="auto"/>
        <w:jc w:val="both"/>
        <w:rPr>
          <w:lang w:eastAsia="ja-JP"/>
        </w:rPr>
      </w:pPr>
      <w:r>
        <w:rPr>
          <w:lang w:eastAsia="ja-JP"/>
        </w:rPr>
        <w:t>倫理審査の中核は、寄付者が大学の中核的意思決定に影響を及ぼすことの排除である。Yaleのポリシーはこの点を最も明快に条文化している。</w:t>
      </w:r>
    </w:p>
    <w:p w14:paraId="54C65859" w14:textId="77777777" w:rsidR="008C6706" w:rsidRDefault="00000000">
      <w:pPr>
        <w:spacing w:after="140" w:line="300" w:lineRule="auto"/>
        <w:jc w:val="both"/>
        <w:rPr>
          <w:lang w:eastAsia="ja-JP"/>
        </w:rPr>
      </w:pPr>
      <w:r>
        <w:rPr>
          <w:b/>
          <w:bCs/>
          <w:lang w:eastAsia="ja-JP"/>
        </w:rPr>
        <w:t>Yale：</w:t>
      </w:r>
      <w:r>
        <w:rPr>
          <w:lang w:eastAsia="ja-JP"/>
        </w:rPr>
        <w:t xml:space="preserve"> 「大学は、学問の自由を侵害せず、利益相反をもたらさず、財務・評判その他の過度なリスクや負担を課さず、法に反しない、使命に資する寄付を受け入れる」。特に、</w:t>
      </w:r>
      <w:r>
        <w:rPr>
          <w:b/>
          <w:bCs/>
          <w:lang w:eastAsia="ja-JP"/>
        </w:rPr>
        <w:t>入試・任用・昇進・研究の遂行・施設の建設と利用・カリキュラム策定・奨学金</w:t>
      </w:r>
      <w:r>
        <w:rPr>
          <w:lang w:eastAsia="ja-JP"/>
        </w:rPr>
        <w:t>に関する大学の意思決定の自律性を妨げる条件、又は教員の学問の自由（教育・研究・診療）を侵害する条件を付した寄付は受け入れない、と明記。</w:t>
      </w:r>
    </w:p>
    <w:p w14:paraId="58383BBA" w14:textId="77777777" w:rsidR="008C6706" w:rsidRDefault="00000000">
      <w:pPr>
        <w:spacing w:after="140" w:line="300" w:lineRule="auto"/>
        <w:jc w:val="both"/>
        <w:rPr>
          <w:lang w:eastAsia="ja-JP"/>
        </w:rPr>
      </w:pPr>
      <w:r>
        <w:rPr>
          <w:b/>
          <w:bCs/>
          <w:lang w:eastAsia="ja-JP"/>
        </w:rPr>
        <w:t>Stanford：</w:t>
      </w:r>
      <w:r>
        <w:rPr>
          <w:lang w:eastAsia="ja-JP"/>
        </w:rPr>
        <w:t xml:space="preserve"> 「大学・学生・教員・研究者の業務の完全性・独立性・正確性・自律性を損ないうる寄付及び条件は受け入れない」とし、研究の独立性・完全性を損なう恐れ、又は評判に重大な損害が生じる恐れがある場合には、提供された寄付を辞退する権利を留保。</w:t>
      </w:r>
    </w:p>
    <w:p w14:paraId="00582FE8" w14:textId="77777777" w:rsidR="008C6706" w:rsidRDefault="00000000">
      <w:pPr>
        <w:spacing w:after="140" w:line="300" w:lineRule="auto"/>
        <w:jc w:val="both"/>
        <w:rPr>
          <w:lang w:eastAsia="ja-JP"/>
        </w:rPr>
      </w:pPr>
      <w:r>
        <w:rPr>
          <w:b/>
          <w:bCs/>
          <w:lang w:eastAsia="ja-JP"/>
        </w:rPr>
        <w:t>Harvard：</w:t>
      </w:r>
      <w:r>
        <w:rPr>
          <w:lang w:eastAsia="ja-JP"/>
        </w:rPr>
        <w:t xml:space="preserve"> ガイドの最優先事項として「学問の自由の保持」と「利益相反の回避」「大学と寄付者の整合性と自律性の確保」を掲げる。</w:t>
      </w:r>
    </w:p>
    <w:p w14:paraId="523288E2" w14:textId="77777777" w:rsidR="008C6706" w:rsidRDefault="00000000">
      <w:pPr>
        <w:pStyle w:val="Heading2"/>
        <w:rPr>
          <w:lang w:eastAsia="ja-JP"/>
        </w:rPr>
      </w:pPr>
      <w:r>
        <w:rPr>
          <w:lang w:eastAsia="ja-JP"/>
        </w:rPr>
        <w:t>5.2 利益相反（COI）の具体的統制</w:t>
      </w:r>
    </w:p>
    <w:p w14:paraId="77BA2961" w14:textId="77777777" w:rsidR="008C6706" w:rsidRDefault="00000000">
      <w:pPr>
        <w:pStyle w:val="ListParagraph"/>
        <w:numPr>
          <w:ilvl w:val="0"/>
          <w:numId w:val="2"/>
        </w:numPr>
        <w:spacing w:after="80" w:line="288" w:lineRule="auto"/>
        <w:rPr>
          <w:lang w:eastAsia="ja-JP"/>
        </w:rPr>
      </w:pPr>
      <w:r>
        <w:rPr>
          <w:b/>
          <w:bCs/>
          <w:lang w:eastAsia="ja-JP"/>
        </w:rPr>
        <w:t>私的便益の排除（Yale）</w:t>
      </w:r>
      <w:r>
        <w:rPr>
          <w:lang w:eastAsia="ja-JP"/>
        </w:rPr>
        <w:t>：主として寄付者個人に便益を与えることを目的とする寄付、又は入試・奨学金・雇用・調達等の判断を不当に左右しうる寄付は受け入れない。</w:t>
      </w:r>
    </w:p>
    <w:p w14:paraId="3BD27050" w14:textId="77777777" w:rsidR="008C6706" w:rsidRDefault="00000000">
      <w:pPr>
        <w:pStyle w:val="ListParagraph"/>
        <w:numPr>
          <w:ilvl w:val="0"/>
          <w:numId w:val="2"/>
        </w:numPr>
        <w:spacing w:after="80" w:line="288" w:lineRule="auto"/>
        <w:rPr>
          <w:lang w:eastAsia="ja-JP"/>
        </w:rPr>
      </w:pPr>
      <w:r>
        <w:rPr>
          <w:b/>
          <w:bCs/>
          <w:lang w:eastAsia="ja-JP"/>
        </w:rPr>
        <w:t>入学志願者の家族からの寄付の抑制（Harvard）</w:t>
      </w:r>
      <w:r>
        <w:rPr>
          <w:lang w:eastAsia="ja-JP"/>
        </w:rPr>
        <w:t>：家族がHarvardに出願していることが判明している（見込み）寄付者からは寄付を勧誘しない、と明記。</w:t>
      </w:r>
    </w:p>
    <w:p w14:paraId="132B937E" w14:textId="77777777" w:rsidR="008C6706" w:rsidRDefault="00000000">
      <w:pPr>
        <w:pStyle w:val="ListParagraph"/>
        <w:numPr>
          <w:ilvl w:val="0"/>
          <w:numId w:val="2"/>
        </w:numPr>
        <w:spacing w:after="80" w:line="288" w:lineRule="auto"/>
        <w:rPr>
          <w:lang w:eastAsia="ja-JP"/>
        </w:rPr>
      </w:pPr>
      <w:r>
        <w:rPr>
          <w:b/>
          <w:bCs/>
          <w:lang w:eastAsia="ja-JP"/>
        </w:rPr>
        <w:t>特定個人への使途指定の禁止（Berkeley）</w:t>
      </w:r>
      <w:r>
        <w:rPr>
          <w:lang w:eastAsia="ja-JP"/>
        </w:rPr>
        <w:t>：寄付を特定個人に充当（earmark）することを認めない（IRS規則との整合）。教員が自らの研究のために行う寄付も、支出が法令・大学方針に適合する手続きを条件に限定的に許容。</w:t>
      </w:r>
    </w:p>
    <w:p w14:paraId="09C607DE" w14:textId="77777777" w:rsidR="008C6706" w:rsidRDefault="00000000">
      <w:pPr>
        <w:pStyle w:val="ListParagraph"/>
        <w:numPr>
          <w:ilvl w:val="0"/>
          <w:numId w:val="2"/>
        </w:numPr>
        <w:spacing w:after="80" w:line="288" w:lineRule="auto"/>
        <w:rPr>
          <w:lang w:eastAsia="ja-JP"/>
        </w:rPr>
      </w:pPr>
      <w:r>
        <w:rPr>
          <w:b/>
          <w:bCs/>
          <w:lang w:eastAsia="ja-JP"/>
        </w:rPr>
        <w:t>研究資金と『寄付』の峻別</w:t>
      </w:r>
      <w:r>
        <w:rPr>
          <w:lang w:eastAsia="ja-JP"/>
        </w:rPr>
        <w:t>：知的財産権の対価や詳細な役務・報告を伴う資金は『スポンサード・アワード（研究助成・契約）』であり寄付ではない、と定義上区別（Berkeley）。COIや研究独立性の管理単位を明確化する上で重要。</w:t>
      </w:r>
    </w:p>
    <w:p w14:paraId="0D2880E1" w14:textId="77777777" w:rsidR="008C6706" w:rsidRDefault="00000000">
      <w:pPr>
        <w:pStyle w:val="Heading2"/>
        <w:rPr>
          <w:lang w:eastAsia="ja-JP"/>
        </w:rPr>
      </w:pPr>
      <w:r>
        <w:rPr>
          <w:lang w:eastAsia="ja-JP"/>
        </w:rPr>
        <w:t>5.3 命名（Naming）の統制</w:t>
      </w:r>
    </w:p>
    <w:p w14:paraId="65E4F82D" w14:textId="77777777" w:rsidR="008C6706" w:rsidRDefault="00000000">
      <w:pPr>
        <w:spacing w:after="140" w:line="300" w:lineRule="auto"/>
        <w:jc w:val="both"/>
        <w:rPr>
          <w:lang w:eastAsia="ja-JP"/>
        </w:rPr>
      </w:pPr>
      <w:r>
        <w:rPr>
          <w:lang w:eastAsia="ja-JP"/>
        </w:rPr>
        <w:t>命名は評判リスクが最も顕在化しやすい領域であり、専用ポリシーと上位承認、及び撤回条項が置かれる。</w:t>
      </w:r>
    </w:p>
    <w:p w14:paraId="1C11B848" w14:textId="77777777" w:rsidR="008C6706" w:rsidRDefault="00000000">
      <w:pPr>
        <w:pStyle w:val="ListParagraph"/>
        <w:numPr>
          <w:ilvl w:val="0"/>
          <w:numId w:val="2"/>
        </w:numPr>
        <w:spacing w:after="80" w:line="288" w:lineRule="auto"/>
        <w:rPr>
          <w:lang w:eastAsia="ja-JP"/>
        </w:rPr>
      </w:pPr>
      <w:r>
        <w:rPr>
          <w:b/>
          <w:bCs/>
          <w:lang w:eastAsia="ja-JP"/>
        </w:rPr>
        <w:t>上位承認</w:t>
      </w:r>
      <w:r>
        <w:rPr>
          <w:lang w:eastAsia="ja-JP"/>
        </w:rPr>
        <w:t>：施設命名は学長・Provostの承認（Yale）、新設の名称付き組織は理事会承認（Yale）。</w:t>
      </w:r>
    </w:p>
    <w:p w14:paraId="6ED76524" w14:textId="77777777" w:rsidR="008C6706" w:rsidRDefault="00000000">
      <w:pPr>
        <w:pStyle w:val="ListParagraph"/>
        <w:numPr>
          <w:ilvl w:val="0"/>
          <w:numId w:val="2"/>
        </w:numPr>
        <w:spacing w:after="80" w:line="288" w:lineRule="auto"/>
        <w:rPr>
          <w:lang w:eastAsia="ja-JP"/>
        </w:rPr>
      </w:pPr>
      <w:r>
        <w:rPr>
          <w:b/>
          <w:bCs/>
          <w:lang w:eastAsia="ja-JP"/>
        </w:rPr>
        <w:lastRenderedPageBreak/>
        <w:t>金額目安</w:t>
      </w:r>
      <w:r>
        <w:rPr>
          <w:lang w:eastAsia="ja-JP"/>
        </w:rPr>
        <w:t>：建物全体の命名は建設費の50%相当を目安とする（Berkeley）。</w:t>
      </w:r>
    </w:p>
    <w:p w14:paraId="584FFEC0" w14:textId="77777777" w:rsidR="008C6706" w:rsidRDefault="00000000">
      <w:pPr>
        <w:pStyle w:val="ListParagraph"/>
        <w:numPr>
          <w:ilvl w:val="0"/>
          <w:numId w:val="2"/>
        </w:numPr>
        <w:spacing w:after="80" w:line="288" w:lineRule="auto"/>
      </w:pPr>
      <w:r>
        <w:rPr>
          <w:b/>
          <w:bCs/>
        </w:rPr>
        <w:t>命名撤回</w:t>
      </w:r>
      <w:r>
        <w:t>：新事実により拒否事由に該当した場合、命名の撤去（programs, endowments, spaces, buildings からの名称除去）を含む対応を取りうる（Berkeley）。</w:t>
      </w:r>
    </w:p>
    <w:p w14:paraId="0FED0284" w14:textId="77777777" w:rsidR="008C6706" w:rsidRDefault="00000000">
      <w:pPr>
        <w:pStyle w:val="ListParagraph"/>
        <w:numPr>
          <w:ilvl w:val="0"/>
          <w:numId w:val="2"/>
        </w:numPr>
        <w:spacing w:after="80" w:line="288" w:lineRule="auto"/>
        <w:rPr>
          <w:lang w:eastAsia="ja-JP"/>
        </w:rPr>
      </w:pPr>
      <w:r>
        <w:rPr>
          <w:b/>
          <w:bCs/>
          <w:lang w:eastAsia="ja-JP"/>
        </w:rPr>
        <w:t>匿名との一貫性</w:t>
      </w:r>
      <w:r>
        <w:rPr>
          <w:lang w:eastAsia="ja-JP"/>
        </w:rPr>
        <w:t>：「公に受け入れられない寄付は匿名でも受け入れない」（Harvard）。</w:t>
      </w:r>
    </w:p>
    <w:p w14:paraId="1286319C" w14:textId="77777777" w:rsidR="008C6706" w:rsidRDefault="00000000">
      <w:pPr>
        <w:rPr>
          <w:lang w:eastAsia="ja-JP"/>
        </w:rPr>
      </w:pPr>
      <w:r>
        <w:rPr>
          <w:lang w:eastAsia="ja-JP"/>
        </w:rPr>
        <w:br w:type="page"/>
      </w:r>
    </w:p>
    <w:p w14:paraId="4129F53B" w14:textId="77777777" w:rsidR="008C6706" w:rsidRDefault="00000000">
      <w:pPr>
        <w:pStyle w:val="Heading1"/>
      </w:pPr>
      <w:r>
        <w:lastRenderedPageBreak/>
        <w:t>6. 大学病院に固有の論点</w:t>
      </w:r>
    </w:p>
    <w:p w14:paraId="01B19DD2" w14:textId="77777777" w:rsidR="008C6706" w:rsidRDefault="00000000">
      <w:pPr>
        <w:spacing w:after="140" w:line="300" w:lineRule="auto"/>
        <w:jc w:val="both"/>
      </w:pPr>
      <w:r>
        <w:t>大学病院・医学部では、通常の寄付審査に加え、</w:t>
      </w:r>
      <w:r>
        <w:rPr>
          <w:b/>
          <w:bCs/>
        </w:rPr>
        <w:t>感謝患者による寄付（grateful patient fundraising, GPFR）</w:t>
      </w:r>
      <w:r>
        <w:t>と、患者情報保護・医療倫理の緊張関係という固有の課題がある。</w:t>
      </w:r>
    </w:p>
    <w:p w14:paraId="16003C69" w14:textId="77777777" w:rsidR="008C6706" w:rsidRDefault="00000000">
      <w:pPr>
        <w:pStyle w:val="Heading2"/>
        <w:rPr>
          <w:lang w:eastAsia="ja-JP"/>
        </w:rPr>
      </w:pPr>
      <w:r>
        <w:rPr>
          <w:lang w:eastAsia="ja-JP"/>
        </w:rPr>
        <w:t>6.1 感謝患者寄付（GPFR）の倫理</w:t>
      </w:r>
    </w:p>
    <w:p w14:paraId="221A47B0" w14:textId="77777777" w:rsidR="008C6706" w:rsidRDefault="00000000">
      <w:pPr>
        <w:spacing w:after="140" w:line="300" w:lineRule="auto"/>
        <w:jc w:val="both"/>
      </w:pPr>
      <w:r>
        <w:t>Johns Hopkinsは、Berman生命倫理研究所およびAssociation for Healthcare Philanthropy（AHP）と共同で「感謝患者寄付の倫理に関するサミット」を開催（2017年6月、生命倫理・臨床・開発・法務・患者擁護・規制遵守等の専門家29名が参加）し、倫理的論点と推奨事項を体系化した。主な論点は次の通り。</w:t>
      </w:r>
    </w:p>
    <w:p w14:paraId="653CF69D" w14:textId="77777777" w:rsidR="008C6706" w:rsidRDefault="00000000">
      <w:pPr>
        <w:pStyle w:val="ListParagraph"/>
        <w:numPr>
          <w:ilvl w:val="0"/>
          <w:numId w:val="2"/>
        </w:numPr>
        <w:spacing w:after="80" w:line="288" w:lineRule="auto"/>
        <w:rPr>
          <w:lang w:eastAsia="ja-JP"/>
        </w:rPr>
      </w:pPr>
      <w:r>
        <w:rPr>
          <w:b/>
          <w:bCs/>
          <w:lang w:eastAsia="ja-JP"/>
        </w:rPr>
        <w:t>医師・臨床家の関与</w:t>
      </w:r>
      <w:r>
        <w:rPr>
          <w:lang w:eastAsia="ja-JP"/>
        </w:rPr>
        <w:t>：医師から患者への寄付の働きかけの是非、臨床的に脆弱な患者への配慮、寄付意図に関する透明性。</w:t>
      </w:r>
    </w:p>
    <w:p w14:paraId="6ECDD068" w14:textId="77777777" w:rsidR="008C6706" w:rsidRDefault="00000000">
      <w:pPr>
        <w:pStyle w:val="ListParagraph"/>
        <w:numPr>
          <w:ilvl w:val="0"/>
          <w:numId w:val="2"/>
        </w:numPr>
        <w:spacing w:after="80" w:line="288" w:lineRule="auto"/>
        <w:rPr>
          <w:lang w:eastAsia="ja-JP"/>
        </w:rPr>
      </w:pPr>
      <w:r>
        <w:rPr>
          <w:b/>
          <w:bCs/>
          <w:lang w:eastAsia="ja-JP"/>
        </w:rPr>
        <w:t>診療への非影響</w:t>
      </w:r>
      <w:r>
        <w:rPr>
          <w:lang w:eastAsia="ja-JP"/>
        </w:rPr>
        <w:t>：寄付の有無が診療内容・アクセスに影響しないことの担保。</w:t>
      </w:r>
    </w:p>
    <w:p w14:paraId="68C10AC8" w14:textId="77777777" w:rsidR="008C6706" w:rsidRDefault="00000000">
      <w:pPr>
        <w:pStyle w:val="ListParagraph"/>
        <w:numPr>
          <w:ilvl w:val="0"/>
          <w:numId w:val="2"/>
        </w:numPr>
        <w:spacing w:after="80" w:line="288" w:lineRule="auto"/>
        <w:rPr>
          <w:lang w:eastAsia="ja-JP"/>
        </w:rPr>
      </w:pPr>
      <w:r>
        <w:rPr>
          <w:b/>
          <w:bCs/>
          <w:lang w:eastAsia="ja-JP"/>
        </w:rPr>
        <w:t>守秘・プライバシー</w:t>
      </w:r>
      <w:r>
        <w:rPr>
          <w:lang w:eastAsia="ja-JP"/>
        </w:rPr>
        <w:t>：寄付活動における患者情報の取扱いと守秘。</w:t>
      </w:r>
    </w:p>
    <w:p w14:paraId="50C7952A" w14:textId="77777777" w:rsidR="008C6706" w:rsidRDefault="00000000">
      <w:pPr>
        <w:pStyle w:val="ListParagraph"/>
        <w:numPr>
          <w:ilvl w:val="0"/>
          <w:numId w:val="2"/>
        </w:numPr>
        <w:spacing w:after="80" w:line="288" w:lineRule="auto"/>
        <w:rPr>
          <w:lang w:eastAsia="ja-JP"/>
        </w:rPr>
      </w:pPr>
      <w:r>
        <w:rPr>
          <w:b/>
          <w:bCs/>
          <w:lang w:eastAsia="ja-JP"/>
        </w:rPr>
        <w:t>利益相反と機関ポリシー・研修</w:t>
      </w:r>
      <w:r>
        <w:rPr>
          <w:lang w:eastAsia="ja-JP"/>
        </w:rPr>
        <w:t>：開発担当者・機関としての利益相反管理と職員研修。</w:t>
      </w:r>
    </w:p>
    <w:p w14:paraId="13B2456D" w14:textId="77777777" w:rsidR="008C6706" w:rsidRDefault="00000000">
      <w:pPr>
        <w:spacing w:after="140" w:line="300" w:lineRule="auto"/>
        <w:jc w:val="both"/>
        <w:rPr>
          <w:lang w:eastAsia="ja-JP"/>
        </w:rPr>
      </w:pPr>
      <w:r>
        <w:rPr>
          <w:lang w:eastAsia="ja-JP"/>
        </w:rPr>
        <w:t>Johns Hopkinsは、これらを内部利用向けのQ&amp;A形式ガイドラインに落とし込み、ファンドレイジング全部門に展開している。</w:t>
      </w:r>
    </w:p>
    <w:p w14:paraId="391E1FEB" w14:textId="77777777" w:rsidR="008C6706" w:rsidRDefault="00000000">
      <w:pPr>
        <w:pStyle w:val="Heading2"/>
        <w:rPr>
          <w:lang w:eastAsia="ja-JP"/>
        </w:rPr>
      </w:pPr>
      <w:r>
        <w:rPr>
          <w:lang w:eastAsia="ja-JP"/>
        </w:rPr>
        <w:t>6.2 患者情報保護（HIPAA）との関係</w:t>
      </w:r>
    </w:p>
    <w:p w14:paraId="53BB527C" w14:textId="77777777" w:rsidR="008C6706" w:rsidRDefault="00000000">
      <w:pPr>
        <w:spacing w:after="140" w:line="300" w:lineRule="auto"/>
        <w:jc w:val="both"/>
        <w:rPr>
          <w:lang w:eastAsia="ja-JP"/>
        </w:rPr>
      </w:pPr>
      <w:r>
        <w:rPr>
          <w:lang w:eastAsia="ja-JP"/>
        </w:rPr>
        <w:t>米国では、患者の臨床情報を寄付目的で利用することはHIPAA（1996年医療保険の相互運用性と説明責任に関する法律）により厳格に制限される。Johns Hopkinsは「患者のプライバシーは常に保護され、臨床情報は</w:t>
      </w:r>
      <w:r>
        <w:rPr>
          <w:b/>
          <w:bCs/>
          <w:lang w:eastAsia="ja-JP"/>
        </w:rPr>
        <w:t>HIPAA及びその改正に完全に準拠する形で</w:t>
      </w:r>
      <w:r>
        <w:rPr>
          <w:lang w:eastAsia="ja-JP"/>
        </w:rPr>
        <w:t>、寄付目的には用いない」と明示している。国内では個人情報保護法・医療分野の関連指針が対応領域となる。</w:t>
      </w:r>
    </w:p>
    <w:p w14:paraId="54585043" w14:textId="77777777" w:rsidR="008C6706" w:rsidRDefault="00000000">
      <w:pPr>
        <w:pStyle w:val="Heading2"/>
        <w:rPr>
          <w:lang w:eastAsia="ja-JP"/>
        </w:rPr>
      </w:pPr>
      <w:r>
        <w:rPr>
          <w:lang w:eastAsia="ja-JP"/>
        </w:rPr>
        <w:t>6.3 職能団体の共通基盤</w:t>
      </w:r>
    </w:p>
    <w:p w14:paraId="5B0C05C9" w14:textId="77777777" w:rsidR="008C6706" w:rsidRDefault="00000000">
      <w:pPr>
        <w:spacing w:after="140" w:line="300" w:lineRule="auto"/>
        <w:jc w:val="both"/>
        <w:rPr>
          <w:lang w:eastAsia="ja-JP"/>
        </w:rPr>
      </w:pPr>
      <w:r>
        <w:rPr>
          <w:lang w:eastAsia="ja-JP"/>
        </w:rPr>
        <w:t>米国の医療・教育分野のファンドレイジングは、AHP、CASE（教育機関支援協議会）、AFP（ファンドレイジング専門職協会）等が策定した「</w:t>
      </w:r>
      <w:r>
        <w:rPr>
          <w:b/>
          <w:bCs/>
          <w:lang w:eastAsia="ja-JP"/>
        </w:rPr>
        <w:t>寄付者の権利章典（Donor Bill of Rights）</w:t>
      </w:r>
      <w:r>
        <w:rPr>
          <w:lang w:eastAsia="ja-JP"/>
        </w:rPr>
        <w:t>」や倫理綱領を共通基盤としている。国内規定でも、こうした職能基準を参照点として、寄付者の権利（使途の説明を受ける権利、匿名性の尊重等）と大学の統制を両立させる設計が有効である。</w:t>
      </w:r>
    </w:p>
    <w:p w14:paraId="7746DBFD" w14:textId="77777777" w:rsidR="008C6706" w:rsidRDefault="00000000">
      <w:pPr>
        <w:rPr>
          <w:lang w:eastAsia="ja-JP"/>
        </w:rPr>
      </w:pPr>
      <w:r>
        <w:rPr>
          <w:lang w:eastAsia="ja-JP"/>
        </w:rPr>
        <w:br w:type="page"/>
      </w:r>
    </w:p>
    <w:p w14:paraId="74726F4B" w14:textId="77777777" w:rsidR="008C6706" w:rsidRDefault="00000000">
      <w:pPr>
        <w:pStyle w:val="Heading1"/>
        <w:rPr>
          <w:lang w:eastAsia="ja-JP"/>
        </w:rPr>
      </w:pPr>
      <w:r>
        <w:rPr>
          <w:lang w:eastAsia="ja-JP"/>
        </w:rPr>
        <w:lastRenderedPageBreak/>
        <w:t>7. 国内規定策定への示唆（ベンチマーク要約）</w:t>
      </w:r>
    </w:p>
    <w:p w14:paraId="65249026" w14:textId="77777777" w:rsidR="008C6706" w:rsidRDefault="00000000">
      <w:pPr>
        <w:spacing w:after="140" w:line="300" w:lineRule="auto"/>
        <w:jc w:val="both"/>
        <w:rPr>
          <w:lang w:eastAsia="ja-JP"/>
        </w:rPr>
      </w:pPr>
      <w:r>
        <w:rPr>
          <w:lang w:eastAsia="ja-JP"/>
        </w:rPr>
        <w:t>以上の事例から、国内大学が寄付関連規定・手続きを整備する際に参</w:t>
      </w:r>
      <w:proofErr w:type="gramStart"/>
      <w:r>
        <w:rPr>
          <w:lang w:eastAsia="ja-JP"/>
        </w:rPr>
        <w:t>照</w:t>
      </w:r>
      <w:proofErr w:type="gramEnd"/>
      <w:r>
        <w:rPr>
          <w:lang w:eastAsia="ja-JP"/>
        </w:rPr>
        <w:t>しうる要素を、重点3観点に沿って整理する。</w:t>
      </w:r>
    </w:p>
    <w:p w14:paraId="46BADE0B" w14:textId="77777777" w:rsidR="008C6706" w:rsidRDefault="00000000">
      <w:pPr>
        <w:pStyle w:val="Heading2"/>
        <w:rPr>
          <w:lang w:eastAsia="ja-JP"/>
        </w:rPr>
      </w:pPr>
      <w:r>
        <w:rPr>
          <w:lang w:eastAsia="ja-JP"/>
        </w:rPr>
        <w:t>7.1 規定に盛り込むべき要素のチェックリスト</w:t>
      </w:r>
    </w:p>
    <w:tbl>
      <w:tblPr>
        <w:tblW w:w="936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CellMar>
          <w:left w:w="10" w:type="dxa"/>
          <w:right w:w="10" w:type="dxa"/>
        </w:tblCellMar>
        <w:tblLook w:val="04A0" w:firstRow="1" w:lastRow="0" w:firstColumn="1" w:lastColumn="0" w:noHBand="0" w:noVBand="1"/>
      </w:tblPr>
      <w:tblGrid>
        <w:gridCol w:w="2100"/>
        <w:gridCol w:w="3630"/>
        <w:gridCol w:w="3630"/>
      </w:tblGrid>
      <w:tr w:rsidR="008C6706" w14:paraId="207BEF37" w14:textId="77777777">
        <w:tblPrEx>
          <w:tblCellMar>
            <w:top w:w="0" w:type="dxa"/>
            <w:bottom w:w="0" w:type="dxa"/>
          </w:tblCellMar>
        </w:tblPrEx>
        <w:trPr>
          <w:tblHeader/>
        </w:trPr>
        <w:tc>
          <w:tcPr>
            <w:tcW w:w="2100" w:type="dxa"/>
            <w:shd w:val="clear" w:color="auto" w:fill="1F3864"/>
            <w:tcMar>
              <w:top w:w="70" w:type="dxa"/>
              <w:left w:w="110" w:type="dxa"/>
              <w:bottom w:w="70" w:type="dxa"/>
              <w:right w:w="110" w:type="dxa"/>
            </w:tcMar>
            <w:vAlign w:val="center"/>
          </w:tcPr>
          <w:p w14:paraId="09E5167A" w14:textId="77777777" w:rsidR="008C6706" w:rsidRDefault="00000000">
            <w:pPr>
              <w:spacing w:after="40" w:line="264" w:lineRule="auto"/>
            </w:pPr>
            <w:r>
              <w:rPr>
                <w:b/>
                <w:bCs/>
                <w:color w:val="FFFFFF"/>
                <w:sz w:val="19"/>
                <w:szCs w:val="19"/>
              </w:rPr>
              <w:t>観点</w:t>
            </w:r>
          </w:p>
        </w:tc>
        <w:tc>
          <w:tcPr>
            <w:tcW w:w="3630" w:type="dxa"/>
            <w:shd w:val="clear" w:color="auto" w:fill="1F3864"/>
            <w:tcMar>
              <w:top w:w="70" w:type="dxa"/>
              <w:left w:w="110" w:type="dxa"/>
              <w:bottom w:w="70" w:type="dxa"/>
              <w:right w:w="110" w:type="dxa"/>
            </w:tcMar>
            <w:vAlign w:val="center"/>
          </w:tcPr>
          <w:p w14:paraId="349C0EED" w14:textId="77777777" w:rsidR="008C6706" w:rsidRDefault="00000000">
            <w:pPr>
              <w:spacing w:after="40" w:line="264" w:lineRule="auto"/>
            </w:pPr>
            <w:r>
              <w:rPr>
                <w:b/>
                <w:bCs/>
                <w:color w:val="FFFFFF"/>
                <w:sz w:val="19"/>
                <w:szCs w:val="19"/>
              </w:rPr>
              <w:t>盛り込む要素</w:t>
            </w:r>
          </w:p>
        </w:tc>
        <w:tc>
          <w:tcPr>
            <w:tcW w:w="3630" w:type="dxa"/>
            <w:shd w:val="clear" w:color="auto" w:fill="1F3864"/>
            <w:tcMar>
              <w:top w:w="70" w:type="dxa"/>
              <w:left w:w="110" w:type="dxa"/>
              <w:bottom w:w="70" w:type="dxa"/>
              <w:right w:w="110" w:type="dxa"/>
            </w:tcMar>
            <w:vAlign w:val="center"/>
          </w:tcPr>
          <w:p w14:paraId="61F5744F" w14:textId="77777777" w:rsidR="008C6706" w:rsidRDefault="00000000">
            <w:pPr>
              <w:spacing w:after="40" w:line="264" w:lineRule="auto"/>
            </w:pPr>
            <w:r>
              <w:rPr>
                <w:b/>
                <w:bCs/>
                <w:color w:val="FFFFFF"/>
                <w:sz w:val="19"/>
                <w:szCs w:val="19"/>
              </w:rPr>
              <w:t>参照事例</w:t>
            </w:r>
          </w:p>
        </w:tc>
      </w:tr>
      <w:tr w:rsidR="008C6706" w14:paraId="75DBD8B9" w14:textId="77777777">
        <w:tblPrEx>
          <w:tblCellMar>
            <w:top w:w="0" w:type="dxa"/>
            <w:bottom w:w="0" w:type="dxa"/>
          </w:tblCellMar>
        </w:tblPrEx>
        <w:tc>
          <w:tcPr>
            <w:tcW w:w="2100" w:type="dxa"/>
            <w:tcMar>
              <w:top w:w="70" w:type="dxa"/>
              <w:left w:w="110" w:type="dxa"/>
              <w:bottom w:w="70" w:type="dxa"/>
              <w:right w:w="110" w:type="dxa"/>
            </w:tcMar>
            <w:vAlign w:val="center"/>
          </w:tcPr>
          <w:p w14:paraId="4D94D5C4" w14:textId="77777777" w:rsidR="008C6706" w:rsidRDefault="00000000">
            <w:pPr>
              <w:spacing w:after="40" w:line="264" w:lineRule="auto"/>
            </w:pPr>
            <w:r>
              <w:rPr>
                <w:color w:val="000000"/>
                <w:sz w:val="19"/>
                <w:szCs w:val="19"/>
              </w:rPr>
              <w:t>A. 適格性審査</w:t>
            </w:r>
          </w:p>
        </w:tc>
        <w:tc>
          <w:tcPr>
            <w:tcW w:w="3630" w:type="dxa"/>
            <w:tcMar>
              <w:top w:w="70" w:type="dxa"/>
              <w:left w:w="110" w:type="dxa"/>
              <w:bottom w:w="70" w:type="dxa"/>
              <w:right w:w="110" w:type="dxa"/>
            </w:tcMar>
            <w:vAlign w:val="center"/>
          </w:tcPr>
          <w:p w14:paraId="61D9904D" w14:textId="77777777" w:rsidR="008C6706" w:rsidRDefault="00000000">
            <w:pPr>
              <w:spacing w:after="40" w:line="264" w:lineRule="auto"/>
              <w:rPr>
                <w:lang w:eastAsia="ja-JP"/>
              </w:rPr>
            </w:pPr>
            <w:r>
              <w:rPr>
                <w:color w:val="000000"/>
                <w:sz w:val="19"/>
                <w:szCs w:val="19"/>
                <w:lang w:eastAsia="ja-JP"/>
              </w:rPr>
              <w:t>金額閾値＋定性トリガーによる多段階審査／資金源の合法性・来歴確認／制裁・AML・KYC照合／評判調査／匿名の扱い（完全匿名不可）</w:t>
            </w:r>
          </w:p>
        </w:tc>
        <w:tc>
          <w:tcPr>
            <w:tcW w:w="3630" w:type="dxa"/>
            <w:tcMar>
              <w:top w:w="70" w:type="dxa"/>
              <w:left w:w="110" w:type="dxa"/>
              <w:bottom w:w="70" w:type="dxa"/>
              <w:right w:w="110" w:type="dxa"/>
            </w:tcMar>
            <w:vAlign w:val="center"/>
          </w:tcPr>
          <w:p w14:paraId="7281BA7A" w14:textId="77777777" w:rsidR="008C6706" w:rsidRDefault="00000000">
            <w:pPr>
              <w:spacing w:after="40" w:line="264" w:lineRule="auto"/>
            </w:pPr>
            <w:r>
              <w:rPr>
                <w:color w:val="000000"/>
                <w:sz w:val="19"/>
                <w:szCs w:val="19"/>
              </w:rPr>
              <w:t>Berkeley, Cambridge, Oxford, Harvard</w:t>
            </w:r>
          </w:p>
        </w:tc>
      </w:tr>
      <w:tr w:rsidR="008C6706" w14:paraId="43FC2956" w14:textId="77777777">
        <w:tblPrEx>
          <w:tblCellMar>
            <w:top w:w="0" w:type="dxa"/>
            <w:bottom w:w="0" w:type="dxa"/>
          </w:tblCellMar>
        </w:tblPrEx>
        <w:tc>
          <w:tcPr>
            <w:tcW w:w="2100" w:type="dxa"/>
            <w:shd w:val="clear" w:color="auto" w:fill="EAF0F7"/>
            <w:tcMar>
              <w:top w:w="70" w:type="dxa"/>
              <w:left w:w="110" w:type="dxa"/>
              <w:bottom w:w="70" w:type="dxa"/>
              <w:right w:w="110" w:type="dxa"/>
            </w:tcMar>
            <w:vAlign w:val="center"/>
          </w:tcPr>
          <w:p w14:paraId="0E161B89" w14:textId="77777777" w:rsidR="008C6706" w:rsidRDefault="00000000">
            <w:pPr>
              <w:spacing w:after="40" w:line="264" w:lineRule="auto"/>
            </w:pPr>
            <w:r>
              <w:rPr>
                <w:color w:val="000000"/>
                <w:sz w:val="19"/>
                <w:szCs w:val="19"/>
              </w:rPr>
              <w:t>B. 審査・意思決定</w:t>
            </w:r>
          </w:p>
        </w:tc>
        <w:tc>
          <w:tcPr>
            <w:tcW w:w="3630" w:type="dxa"/>
            <w:shd w:val="clear" w:color="auto" w:fill="EAF0F7"/>
            <w:tcMar>
              <w:top w:w="70" w:type="dxa"/>
              <w:left w:w="110" w:type="dxa"/>
              <w:bottom w:w="70" w:type="dxa"/>
              <w:right w:w="110" w:type="dxa"/>
            </w:tcMar>
            <w:vAlign w:val="center"/>
          </w:tcPr>
          <w:p w14:paraId="012B00A9" w14:textId="77777777" w:rsidR="008C6706" w:rsidRDefault="00000000">
            <w:pPr>
              <w:spacing w:after="40" w:line="264" w:lineRule="auto"/>
              <w:rPr>
                <w:lang w:eastAsia="ja-JP"/>
              </w:rPr>
            </w:pPr>
            <w:r>
              <w:rPr>
                <w:color w:val="000000"/>
                <w:sz w:val="19"/>
                <w:szCs w:val="19"/>
                <w:lang w:eastAsia="ja-JP"/>
              </w:rPr>
              <w:t>常設の寄付審査委員会（多部門構成・独立性）／金額別の承認権限の委任／拒否・返還・使途変更・命名撤回の権限と手続き／DD報告書の保管</w:t>
            </w:r>
          </w:p>
        </w:tc>
        <w:tc>
          <w:tcPr>
            <w:tcW w:w="3630" w:type="dxa"/>
            <w:shd w:val="clear" w:color="auto" w:fill="EAF0F7"/>
            <w:tcMar>
              <w:top w:w="70" w:type="dxa"/>
              <w:left w:w="110" w:type="dxa"/>
              <w:bottom w:w="70" w:type="dxa"/>
              <w:right w:w="110" w:type="dxa"/>
            </w:tcMar>
            <w:vAlign w:val="center"/>
          </w:tcPr>
          <w:p w14:paraId="69C4F51C" w14:textId="77777777" w:rsidR="008C6706" w:rsidRDefault="00000000">
            <w:pPr>
              <w:spacing w:after="40" w:line="264" w:lineRule="auto"/>
            </w:pPr>
            <w:r>
              <w:rPr>
                <w:color w:val="000000"/>
                <w:sz w:val="19"/>
                <w:szCs w:val="19"/>
              </w:rPr>
              <w:t>Oxford(CRDRF), Cambridge(CBELA), Yale, Berkeley</w:t>
            </w:r>
          </w:p>
        </w:tc>
      </w:tr>
      <w:tr w:rsidR="008C6706" w14:paraId="365113A7" w14:textId="77777777">
        <w:tblPrEx>
          <w:tblCellMar>
            <w:top w:w="0" w:type="dxa"/>
            <w:bottom w:w="0" w:type="dxa"/>
          </w:tblCellMar>
        </w:tblPrEx>
        <w:tc>
          <w:tcPr>
            <w:tcW w:w="2100" w:type="dxa"/>
            <w:tcMar>
              <w:top w:w="70" w:type="dxa"/>
              <w:left w:w="110" w:type="dxa"/>
              <w:bottom w:w="70" w:type="dxa"/>
              <w:right w:w="110" w:type="dxa"/>
            </w:tcMar>
            <w:vAlign w:val="center"/>
          </w:tcPr>
          <w:p w14:paraId="3BCA9857" w14:textId="77777777" w:rsidR="008C6706" w:rsidRDefault="00000000">
            <w:pPr>
              <w:spacing w:after="40" w:line="264" w:lineRule="auto"/>
            </w:pPr>
            <w:r>
              <w:rPr>
                <w:color w:val="000000"/>
                <w:sz w:val="19"/>
                <w:szCs w:val="19"/>
              </w:rPr>
              <w:t>C. 利益相反・倫理</w:t>
            </w:r>
          </w:p>
        </w:tc>
        <w:tc>
          <w:tcPr>
            <w:tcW w:w="3630" w:type="dxa"/>
            <w:tcMar>
              <w:top w:w="70" w:type="dxa"/>
              <w:left w:w="110" w:type="dxa"/>
              <w:bottom w:w="70" w:type="dxa"/>
              <w:right w:w="110" w:type="dxa"/>
            </w:tcMar>
            <w:vAlign w:val="center"/>
          </w:tcPr>
          <w:p w14:paraId="6643221C" w14:textId="77777777" w:rsidR="008C6706" w:rsidRDefault="00000000">
            <w:pPr>
              <w:spacing w:after="40" w:line="264" w:lineRule="auto"/>
              <w:rPr>
                <w:lang w:eastAsia="ja-JP"/>
              </w:rPr>
            </w:pPr>
            <w:r>
              <w:rPr>
                <w:color w:val="000000"/>
                <w:sz w:val="19"/>
                <w:szCs w:val="19"/>
                <w:lang w:eastAsia="ja-JP"/>
              </w:rPr>
              <w:t>学問の自由・大学の自律性の保護条項／私的便益・特定個人への使途指定の禁止／志願者家族からの寄付の抑制／命名の上位承認と撤回／研究資金と寄付の峻別</w:t>
            </w:r>
          </w:p>
        </w:tc>
        <w:tc>
          <w:tcPr>
            <w:tcW w:w="3630" w:type="dxa"/>
            <w:tcMar>
              <w:top w:w="70" w:type="dxa"/>
              <w:left w:w="110" w:type="dxa"/>
              <w:bottom w:w="70" w:type="dxa"/>
              <w:right w:w="110" w:type="dxa"/>
            </w:tcMar>
            <w:vAlign w:val="center"/>
          </w:tcPr>
          <w:p w14:paraId="38808A94" w14:textId="77777777" w:rsidR="008C6706" w:rsidRDefault="00000000">
            <w:pPr>
              <w:spacing w:after="40" w:line="264" w:lineRule="auto"/>
            </w:pPr>
            <w:r>
              <w:rPr>
                <w:color w:val="000000"/>
                <w:sz w:val="19"/>
                <w:szCs w:val="19"/>
              </w:rPr>
              <w:t>Yale, Stanford, Harvard, Berkeley</w:t>
            </w:r>
          </w:p>
        </w:tc>
      </w:tr>
      <w:tr w:rsidR="008C6706" w14:paraId="131E2421" w14:textId="77777777">
        <w:tblPrEx>
          <w:tblCellMar>
            <w:top w:w="0" w:type="dxa"/>
            <w:bottom w:w="0" w:type="dxa"/>
          </w:tblCellMar>
        </w:tblPrEx>
        <w:tc>
          <w:tcPr>
            <w:tcW w:w="2100" w:type="dxa"/>
            <w:shd w:val="clear" w:color="auto" w:fill="EAF0F7"/>
            <w:tcMar>
              <w:top w:w="70" w:type="dxa"/>
              <w:left w:w="110" w:type="dxa"/>
              <w:bottom w:w="70" w:type="dxa"/>
              <w:right w:w="110" w:type="dxa"/>
            </w:tcMar>
            <w:vAlign w:val="center"/>
          </w:tcPr>
          <w:p w14:paraId="5F6BB6DF" w14:textId="77777777" w:rsidR="008C6706" w:rsidRDefault="00000000">
            <w:pPr>
              <w:spacing w:after="40" w:line="264" w:lineRule="auto"/>
            </w:pPr>
            <w:r>
              <w:rPr>
                <w:color w:val="000000"/>
                <w:sz w:val="19"/>
                <w:szCs w:val="19"/>
              </w:rPr>
              <w:t>（大学病院）</w:t>
            </w:r>
          </w:p>
        </w:tc>
        <w:tc>
          <w:tcPr>
            <w:tcW w:w="3630" w:type="dxa"/>
            <w:shd w:val="clear" w:color="auto" w:fill="EAF0F7"/>
            <w:tcMar>
              <w:top w:w="70" w:type="dxa"/>
              <w:left w:w="110" w:type="dxa"/>
              <w:bottom w:w="70" w:type="dxa"/>
              <w:right w:w="110" w:type="dxa"/>
            </w:tcMar>
            <w:vAlign w:val="center"/>
          </w:tcPr>
          <w:p w14:paraId="4253749C" w14:textId="77777777" w:rsidR="008C6706" w:rsidRDefault="00000000">
            <w:pPr>
              <w:spacing w:after="40" w:line="264" w:lineRule="auto"/>
              <w:rPr>
                <w:lang w:eastAsia="ja-JP"/>
              </w:rPr>
            </w:pPr>
            <w:r>
              <w:rPr>
                <w:color w:val="000000"/>
                <w:sz w:val="19"/>
                <w:szCs w:val="19"/>
                <w:lang w:eastAsia="ja-JP"/>
              </w:rPr>
              <w:t>感謝患者寄付の倫理指針／診療への非影響の担保／患者情報保護法令の遵守／臨床家関与のルールと研修</w:t>
            </w:r>
          </w:p>
        </w:tc>
        <w:tc>
          <w:tcPr>
            <w:tcW w:w="3630" w:type="dxa"/>
            <w:shd w:val="clear" w:color="auto" w:fill="EAF0F7"/>
            <w:tcMar>
              <w:top w:w="70" w:type="dxa"/>
              <w:left w:w="110" w:type="dxa"/>
              <w:bottom w:w="70" w:type="dxa"/>
              <w:right w:w="110" w:type="dxa"/>
            </w:tcMar>
            <w:vAlign w:val="center"/>
          </w:tcPr>
          <w:p w14:paraId="16AD5838" w14:textId="77777777" w:rsidR="008C6706" w:rsidRDefault="00000000">
            <w:pPr>
              <w:spacing w:after="40" w:line="264" w:lineRule="auto"/>
            </w:pPr>
            <w:r>
              <w:rPr>
                <w:color w:val="000000"/>
                <w:sz w:val="19"/>
                <w:szCs w:val="19"/>
              </w:rPr>
              <w:t>Johns Hopkins, AHP/CASE</w:t>
            </w:r>
          </w:p>
        </w:tc>
      </w:tr>
    </w:tbl>
    <w:p w14:paraId="065CB9EB" w14:textId="77777777" w:rsidR="008C6706" w:rsidRDefault="00000000">
      <w:pPr>
        <w:pStyle w:val="Heading2"/>
      </w:pPr>
      <w:r>
        <w:t>7.2 設計上の要点</w:t>
      </w:r>
    </w:p>
    <w:p w14:paraId="2E551B21" w14:textId="77777777" w:rsidR="008C6706" w:rsidRDefault="00000000">
      <w:pPr>
        <w:pStyle w:val="ListParagraph"/>
        <w:numPr>
          <w:ilvl w:val="0"/>
          <w:numId w:val="3"/>
        </w:numPr>
        <w:spacing w:after="80" w:line="288" w:lineRule="auto"/>
        <w:rPr>
          <w:lang w:eastAsia="ja-JP"/>
        </w:rPr>
      </w:pPr>
      <w:r>
        <w:rPr>
          <w:b/>
          <w:bCs/>
          <w:lang w:eastAsia="ja-JP"/>
        </w:rPr>
        <w:t>「拒否できる」ことを原則として明記する。</w:t>
      </w:r>
      <w:r>
        <w:rPr>
          <w:lang w:eastAsia="ja-JP"/>
        </w:rPr>
        <w:t xml:space="preserve"> 受入れ義務を負わないことと、拒否事由の列挙が全ての基礎となる。</w:t>
      </w:r>
    </w:p>
    <w:p w14:paraId="11FE81A8" w14:textId="77777777" w:rsidR="008C6706" w:rsidRDefault="00000000">
      <w:pPr>
        <w:pStyle w:val="ListParagraph"/>
        <w:numPr>
          <w:ilvl w:val="0"/>
          <w:numId w:val="3"/>
        </w:numPr>
        <w:spacing w:after="80" w:line="288" w:lineRule="auto"/>
        <w:rPr>
          <w:lang w:eastAsia="ja-JP"/>
        </w:rPr>
      </w:pPr>
      <w:r>
        <w:rPr>
          <w:b/>
          <w:bCs/>
          <w:lang w:eastAsia="ja-JP"/>
        </w:rPr>
        <w:t>金額と定性リスクの二軸で審査の深さを決める。</w:t>
      </w:r>
      <w:r>
        <w:rPr>
          <w:lang w:eastAsia="ja-JP"/>
        </w:rPr>
        <w:t xml:space="preserve"> 単純な金額閾値だけでなく、寄付者と大学の関係性・既知の懸念等のトリガーを併用する（Harvard型）。</w:t>
      </w:r>
    </w:p>
    <w:p w14:paraId="6BC0B423" w14:textId="77777777" w:rsidR="008C6706" w:rsidRDefault="00000000">
      <w:pPr>
        <w:pStyle w:val="ListParagraph"/>
        <w:numPr>
          <w:ilvl w:val="0"/>
          <w:numId w:val="3"/>
        </w:numPr>
        <w:spacing w:after="80" w:line="288" w:lineRule="auto"/>
        <w:rPr>
          <w:lang w:eastAsia="ja-JP"/>
        </w:rPr>
      </w:pPr>
      <w:r>
        <w:rPr>
          <w:b/>
          <w:bCs/>
          <w:lang w:eastAsia="ja-JP"/>
        </w:rPr>
        <w:t>独立した委員会を置き、権限を委任で明確化する。</w:t>
      </w:r>
      <w:r>
        <w:rPr>
          <w:lang w:eastAsia="ja-JP"/>
        </w:rPr>
        <w:t xml:space="preserve"> 開発部門から独立した審議機能（倫理・評判・法務）と、金額別の最終承認権限を分ける。</w:t>
      </w:r>
    </w:p>
    <w:p w14:paraId="5ACBA610" w14:textId="77777777" w:rsidR="008C6706" w:rsidRDefault="00000000">
      <w:pPr>
        <w:pStyle w:val="ListParagraph"/>
        <w:numPr>
          <w:ilvl w:val="0"/>
          <w:numId w:val="3"/>
        </w:numPr>
        <w:spacing w:after="80" w:line="288" w:lineRule="auto"/>
        <w:rPr>
          <w:lang w:eastAsia="ja-JP"/>
        </w:rPr>
      </w:pPr>
      <w:r>
        <w:rPr>
          <w:b/>
          <w:bCs/>
          <w:lang w:eastAsia="ja-JP"/>
        </w:rPr>
        <w:t>受入れ後の是正手段を契約に組み込む。</w:t>
      </w:r>
      <w:r>
        <w:rPr>
          <w:lang w:eastAsia="ja-JP"/>
        </w:rPr>
        <w:t xml:space="preserve"> 返還・使途変更・命名撤回の条項と権限を、寄付契約とポリシーの双方に規定する。</w:t>
      </w:r>
    </w:p>
    <w:p w14:paraId="51AE9DAF" w14:textId="77777777" w:rsidR="008C6706" w:rsidRDefault="00000000">
      <w:pPr>
        <w:pStyle w:val="ListParagraph"/>
        <w:numPr>
          <w:ilvl w:val="0"/>
          <w:numId w:val="3"/>
        </w:numPr>
        <w:spacing w:after="80" w:line="288" w:lineRule="auto"/>
        <w:rPr>
          <w:lang w:eastAsia="ja-JP"/>
        </w:rPr>
      </w:pPr>
      <w:r>
        <w:rPr>
          <w:b/>
          <w:bCs/>
          <w:lang w:eastAsia="ja-JP"/>
        </w:rPr>
        <w:t>学問の自由・自律性を条文で守る。</w:t>
      </w:r>
      <w:r>
        <w:rPr>
          <w:lang w:eastAsia="ja-JP"/>
        </w:rPr>
        <w:t xml:space="preserve"> 入試・人事・研究・カリキュラム・奨学金への寄付者影響を明示的に排除する（Yale型条文が参考になる）。</w:t>
      </w:r>
    </w:p>
    <w:p w14:paraId="32E435AA" w14:textId="77777777" w:rsidR="008C6706" w:rsidRDefault="00000000">
      <w:pPr>
        <w:pStyle w:val="ListParagraph"/>
        <w:numPr>
          <w:ilvl w:val="0"/>
          <w:numId w:val="3"/>
        </w:numPr>
        <w:spacing w:after="80" w:line="288" w:lineRule="auto"/>
        <w:rPr>
          <w:lang w:eastAsia="ja-JP"/>
        </w:rPr>
      </w:pPr>
      <w:r>
        <w:rPr>
          <w:b/>
          <w:bCs/>
          <w:lang w:eastAsia="ja-JP"/>
        </w:rPr>
        <w:lastRenderedPageBreak/>
        <w:t>大学病院は別立ての倫理指針を用意する。</w:t>
      </w:r>
      <w:r>
        <w:rPr>
          <w:lang w:eastAsia="ja-JP"/>
        </w:rPr>
        <w:t xml:space="preserve"> 感謝患者寄付・患者情報保護・臨床家関与について、通常のギフトポリシーに上乗せする形で整備する。</w:t>
      </w:r>
    </w:p>
    <w:p w14:paraId="77EB9498" w14:textId="77777777" w:rsidR="008C6706" w:rsidRDefault="00000000">
      <w:pPr>
        <w:spacing w:after="140" w:line="300" w:lineRule="auto"/>
        <w:jc w:val="both"/>
        <w:rPr>
          <w:lang w:eastAsia="ja-JP"/>
        </w:rPr>
      </w:pPr>
      <w:r>
        <w:rPr>
          <w:b/>
          <w:bCs/>
          <w:lang w:eastAsia="ja-JP"/>
        </w:rPr>
        <w:t>免責：</w:t>
      </w:r>
      <w:r>
        <w:rPr>
          <w:lang w:eastAsia="ja-JP"/>
        </w:rPr>
        <w:t xml:space="preserve"> 本報告書は海外事例の整理であり、法的助言ではない。国内での規定化にあたっては、個人情報保護法・公益法人/学校法人関連法令・税務上の取扱い等について、必要に応じて弁護士・専門家の確認を得られたい。</w:t>
      </w:r>
    </w:p>
    <w:p w14:paraId="23B08342" w14:textId="77777777" w:rsidR="008C6706" w:rsidRDefault="00000000">
      <w:pPr>
        <w:rPr>
          <w:lang w:eastAsia="ja-JP"/>
        </w:rPr>
      </w:pPr>
      <w:r>
        <w:rPr>
          <w:lang w:eastAsia="ja-JP"/>
        </w:rPr>
        <w:br w:type="page"/>
      </w:r>
    </w:p>
    <w:p w14:paraId="45A82E01" w14:textId="77777777" w:rsidR="008C6706" w:rsidRDefault="00000000">
      <w:pPr>
        <w:pStyle w:val="Heading1"/>
      </w:pPr>
      <w:r>
        <w:lastRenderedPageBreak/>
        <w:t>8. 主要大学 比較一覧</w:t>
      </w:r>
    </w:p>
    <w:tbl>
      <w:tblPr>
        <w:tblW w:w="9360" w:type="dxa"/>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CellMar>
          <w:left w:w="10" w:type="dxa"/>
          <w:right w:w="10" w:type="dxa"/>
        </w:tblCellMar>
        <w:tblLook w:val="04A0" w:firstRow="1" w:lastRow="0" w:firstColumn="1" w:lastColumn="0" w:noHBand="0" w:noVBand="1"/>
      </w:tblPr>
      <w:tblGrid>
        <w:gridCol w:w="1500"/>
        <w:gridCol w:w="1000"/>
        <w:gridCol w:w="2200"/>
        <w:gridCol w:w="2400"/>
        <w:gridCol w:w="2260"/>
      </w:tblGrid>
      <w:tr w:rsidR="008C6706" w14:paraId="4EC550A5" w14:textId="77777777">
        <w:tblPrEx>
          <w:tblCellMar>
            <w:top w:w="0" w:type="dxa"/>
            <w:bottom w:w="0" w:type="dxa"/>
          </w:tblCellMar>
        </w:tblPrEx>
        <w:trPr>
          <w:tblHeader/>
        </w:trPr>
        <w:tc>
          <w:tcPr>
            <w:tcW w:w="1500" w:type="dxa"/>
            <w:shd w:val="clear" w:color="auto" w:fill="1F3864"/>
            <w:tcMar>
              <w:top w:w="70" w:type="dxa"/>
              <w:left w:w="110" w:type="dxa"/>
              <w:bottom w:w="70" w:type="dxa"/>
              <w:right w:w="110" w:type="dxa"/>
            </w:tcMar>
            <w:vAlign w:val="center"/>
          </w:tcPr>
          <w:p w14:paraId="5FF9AA96" w14:textId="77777777" w:rsidR="008C6706" w:rsidRDefault="00000000">
            <w:pPr>
              <w:spacing w:after="40" w:line="264" w:lineRule="auto"/>
            </w:pPr>
            <w:r>
              <w:rPr>
                <w:b/>
                <w:bCs/>
                <w:color w:val="FFFFFF"/>
                <w:sz w:val="19"/>
                <w:szCs w:val="19"/>
              </w:rPr>
              <w:t>大学</w:t>
            </w:r>
          </w:p>
        </w:tc>
        <w:tc>
          <w:tcPr>
            <w:tcW w:w="1000" w:type="dxa"/>
            <w:shd w:val="clear" w:color="auto" w:fill="1F3864"/>
            <w:tcMar>
              <w:top w:w="70" w:type="dxa"/>
              <w:left w:w="110" w:type="dxa"/>
              <w:bottom w:w="70" w:type="dxa"/>
              <w:right w:w="110" w:type="dxa"/>
            </w:tcMar>
            <w:vAlign w:val="center"/>
          </w:tcPr>
          <w:p w14:paraId="08122E9D" w14:textId="77777777" w:rsidR="008C6706" w:rsidRDefault="00000000">
            <w:pPr>
              <w:spacing w:after="40" w:line="264" w:lineRule="auto"/>
            </w:pPr>
            <w:r>
              <w:rPr>
                <w:b/>
                <w:bCs/>
                <w:color w:val="FFFFFF"/>
                <w:sz w:val="19"/>
                <w:szCs w:val="19"/>
              </w:rPr>
              <w:t>国</w:t>
            </w:r>
          </w:p>
        </w:tc>
        <w:tc>
          <w:tcPr>
            <w:tcW w:w="2200" w:type="dxa"/>
            <w:shd w:val="clear" w:color="auto" w:fill="1F3864"/>
            <w:tcMar>
              <w:top w:w="70" w:type="dxa"/>
              <w:left w:w="110" w:type="dxa"/>
              <w:bottom w:w="70" w:type="dxa"/>
              <w:right w:w="110" w:type="dxa"/>
            </w:tcMar>
            <w:vAlign w:val="center"/>
          </w:tcPr>
          <w:p w14:paraId="3C92E2A6" w14:textId="77777777" w:rsidR="008C6706" w:rsidRDefault="00000000">
            <w:pPr>
              <w:spacing w:after="40" w:line="264" w:lineRule="auto"/>
            </w:pPr>
            <w:r>
              <w:rPr>
                <w:b/>
                <w:bCs/>
                <w:color w:val="FFFFFF"/>
                <w:sz w:val="19"/>
                <w:szCs w:val="19"/>
              </w:rPr>
              <w:t>審査主体</w:t>
            </w:r>
          </w:p>
        </w:tc>
        <w:tc>
          <w:tcPr>
            <w:tcW w:w="2400" w:type="dxa"/>
            <w:shd w:val="clear" w:color="auto" w:fill="1F3864"/>
            <w:tcMar>
              <w:top w:w="70" w:type="dxa"/>
              <w:left w:w="110" w:type="dxa"/>
              <w:bottom w:w="70" w:type="dxa"/>
              <w:right w:w="110" w:type="dxa"/>
            </w:tcMar>
            <w:vAlign w:val="center"/>
          </w:tcPr>
          <w:p w14:paraId="6A0DDB2F" w14:textId="77777777" w:rsidR="008C6706" w:rsidRDefault="00000000">
            <w:pPr>
              <w:spacing w:after="40" w:line="264" w:lineRule="auto"/>
            </w:pPr>
            <w:r>
              <w:rPr>
                <w:b/>
                <w:bCs/>
                <w:color w:val="FFFFFF"/>
                <w:sz w:val="19"/>
                <w:szCs w:val="19"/>
              </w:rPr>
              <w:t>閾値の例</w:t>
            </w:r>
          </w:p>
        </w:tc>
        <w:tc>
          <w:tcPr>
            <w:tcW w:w="2260" w:type="dxa"/>
            <w:shd w:val="clear" w:color="auto" w:fill="1F3864"/>
            <w:tcMar>
              <w:top w:w="70" w:type="dxa"/>
              <w:left w:w="110" w:type="dxa"/>
              <w:bottom w:w="70" w:type="dxa"/>
              <w:right w:w="110" w:type="dxa"/>
            </w:tcMar>
            <w:vAlign w:val="center"/>
          </w:tcPr>
          <w:p w14:paraId="309E94F5" w14:textId="77777777" w:rsidR="008C6706" w:rsidRDefault="00000000">
            <w:pPr>
              <w:spacing w:after="40" w:line="264" w:lineRule="auto"/>
            </w:pPr>
            <w:r>
              <w:rPr>
                <w:b/>
                <w:bCs/>
                <w:color w:val="FFFFFF"/>
                <w:sz w:val="19"/>
                <w:szCs w:val="19"/>
              </w:rPr>
              <w:t>特徴的な要素</w:t>
            </w:r>
          </w:p>
        </w:tc>
      </w:tr>
      <w:tr w:rsidR="008C6706" w14:paraId="3826C520" w14:textId="77777777">
        <w:tblPrEx>
          <w:tblCellMar>
            <w:top w:w="0" w:type="dxa"/>
            <w:bottom w:w="0" w:type="dxa"/>
          </w:tblCellMar>
        </w:tblPrEx>
        <w:tc>
          <w:tcPr>
            <w:tcW w:w="1500" w:type="dxa"/>
            <w:tcMar>
              <w:top w:w="70" w:type="dxa"/>
              <w:left w:w="110" w:type="dxa"/>
              <w:bottom w:w="70" w:type="dxa"/>
              <w:right w:w="110" w:type="dxa"/>
            </w:tcMar>
            <w:vAlign w:val="center"/>
          </w:tcPr>
          <w:p w14:paraId="02B3BB63" w14:textId="77777777" w:rsidR="008C6706" w:rsidRDefault="00000000">
            <w:pPr>
              <w:spacing w:after="40" w:line="264" w:lineRule="auto"/>
            </w:pPr>
            <w:r>
              <w:rPr>
                <w:color w:val="000000"/>
                <w:sz w:val="19"/>
                <w:szCs w:val="19"/>
              </w:rPr>
              <w:t>Harvard</w:t>
            </w:r>
          </w:p>
        </w:tc>
        <w:tc>
          <w:tcPr>
            <w:tcW w:w="1000" w:type="dxa"/>
            <w:tcMar>
              <w:top w:w="70" w:type="dxa"/>
              <w:left w:w="110" w:type="dxa"/>
              <w:bottom w:w="70" w:type="dxa"/>
              <w:right w:w="110" w:type="dxa"/>
            </w:tcMar>
            <w:vAlign w:val="center"/>
          </w:tcPr>
          <w:p w14:paraId="44287897" w14:textId="77777777" w:rsidR="008C6706" w:rsidRDefault="00000000">
            <w:pPr>
              <w:spacing w:after="40" w:line="264" w:lineRule="auto"/>
            </w:pPr>
            <w:r>
              <w:rPr>
                <w:color w:val="000000"/>
                <w:sz w:val="19"/>
                <w:szCs w:val="19"/>
              </w:rPr>
              <w:t>米</w:t>
            </w:r>
          </w:p>
        </w:tc>
        <w:tc>
          <w:tcPr>
            <w:tcW w:w="2200" w:type="dxa"/>
            <w:tcMar>
              <w:top w:w="70" w:type="dxa"/>
              <w:left w:w="110" w:type="dxa"/>
              <w:bottom w:w="70" w:type="dxa"/>
              <w:right w:w="110" w:type="dxa"/>
            </w:tcMar>
            <w:vAlign w:val="center"/>
          </w:tcPr>
          <w:p w14:paraId="5FA71877" w14:textId="77777777" w:rsidR="008C6706" w:rsidRDefault="00000000">
            <w:pPr>
              <w:spacing w:after="40" w:line="264" w:lineRule="auto"/>
            </w:pPr>
            <w:r>
              <w:rPr>
                <w:color w:val="000000"/>
                <w:sz w:val="19"/>
                <w:szCs w:val="19"/>
              </w:rPr>
              <w:t>Gift Policy Committee</w:t>
            </w:r>
          </w:p>
        </w:tc>
        <w:tc>
          <w:tcPr>
            <w:tcW w:w="2400" w:type="dxa"/>
            <w:tcMar>
              <w:top w:w="70" w:type="dxa"/>
              <w:left w:w="110" w:type="dxa"/>
              <w:bottom w:w="70" w:type="dxa"/>
              <w:right w:w="110" w:type="dxa"/>
            </w:tcMar>
            <w:vAlign w:val="center"/>
          </w:tcPr>
          <w:p w14:paraId="28627562" w14:textId="77777777" w:rsidR="008C6706" w:rsidRDefault="00000000">
            <w:pPr>
              <w:spacing w:after="40" w:line="264" w:lineRule="auto"/>
              <w:rPr>
                <w:lang w:eastAsia="ja-JP"/>
              </w:rPr>
            </w:pPr>
            <w:r>
              <w:rPr>
                <w:color w:val="000000"/>
                <w:sz w:val="19"/>
                <w:szCs w:val="19"/>
                <w:lang w:eastAsia="ja-JP"/>
              </w:rPr>
              <w:t>金額・関係性・既知の懸念によるトリガー</w:t>
            </w:r>
          </w:p>
        </w:tc>
        <w:tc>
          <w:tcPr>
            <w:tcW w:w="2260" w:type="dxa"/>
            <w:tcMar>
              <w:top w:w="70" w:type="dxa"/>
              <w:left w:w="110" w:type="dxa"/>
              <w:bottom w:w="70" w:type="dxa"/>
              <w:right w:w="110" w:type="dxa"/>
            </w:tcMar>
            <w:vAlign w:val="center"/>
          </w:tcPr>
          <w:p w14:paraId="643DF682" w14:textId="77777777" w:rsidR="008C6706" w:rsidRDefault="00000000">
            <w:pPr>
              <w:spacing w:after="40" w:line="264" w:lineRule="auto"/>
              <w:rPr>
                <w:lang w:eastAsia="ja-JP"/>
              </w:rPr>
            </w:pPr>
            <w:r>
              <w:rPr>
                <w:color w:val="000000"/>
                <w:sz w:val="19"/>
                <w:szCs w:val="19"/>
                <w:lang w:eastAsia="ja-JP"/>
              </w:rPr>
              <w:t>Epstein問題後に整備。志願者家族からの勧誘抑制、匿名の一貫性</w:t>
            </w:r>
          </w:p>
        </w:tc>
      </w:tr>
      <w:tr w:rsidR="008C6706" w14:paraId="0B763A22" w14:textId="77777777">
        <w:tblPrEx>
          <w:tblCellMar>
            <w:top w:w="0" w:type="dxa"/>
            <w:bottom w:w="0" w:type="dxa"/>
          </w:tblCellMar>
        </w:tblPrEx>
        <w:tc>
          <w:tcPr>
            <w:tcW w:w="1500" w:type="dxa"/>
            <w:shd w:val="clear" w:color="auto" w:fill="EAF0F7"/>
            <w:tcMar>
              <w:top w:w="70" w:type="dxa"/>
              <w:left w:w="110" w:type="dxa"/>
              <w:bottom w:w="70" w:type="dxa"/>
              <w:right w:w="110" w:type="dxa"/>
            </w:tcMar>
            <w:vAlign w:val="center"/>
          </w:tcPr>
          <w:p w14:paraId="426525AE" w14:textId="77777777" w:rsidR="008C6706" w:rsidRDefault="00000000">
            <w:pPr>
              <w:spacing w:after="40" w:line="264" w:lineRule="auto"/>
            </w:pPr>
            <w:r>
              <w:rPr>
                <w:color w:val="000000"/>
                <w:sz w:val="19"/>
                <w:szCs w:val="19"/>
              </w:rPr>
              <w:t>Yale</w:t>
            </w:r>
          </w:p>
        </w:tc>
        <w:tc>
          <w:tcPr>
            <w:tcW w:w="1000" w:type="dxa"/>
            <w:shd w:val="clear" w:color="auto" w:fill="EAF0F7"/>
            <w:tcMar>
              <w:top w:w="70" w:type="dxa"/>
              <w:left w:w="110" w:type="dxa"/>
              <w:bottom w:w="70" w:type="dxa"/>
              <w:right w:w="110" w:type="dxa"/>
            </w:tcMar>
            <w:vAlign w:val="center"/>
          </w:tcPr>
          <w:p w14:paraId="3D6361DF" w14:textId="77777777" w:rsidR="008C6706" w:rsidRDefault="00000000">
            <w:pPr>
              <w:spacing w:after="40" w:line="264" w:lineRule="auto"/>
            </w:pPr>
            <w:r>
              <w:rPr>
                <w:color w:val="000000"/>
                <w:sz w:val="19"/>
                <w:szCs w:val="19"/>
              </w:rPr>
              <w:t>米</w:t>
            </w:r>
          </w:p>
        </w:tc>
        <w:tc>
          <w:tcPr>
            <w:tcW w:w="2200" w:type="dxa"/>
            <w:shd w:val="clear" w:color="auto" w:fill="EAF0F7"/>
            <w:tcMar>
              <w:top w:w="70" w:type="dxa"/>
              <w:left w:w="110" w:type="dxa"/>
              <w:bottom w:w="70" w:type="dxa"/>
              <w:right w:w="110" w:type="dxa"/>
            </w:tcMar>
            <w:vAlign w:val="center"/>
          </w:tcPr>
          <w:p w14:paraId="28AE83CD" w14:textId="77777777" w:rsidR="008C6706" w:rsidRDefault="00000000">
            <w:pPr>
              <w:spacing w:after="40" w:line="264" w:lineRule="auto"/>
            </w:pPr>
            <w:r>
              <w:rPr>
                <w:color w:val="000000"/>
                <w:sz w:val="19"/>
                <w:szCs w:val="19"/>
              </w:rPr>
              <w:t>Provost中心の段階承認</w:t>
            </w:r>
          </w:p>
        </w:tc>
        <w:tc>
          <w:tcPr>
            <w:tcW w:w="2400" w:type="dxa"/>
            <w:shd w:val="clear" w:color="auto" w:fill="EAF0F7"/>
            <w:tcMar>
              <w:top w:w="70" w:type="dxa"/>
              <w:left w:w="110" w:type="dxa"/>
              <w:bottom w:w="70" w:type="dxa"/>
              <w:right w:w="110" w:type="dxa"/>
            </w:tcMar>
            <w:vAlign w:val="center"/>
          </w:tcPr>
          <w:p w14:paraId="4A031681" w14:textId="77777777" w:rsidR="008C6706" w:rsidRDefault="00000000">
            <w:pPr>
              <w:spacing w:after="40" w:line="264" w:lineRule="auto"/>
              <w:rPr>
                <w:lang w:eastAsia="ja-JP"/>
              </w:rPr>
            </w:pPr>
            <w:r>
              <w:rPr>
                <w:color w:val="000000"/>
                <w:sz w:val="19"/>
                <w:szCs w:val="19"/>
                <w:lang w:eastAsia="ja-JP"/>
              </w:rPr>
              <w:t>使途指定/基金 10万ドル超</w:t>
            </w:r>
          </w:p>
        </w:tc>
        <w:tc>
          <w:tcPr>
            <w:tcW w:w="2260" w:type="dxa"/>
            <w:shd w:val="clear" w:color="auto" w:fill="EAF0F7"/>
            <w:tcMar>
              <w:top w:w="70" w:type="dxa"/>
              <w:left w:w="110" w:type="dxa"/>
              <w:bottom w:w="70" w:type="dxa"/>
              <w:right w:w="110" w:type="dxa"/>
            </w:tcMar>
            <w:vAlign w:val="center"/>
          </w:tcPr>
          <w:p w14:paraId="73833431" w14:textId="77777777" w:rsidR="008C6706" w:rsidRDefault="00000000">
            <w:pPr>
              <w:spacing w:after="40" w:line="264" w:lineRule="auto"/>
              <w:rPr>
                <w:lang w:eastAsia="ja-JP"/>
              </w:rPr>
            </w:pPr>
            <w:r>
              <w:rPr>
                <w:color w:val="000000"/>
                <w:sz w:val="19"/>
                <w:szCs w:val="19"/>
                <w:lang w:eastAsia="ja-JP"/>
              </w:rPr>
              <w:t>学問の自由・自律性を明快に条文化。返還は強い不返還推定＋例外</w:t>
            </w:r>
          </w:p>
        </w:tc>
      </w:tr>
      <w:tr w:rsidR="008C6706" w14:paraId="4E9DF07B" w14:textId="77777777">
        <w:tblPrEx>
          <w:tblCellMar>
            <w:top w:w="0" w:type="dxa"/>
            <w:bottom w:w="0" w:type="dxa"/>
          </w:tblCellMar>
        </w:tblPrEx>
        <w:tc>
          <w:tcPr>
            <w:tcW w:w="1500" w:type="dxa"/>
            <w:tcMar>
              <w:top w:w="70" w:type="dxa"/>
              <w:left w:w="110" w:type="dxa"/>
              <w:bottom w:w="70" w:type="dxa"/>
              <w:right w:w="110" w:type="dxa"/>
            </w:tcMar>
            <w:vAlign w:val="center"/>
          </w:tcPr>
          <w:p w14:paraId="51A0E744" w14:textId="77777777" w:rsidR="008C6706" w:rsidRDefault="00000000">
            <w:pPr>
              <w:spacing w:after="40" w:line="264" w:lineRule="auto"/>
            </w:pPr>
            <w:r>
              <w:rPr>
                <w:color w:val="000000"/>
                <w:sz w:val="19"/>
                <w:szCs w:val="19"/>
              </w:rPr>
              <w:t>Stanford</w:t>
            </w:r>
          </w:p>
        </w:tc>
        <w:tc>
          <w:tcPr>
            <w:tcW w:w="1000" w:type="dxa"/>
            <w:tcMar>
              <w:top w:w="70" w:type="dxa"/>
              <w:left w:w="110" w:type="dxa"/>
              <w:bottom w:w="70" w:type="dxa"/>
              <w:right w:w="110" w:type="dxa"/>
            </w:tcMar>
            <w:vAlign w:val="center"/>
          </w:tcPr>
          <w:p w14:paraId="24D50F65" w14:textId="77777777" w:rsidR="008C6706" w:rsidRDefault="00000000">
            <w:pPr>
              <w:spacing w:after="40" w:line="264" w:lineRule="auto"/>
            </w:pPr>
            <w:r>
              <w:rPr>
                <w:color w:val="000000"/>
                <w:sz w:val="19"/>
                <w:szCs w:val="19"/>
              </w:rPr>
              <w:t>米</w:t>
            </w:r>
          </w:p>
        </w:tc>
        <w:tc>
          <w:tcPr>
            <w:tcW w:w="2200" w:type="dxa"/>
            <w:tcMar>
              <w:top w:w="70" w:type="dxa"/>
              <w:left w:w="110" w:type="dxa"/>
              <w:bottom w:w="70" w:type="dxa"/>
              <w:right w:w="110" w:type="dxa"/>
            </w:tcMar>
            <w:vAlign w:val="center"/>
          </w:tcPr>
          <w:p w14:paraId="1CBC5A8E" w14:textId="77777777" w:rsidR="008C6706" w:rsidRDefault="00000000">
            <w:pPr>
              <w:spacing w:after="40" w:line="264" w:lineRule="auto"/>
            </w:pPr>
            <w:r>
              <w:rPr>
                <w:color w:val="000000"/>
                <w:sz w:val="19"/>
                <w:szCs w:val="19"/>
              </w:rPr>
              <w:t>大学（開発・法務）</w:t>
            </w:r>
          </w:p>
        </w:tc>
        <w:tc>
          <w:tcPr>
            <w:tcW w:w="2400" w:type="dxa"/>
            <w:tcMar>
              <w:top w:w="70" w:type="dxa"/>
              <w:left w:w="110" w:type="dxa"/>
              <w:bottom w:w="70" w:type="dxa"/>
              <w:right w:w="110" w:type="dxa"/>
            </w:tcMar>
            <w:vAlign w:val="center"/>
          </w:tcPr>
          <w:p w14:paraId="00EAAA4B" w14:textId="77777777" w:rsidR="008C6706" w:rsidRDefault="00000000">
            <w:pPr>
              <w:spacing w:after="40" w:line="264" w:lineRule="auto"/>
            </w:pPr>
            <w:r>
              <w:rPr>
                <w:color w:val="000000"/>
                <w:sz w:val="19"/>
                <w:szCs w:val="19"/>
              </w:rPr>
              <w:t>個別審査</w:t>
            </w:r>
          </w:p>
        </w:tc>
        <w:tc>
          <w:tcPr>
            <w:tcW w:w="2260" w:type="dxa"/>
            <w:tcMar>
              <w:top w:w="70" w:type="dxa"/>
              <w:left w:w="110" w:type="dxa"/>
              <w:bottom w:w="70" w:type="dxa"/>
              <w:right w:w="110" w:type="dxa"/>
            </w:tcMar>
            <w:vAlign w:val="center"/>
          </w:tcPr>
          <w:p w14:paraId="4593B545" w14:textId="77777777" w:rsidR="008C6706" w:rsidRDefault="00000000">
            <w:pPr>
              <w:spacing w:after="40" w:line="264" w:lineRule="auto"/>
              <w:rPr>
                <w:lang w:eastAsia="ja-JP"/>
              </w:rPr>
            </w:pPr>
            <w:r>
              <w:rPr>
                <w:color w:val="000000"/>
                <w:sz w:val="19"/>
                <w:szCs w:val="19"/>
                <w:lang w:eastAsia="ja-JP"/>
              </w:rPr>
              <w:t>研究の独立性・完全性の保護、評判リスクによる辞退権</w:t>
            </w:r>
          </w:p>
        </w:tc>
      </w:tr>
      <w:tr w:rsidR="008C6706" w14:paraId="615A59F3" w14:textId="77777777">
        <w:tblPrEx>
          <w:tblCellMar>
            <w:top w:w="0" w:type="dxa"/>
            <w:bottom w:w="0" w:type="dxa"/>
          </w:tblCellMar>
        </w:tblPrEx>
        <w:tc>
          <w:tcPr>
            <w:tcW w:w="1500" w:type="dxa"/>
            <w:shd w:val="clear" w:color="auto" w:fill="EAF0F7"/>
            <w:tcMar>
              <w:top w:w="70" w:type="dxa"/>
              <w:left w:w="110" w:type="dxa"/>
              <w:bottom w:w="70" w:type="dxa"/>
              <w:right w:w="110" w:type="dxa"/>
            </w:tcMar>
            <w:vAlign w:val="center"/>
          </w:tcPr>
          <w:p w14:paraId="1C1F90E0" w14:textId="77777777" w:rsidR="008C6706" w:rsidRDefault="00000000">
            <w:pPr>
              <w:spacing w:after="40" w:line="264" w:lineRule="auto"/>
            </w:pPr>
            <w:r>
              <w:rPr>
                <w:color w:val="000000"/>
                <w:sz w:val="19"/>
                <w:szCs w:val="19"/>
              </w:rPr>
              <w:t>UC Berkeley</w:t>
            </w:r>
          </w:p>
        </w:tc>
        <w:tc>
          <w:tcPr>
            <w:tcW w:w="1000" w:type="dxa"/>
            <w:shd w:val="clear" w:color="auto" w:fill="EAF0F7"/>
            <w:tcMar>
              <w:top w:w="70" w:type="dxa"/>
              <w:left w:w="110" w:type="dxa"/>
              <w:bottom w:w="70" w:type="dxa"/>
              <w:right w:w="110" w:type="dxa"/>
            </w:tcMar>
            <w:vAlign w:val="center"/>
          </w:tcPr>
          <w:p w14:paraId="0205B453" w14:textId="77777777" w:rsidR="008C6706" w:rsidRDefault="00000000">
            <w:pPr>
              <w:spacing w:after="40" w:line="264" w:lineRule="auto"/>
            </w:pPr>
            <w:r>
              <w:rPr>
                <w:color w:val="000000"/>
                <w:sz w:val="19"/>
                <w:szCs w:val="19"/>
              </w:rPr>
              <w:t>米</w:t>
            </w:r>
          </w:p>
        </w:tc>
        <w:tc>
          <w:tcPr>
            <w:tcW w:w="2200" w:type="dxa"/>
            <w:shd w:val="clear" w:color="auto" w:fill="EAF0F7"/>
            <w:tcMar>
              <w:top w:w="70" w:type="dxa"/>
              <w:left w:w="110" w:type="dxa"/>
              <w:bottom w:w="70" w:type="dxa"/>
              <w:right w:w="110" w:type="dxa"/>
            </w:tcMar>
            <w:vAlign w:val="center"/>
          </w:tcPr>
          <w:p w14:paraId="2FE38A8D" w14:textId="77777777" w:rsidR="008C6706" w:rsidRDefault="00000000">
            <w:pPr>
              <w:spacing w:after="40" w:line="264" w:lineRule="auto"/>
            </w:pPr>
            <w:r>
              <w:rPr>
                <w:color w:val="000000"/>
                <w:sz w:val="19"/>
                <w:szCs w:val="19"/>
              </w:rPr>
              <w:t>UDAR＋権限委任</w:t>
            </w:r>
          </w:p>
        </w:tc>
        <w:tc>
          <w:tcPr>
            <w:tcW w:w="2400" w:type="dxa"/>
            <w:shd w:val="clear" w:color="auto" w:fill="EAF0F7"/>
            <w:tcMar>
              <w:top w:w="70" w:type="dxa"/>
              <w:left w:w="110" w:type="dxa"/>
              <w:bottom w:w="70" w:type="dxa"/>
              <w:right w:w="110" w:type="dxa"/>
            </w:tcMar>
            <w:vAlign w:val="center"/>
          </w:tcPr>
          <w:p w14:paraId="4747181E" w14:textId="77777777" w:rsidR="008C6706" w:rsidRDefault="00000000">
            <w:pPr>
              <w:spacing w:after="40" w:line="264" w:lineRule="auto"/>
            </w:pPr>
            <w:r>
              <w:rPr>
                <w:color w:val="000000"/>
                <w:sz w:val="19"/>
                <w:szCs w:val="19"/>
              </w:rPr>
              <w:t>Principal 500万ドルでDD／100万・1000万ドルで承認者変動</w:t>
            </w:r>
          </w:p>
        </w:tc>
        <w:tc>
          <w:tcPr>
            <w:tcW w:w="2260" w:type="dxa"/>
            <w:shd w:val="clear" w:color="auto" w:fill="EAF0F7"/>
            <w:tcMar>
              <w:top w:w="70" w:type="dxa"/>
              <w:left w:w="110" w:type="dxa"/>
              <w:bottom w:w="70" w:type="dxa"/>
              <w:right w:w="110" w:type="dxa"/>
            </w:tcMar>
            <w:vAlign w:val="center"/>
          </w:tcPr>
          <w:p w14:paraId="0D752007" w14:textId="77777777" w:rsidR="008C6706" w:rsidRDefault="00000000">
            <w:pPr>
              <w:spacing w:after="40" w:line="264" w:lineRule="auto"/>
              <w:rPr>
                <w:lang w:eastAsia="ja-JP"/>
              </w:rPr>
            </w:pPr>
            <w:r>
              <w:rPr>
                <w:color w:val="000000"/>
                <w:sz w:val="19"/>
                <w:szCs w:val="19"/>
                <w:lang w:eastAsia="ja-JP"/>
              </w:rPr>
              <w:t>制裁リスト照合、暗号資産KYC、返還・命名撤回の権限委任</w:t>
            </w:r>
          </w:p>
        </w:tc>
      </w:tr>
      <w:tr w:rsidR="008C6706" w14:paraId="08B2AC3A" w14:textId="77777777">
        <w:tblPrEx>
          <w:tblCellMar>
            <w:top w:w="0" w:type="dxa"/>
            <w:bottom w:w="0" w:type="dxa"/>
          </w:tblCellMar>
        </w:tblPrEx>
        <w:tc>
          <w:tcPr>
            <w:tcW w:w="1500" w:type="dxa"/>
            <w:tcMar>
              <w:top w:w="70" w:type="dxa"/>
              <w:left w:w="110" w:type="dxa"/>
              <w:bottom w:w="70" w:type="dxa"/>
              <w:right w:w="110" w:type="dxa"/>
            </w:tcMar>
            <w:vAlign w:val="center"/>
          </w:tcPr>
          <w:p w14:paraId="62399BF6" w14:textId="77777777" w:rsidR="008C6706" w:rsidRDefault="00000000">
            <w:pPr>
              <w:spacing w:after="40" w:line="264" w:lineRule="auto"/>
            </w:pPr>
            <w:r>
              <w:rPr>
                <w:color w:val="000000"/>
                <w:sz w:val="19"/>
                <w:szCs w:val="19"/>
              </w:rPr>
              <w:t>Oxford</w:t>
            </w:r>
          </w:p>
        </w:tc>
        <w:tc>
          <w:tcPr>
            <w:tcW w:w="1000" w:type="dxa"/>
            <w:tcMar>
              <w:top w:w="70" w:type="dxa"/>
              <w:left w:w="110" w:type="dxa"/>
              <w:bottom w:w="70" w:type="dxa"/>
              <w:right w:w="110" w:type="dxa"/>
            </w:tcMar>
            <w:vAlign w:val="center"/>
          </w:tcPr>
          <w:p w14:paraId="572120A8" w14:textId="77777777" w:rsidR="008C6706" w:rsidRDefault="00000000">
            <w:pPr>
              <w:spacing w:after="40" w:line="264" w:lineRule="auto"/>
            </w:pPr>
            <w:r>
              <w:rPr>
                <w:color w:val="000000"/>
                <w:sz w:val="19"/>
                <w:szCs w:val="19"/>
              </w:rPr>
              <w:t>英</w:t>
            </w:r>
          </w:p>
        </w:tc>
        <w:tc>
          <w:tcPr>
            <w:tcW w:w="2200" w:type="dxa"/>
            <w:tcMar>
              <w:top w:w="70" w:type="dxa"/>
              <w:left w:w="110" w:type="dxa"/>
              <w:bottom w:w="70" w:type="dxa"/>
              <w:right w:w="110" w:type="dxa"/>
            </w:tcMar>
            <w:vAlign w:val="center"/>
          </w:tcPr>
          <w:p w14:paraId="2CEEA346" w14:textId="77777777" w:rsidR="008C6706" w:rsidRDefault="00000000">
            <w:pPr>
              <w:spacing w:after="40" w:line="264" w:lineRule="auto"/>
            </w:pPr>
            <w:r>
              <w:rPr>
                <w:color w:val="000000"/>
                <w:sz w:val="19"/>
                <w:szCs w:val="19"/>
              </w:rPr>
              <w:t>CRDRF（10名）</w:t>
            </w:r>
          </w:p>
        </w:tc>
        <w:tc>
          <w:tcPr>
            <w:tcW w:w="2400" w:type="dxa"/>
            <w:tcMar>
              <w:top w:w="70" w:type="dxa"/>
              <w:left w:w="110" w:type="dxa"/>
              <w:bottom w:w="70" w:type="dxa"/>
              <w:right w:w="110" w:type="dxa"/>
            </w:tcMar>
            <w:vAlign w:val="center"/>
          </w:tcPr>
          <w:p w14:paraId="59FA90E4" w14:textId="77777777" w:rsidR="008C6706" w:rsidRDefault="00000000">
            <w:pPr>
              <w:spacing w:after="40" w:line="264" w:lineRule="auto"/>
              <w:rPr>
                <w:lang w:eastAsia="ja-JP"/>
              </w:rPr>
            </w:pPr>
            <w:r>
              <w:rPr>
                <w:color w:val="000000"/>
                <w:sz w:val="19"/>
                <w:szCs w:val="19"/>
                <w:lang w:eastAsia="ja-JP"/>
              </w:rPr>
              <w:t>100万ポンド超＋高リスク全額</w:t>
            </w:r>
          </w:p>
        </w:tc>
        <w:tc>
          <w:tcPr>
            <w:tcW w:w="2260" w:type="dxa"/>
            <w:tcMar>
              <w:top w:w="70" w:type="dxa"/>
              <w:left w:w="110" w:type="dxa"/>
              <w:bottom w:w="70" w:type="dxa"/>
              <w:right w:w="110" w:type="dxa"/>
            </w:tcMar>
            <w:vAlign w:val="center"/>
          </w:tcPr>
          <w:p w14:paraId="7C955A35" w14:textId="77777777" w:rsidR="008C6706" w:rsidRDefault="00000000">
            <w:pPr>
              <w:spacing w:after="40" w:line="264" w:lineRule="auto"/>
            </w:pPr>
            <w:r>
              <w:rPr>
                <w:color w:val="000000"/>
                <w:sz w:val="19"/>
                <w:szCs w:val="19"/>
                <w:lang w:eastAsia="ja-JP"/>
              </w:rPr>
              <w:t>独立審査。たばこ・化石燃料等を基準化。</w:t>
            </w:r>
            <w:r>
              <w:rPr>
                <w:color w:val="000000"/>
                <w:sz w:val="19"/>
                <w:szCs w:val="19"/>
              </w:rPr>
              <w:t>約12%を拒否(21/22)</w:t>
            </w:r>
          </w:p>
        </w:tc>
      </w:tr>
      <w:tr w:rsidR="008C6706" w14:paraId="1258E0BF" w14:textId="77777777">
        <w:tblPrEx>
          <w:tblCellMar>
            <w:top w:w="0" w:type="dxa"/>
            <w:bottom w:w="0" w:type="dxa"/>
          </w:tblCellMar>
        </w:tblPrEx>
        <w:tc>
          <w:tcPr>
            <w:tcW w:w="1500" w:type="dxa"/>
            <w:shd w:val="clear" w:color="auto" w:fill="EAF0F7"/>
            <w:tcMar>
              <w:top w:w="70" w:type="dxa"/>
              <w:left w:w="110" w:type="dxa"/>
              <w:bottom w:w="70" w:type="dxa"/>
              <w:right w:w="110" w:type="dxa"/>
            </w:tcMar>
            <w:vAlign w:val="center"/>
          </w:tcPr>
          <w:p w14:paraId="4985E20B" w14:textId="77777777" w:rsidR="008C6706" w:rsidRDefault="00000000">
            <w:pPr>
              <w:spacing w:after="40" w:line="264" w:lineRule="auto"/>
            </w:pPr>
            <w:r>
              <w:rPr>
                <w:color w:val="000000"/>
                <w:sz w:val="19"/>
                <w:szCs w:val="19"/>
              </w:rPr>
              <w:t>Cambridge</w:t>
            </w:r>
          </w:p>
        </w:tc>
        <w:tc>
          <w:tcPr>
            <w:tcW w:w="1000" w:type="dxa"/>
            <w:shd w:val="clear" w:color="auto" w:fill="EAF0F7"/>
            <w:tcMar>
              <w:top w:w="70" w:type="dxa"/>
              <w:left w:w="110" w:type="dxa"/>
              <w:bottom w:w="70" w:type="dxa"/>
              <w:right w:w="110" w:type="dxa"/>
            </w:tcMar>
            <w:vAlign w:val="center"/>
          </w:tcPr>
          <w:p w14:paraId="303DA9F2" w14:textId="77777777" w:rsidR="008C6706" w:rsidRDefault="00000000">
            <w:pPr>
              <w:spacing w:after="40" w:line="264" w:lineRule="auto"/>
            </w:pPr>
            <w:r>
              <w:rPr>
                <w:color w:val="000000"/>
                <w:sz w:val="19"/>
                <w:szCs w:val="19"/>
              </w:rPr>
              <w:t>英</w:t>
            </w:r>
          </w:p>
        </w:tc>
        <w:tc>
          <w:tcPr>
            <w:tcW w:w="2200" w:type="dxa"/>
            <w:shd w:val="clear" w:color="auto" w:fill="EAF0F7"/>
            <w:tcMar>
              <w:top w:w="70" w:type="dxa"/>
              <w:left w:w="110" w:type="dxa"/>
              <w:bottom w:w="70" w:type="dxa"/>
              <w:right w:w="110" w:type="dxa"/>
            </w:tcMar>
            <w:vAlign w:val="center"/>
          </w:tcPr>
          <w:p w14:paraId="48AD7C9C" w14:textId="77777777" w:rsidR="008C6706" w:rsidRDefault="00000000">
            <w:pPr>
              <w:spacing w:after="40" w:line="264" w:lineRule="auto"/>
              <w:rPr>
                <w:lang w:eastAsia="ja-JP"/>
              </w:rPr>
            </w:pPr>
            <w:r>
              <w:rPr>
                <w:color w:val="000000"/>
                <w:sz w:val="19"/>
                <w:szCs w:val="19"/>
                <w:lang w:eastAsia="ja-JP"/>
              </w:rPr>
              <w:t>DDチーム＋CBELA</w:t>
            </w:r>
          </w:p>
        </w:tc>
        <w:tc>
          <w:tcPr>
            <w:tcW w:w="2400" w:type="dxa"/>
            <w:shd w:val="clear" w:color="auto" w:fill="EAF0F7"/>
            <w:tcMar>
              <w:top w:w="70" w:type="dxa"/>
              <w:left w:w="110" w:type="dxa"/>
              <w:bottom w:w="70" w:type="dxa"/>
              <w:right w:w="110" w:type="dxa"/>
            </w:tcMar>
            <w:vAlign w:val="center"/>
          </w:tcPr>
          <w:p w14:paraId="42924264" w14:textId="77777777" w:rsidR="008C6706" w:rsidRDefault="00000000">
            <w:pPr>
              <w:spacing w:after="40" w:line="264" w:lineRule="auto"/>
              <w:rPr>
                <w:lang w:eastAsia="ja-JP"/>
              </w:rPr>
            </w:pPr>
            <w:r>
              <w:rPr>
                <w:color w:val="000000"/>
                <w:sz w:val="19"/>
                <w:szCs w:val="19"/>
                <w:lang w:eastAsia="ja-JP"/>
              </w:rPr>
              <w:t>10万／100万／400万ポンドで段階</w:t>
            </w:r>
          </w:p>
        </w:tc>
        <w:tc>
          <w:tcPr>
            <w:tcW w:w="2260" w:type="dxa"/>
            <w:shd w:val="clear" w:color="auto" w:fill="EAF0F7"/>
            <w:tcMar>
              <w:top w:w="70" w:type="dxa"/>
              <w:left w:w="110" w:type="dxa"/>
              <w:bottom w:w="70" w:type="dxa"/>
              <w:right w:w="110" w:type="dxa"/>
            </w:tcMar>
            <w:vAlign w:val="center"/>
          </w:tcPr>
          <w:p w14:paraId="0009C861" w14:textId="77777777" w:rsidR="008C6706" w:rsidRDefault="00000000">
            <w:pPr>
              <w:spacing w:after="40" w:line="264" w:lineRule="auto"/>
              <w:rPr>
                <w:lang w:eastAsia="ja-JP"/>
              </w:rPr>
            </w:pPr>
            <w:r>
              <w:rPr>
                <w:color w:val="000000"/>
                <w:sz w:val="19"/>
                <w:szCs w:val="19"/>
                <w:lang w:eastAsia="ja-JP"/>
              </w:rPr>
              <w:t>副学長への助言機関。評判・倫理での受入れ可否審議</w:t>
            </w:r>
          </w:p>
        </w:tc>
      </w:tr>
      <w:tr w:rsidR="008C6706" w14:paraId="3697D515" w14:textId="77777777">
        <w:tblPrEx>
          <w:tblCellMar>
            <w:top w:w="0" w:type="dxa"/>
            <w:bottom w:w="0" w:type="dxa"/>
          </w:tblCellMar>
        </w:tblPrEx>
        <w:tc>
          <w:tcPr>
            <w:tcW w:w="1500" w:type="dxa"/>
            <w:tcMar>
              <w:top w:w="70" w:type="dxa"/>
              <w:left w:w="110" w:type="dxa"/>
              <w:bottom w:w="70" w:type="dxa"/>
              <w:right w:w="110" w:type="dxa"/>
            </w:tcMar>
            <w:vAlign w:val="center"/>
          </w:tcPr>
          <w:p w14:paraId="76B2B901" w14:textId="77777777" w:rsidR="008C6706" w:rsidRDefault="00000000">
            <w:pPr>
              <w:spacing w:after="40" w:line="264" w:lineRule="auto"/>
            </w:pPr>
            <w:r>
              <w:rPr>
                <w:color w:val="000000"/>
                <w:sz w:val="19"/>
                <w:szCs w:val="19"/>
              </w:rPr>
              <w:t>Johns Hopkins</w:t>
            </w:r>
          </w:p>
        </w:tc>
        <w:tc>
          <w:tcPr>
            <w:tcW w:w="1000" w:type="dxa"/>
            <w:tcMar>
              <w:top w:w="70" w:type="dxa"/>
              <w:left w:w="110" w:type="dxa"/>
              <w:bottom w:w="70" w:type="dxa"/>
              <w:right w:w="110" w:type="dxa"/>
            </w:tcMar>
            <w:vAlign w:val="center"/>
          </w:tcPr>
          <w:p w14:paraId="41705D02" w14:textId="77777777" w:rsidR="008C6706" w:rsidRDefault="00000000">
            <w:pPr>
              <w:spacing w:after="40" w:line="264" w:lineRule="auto"/>
            </w:pPr>
            <w:r>
              <w:rPr>
                <w:color w:val="000000"/>
                <w:sz w:val="19"/>
                <w:szCs w:val="19"/>
              </w:rPr>
              <w:t>米(病院)</w:t>
            </w:r>
          </w:p>
        </w:tc>
        <w:tc>
          <w:tcPr>
            <w:tcW w:w="2200" w:type="dxa"/>
            <w:tcMar>
              <w:top w:w="70" w:type="dxa"/>
              <w:left w:w="110" w:type="dxa"/>
              <w:bottom w:w="70" w:type="dxa"/>
              <w:right w:w="110" w:type="dxa"/>
            </w:tcMar>
            <w:vAlign w:val="center"/>
          </w:tcPr>
          <w:p w14:paraId="0EACF0EB" w14:textId="77777777" w:rsidR="008C6706" w:rsidRDefault="00000000">
            <w:pPr>
              <w:spacing w:after="40" w:line="264" w:lineRule="auto"/>
              <w:rPr>
                <w:lang w:eastAsia="ja-JP"/>
              </w:rPr>
            </w:pPr>
            <w:r>
              <w:rPr>
                <w:color w:val="000000"/>
                <w:sz w:val="19"/>
                <w:szCs w:val="19"/>
                <w:lang w:eastAsia="ja-JP"/>
              </w:rPr>
              <w:t>GPFR倫理タスクフォース</w:t>
            </w:r>
          </w:p>
        </w:tc>
        <w:tc>
          <w:tcPr>
            <w:tcW w:w="2400" w:type="dxa"/>
            <w:tcMar>
              <w:top w:w="70" w:type="dxa"/>
              <w:left w:w="110" w:type="dxa"/>
              <w:bottom w:w="70" w:type="dxa"/>
              <w:right w:w="110" w:type="dxa"/>
            </w:tcMar>
            <w:vAlign w:val="center"/>
          </w:tcPr>
          <w:p w14:paraId="1BA31D06" w14:textId="77777777" w:rsidR="008C6706" w:rsidRDefault="00000000">
            <w:pPr>
              <w:spacing w:after="40" w:line="264" w:lineRule="auto"/>
            </w:pPr>
            <w:r>
              <w:rPr>
                <w:color w:val="000000"/>
                <w:sz w:val="19"/>
                <w:szCs w:val="19"/>
              </w:rPr>
              <w:t>個別・臨床連動</w:t>
            </w:r>
          </w:p>
        </w:tc>
        <w:tc>
          <w:tcPr>
            <w:tcW w:w="2260" w:type="dxa"/>
            <w:tcMar>
              <w:top w:w="70" w:type="dxa"/>
              <w:left w:w="110" w:type="dxa"/>
              <w:bottom w:w="70" w:type="dxa"/>
              <w:right w:w="110" w:type="dxa"/>
            </w:tcMar>
            <w:vAlign w:val="center"/>
          </w:tcPr>
          <w:p w14:paraId="5B9D24C1" w14:textId="77777777" w:rsidR="008C6706" w:rsidRDefault="00000000">
            <w:pPr>
              <w:spacing w:after="40" w:line="264" w:lineRule="auto"/>
              <w:rPr>
                <w:lang w:eastAsia="ja-JP"/>
              </w:rPr>
            </w:pPr>
            <w:r>
              <w:rPr>
                <w:color w:val="000000"/>
                <w:sz w:val="19"/>
                <w:szCs w:val="19"/>
                <w:lang w:eastAsia="ja-JP"/>
              </w:rPr>
              <w:t>感謝患者寄付の倫理指針、HIPAA遵守、臨床家関与ルール</w:t>
            </w:r>
          </w:p>
        </w:tc>
      </w:tr>
    </w:tbl>
    <w:p w14:paraId="79D65FB7" w14:textId="77777777" w:rsidR="008C6706" w:rsidRDefault="00000000">
      <w:pPr>
        <w:rPr>
          <w:lang w:eastAsia="ja-JP"/>
        </w:rPr>
      </w:pPr>
      <w:r>
        <w:rPr>
          <w:lang w:eastAsia="ja-JP"/>
        </w:rPr>
        <w:br w:type="page"/>
      </w:r>
    </w:p>
    <w:p w14:paraId="3022EE8F" w14:textId="77777777" w:rsidR="008C6706" w:rsidRDefault="00000000">
      <w:pPr>
        <w:pStyle w:val="Heading1"/>
        <w:rPr>
          <w:lang w:eastAsia="ja-JP"/>
        </w:rPr>
      </w:pPr>
      <w:r>
        <w:rPr>
          <w:lang w:eastAsia="ja-JP"/>
        </w:rPr>
        <w:lastRenderedPageBreak/>
        <w:t>9. 出典一覧</w:t>
      </w:r>
    </w:p>
    <w:p w14:paraId="4726C030" w14:textId="77777777" w:rsidR="008C6706" w:rsidRDefault="00000000">
      <w:pPr>
        <w:spacing w:after="140" w:line="300" w:lineRule="auto"/>
        <w:jc w:val="both"/>
        <w:rPr>
          <w:lang w:eastAsia="ja-JP"/>
        </w:rPr>
      </w:pPr>
      <w:r>
        <w:rPr>
          <w:lang w:eastAsia="ja-JP"/>
        </w:rPr>
        <w:t>本報告書は以下の一次情報・報道に基づく（2026年7月時点でアクセス）。各大学のポリシーは改定されるため、規定化の際は最新版原典を確認されたい。</w:t>
      </w:r>
    </w:p>
    <w:p w14:paraId="34A7BBEB" w14:textId="77777777" w:rsidR="008C6706" w:rsidRDefault="00000000">
      <w:pPr>
        <w:pStyle w:val="Heading3"/>
      </w:pPr>
      <w:r>
        <w:t>米国大学</w:t>
      </w:r>
    </w:p>
    <w:p w14:paraId="21E0EEFB" w14:textId="77777777" w:rsidR="008C6706" w:rsidRDefault="00000000">
      <w:pPr>
        <w:spacing w:after="60" w:line="264" w:lineRule="auto"/>
      </w:pPr>
      <w:r>
        <w:rPr>
          <w:sz w:val="18"/>
          <w:szCs w:val="18"/>
        </w:rPr>
        <w:t xml:space="preserve">Harvard — Gift Policy Guide（Harvard Alumni） — </w:t>
      </w:r>
      <w:hyperlink r:id="rId7" w:history="1">
        <w:r>
          <w:rPr>
            <w:rStyle w:val="Hyperlink"/>
            <w:sz w:val="18"/>
            <w:szCs w:val="18"/>
          </w:rPr>
          <w:t>https://alumni.harvard.edu/giving/gift-policy-guide</w:t>
        </w:r>
      </w:hyperlink>
    </w:p>
    <w:p w14:paraId="4D3CC709" w14:textId="77777777" w:rsidR="008C6706" w:rsidRDefault="00000000">
      <w:pPr>
        <w:spacing w:after="60" w:line="264" w:lineRule="auto"/>
      </w:pPr>
      <w:r>
        <w:rPr>
          <w:sz w:val="18"/>
          <w:szCs w:val="18"/>
        </w:rPr>
        <w:t xml:space="preserve">Harvard — Gift Policy Guide Overview（PDF） — </w:t>
      </w:r>
      <w:hyperlink r:id="rId8" w:history="1">
        <w:r>
          <w:rPr>
            <w:rStyle w:val="Hyperlink"/>
            <w:sz w:val="18"/>
            <w:szCs w:val="18"/>
          </w:rPr>
          <w:t>https://alumni.harvard.edu/sites/default/files/page/files/Gift_Policy_Guide_Overview.pdf</w:t>
        </w:r>
      </w:hyperlink>
    </w:p>
    <w:p w14:paraId="2FAC726C" w14:textId="77777777" w:rsidR="008C6706" w:rsidRDefault="00000000">
      <w:pPr>
        <w:spacing w:after="60" w:line="264" w:lineRule="auto"/>
      </w:pPr>
      <w:r>
        <w:rPr>
          <w:sz w:val="18"/>
          <w:szCs w:val="18"/>
        </w:rPr>
        <w:t xml:space="preserve">Harvard Crimson — Harvard Releases Gift Policy Guide — </w:t>
      </w:r>
      <w:hyperlink r:id="rId9" w:history="1">
        <w:r>
          <w:rPr>
            <w:rStyle w:val="Hyperlink"/>
            <w:sz w:val="18"/>
            <w:szCs w:val="18"/>
          </w:rPr>
          <w:t>https://www.thecrimson.com/article/2020/7/1/harvard-releases-gift-policy-guide/</w:t>
        </w:r>
      </w:hyperlink>
    </w:p>
    <w:p w14:paraId="05AE5E06" w14:textId="77777777" w:rsidR="008C6706" w:rsidRDefault="00000000">
      <w:pPr>
        <w:spacing w:after="60" w:line="264" w:lineRule="auto"/>
      </w:pPr>
      <w:r>
        <w:rPr>
          <w:sz w:val="18"/>
          <w:szCs w:val="18"/>
        </w:rPr>
        <w:t xml:space="preserve">Yale — Gift Acceptance and Review Policy（Office of the Provost） — </w:t>
      </w:r>
      <w:hyperlink r:id="rId10" w:history="1">
        <w:r>
          <w:rPr>
            <w:rStyle w:val="Hyperlink"/>
            <w:sz w:val="18"/>
            <w:szCs w:val="18"/>
          </w:rPr>
          <w:t>https://provost.yale.edu/policies/gift-acceptance-and-review/gift-acceptance-and-review-policy</w:t>
        </w:r>
      </w:hyperlink>
    </w:p>
    <w:p w14:paraId="0D59B5EB" w14:textId="77777777" w:rsidR="008C6706" w:rsidRDefault="00000000">
      <w:pPr>
        <w:spacing w:after="60" w:line="264" w:lineRule="auto"/>
      </w:pPr>
      <w:r>
        <w:rPr>
          <w:sz w:val="18"/>
          <w:szCs w:val="18"/>
        </w:rPr>
        <w:t xml:space="preserve">Stanford — Gift Policies（Giving to Stanford） — </w:t>
      </w:r>
      <w:hyperlink r:id="rId11" w:history="1">
        <w:r>
          <w:rPr>
            <w:rStyle w:val="Hyperlink"/>
            <w:sz w:val="18"/>
            <w:szCs w:val="18"/>
          </w:rPr>
          <w:t>https://giving.stanford.edu/gift-policies</w:t>
        </w:r>
      </w:hyperlink>
    </w:p>
    <w:p w14:paraId="45A4B284" w14:textId="77777777" w:rsidR="008C6706" w:rsidRDefault="00000000">
      <w:pPr>
        <w:spacing w:after="60" w:line="264" w:lineRule="auto"/>
      </w:pPr>
      <w:r>
        <w:rPr>
          <w:sz w:val="18"/>
          <w:szCs w:val="18"/>
        </w:rPr>
        <w:t xml:space="preserve">UC Berkeley — Gift Acceptance Policy（Office of Ethics, Risk, and Compliance） — </w:t>
      </w:r>
      <w:hyperlink r:id="rId12" w:history="1">
        <w:r>
          <w:rPr>
            <w:rStyle w:val="Hyperlink"/>
            <w:sz w:val="18"/>
            <w:szCs w:val="18"/>
          </w:rPr>
          <w:t>https://oercs.berkeley.edu/policies/campus-policy-library/gift-acceptance</w:t>
        </w:r>
      </w:hyperlink>
    </w:p>
    <w:p w14:paraId="5A6149FE" w14:textId="77777777" w:rsidR="008C6706" w:rsidRDefault="00000000">
      <w:pPr>
        <w:pStyle w:val="Heading3"/>
      </w:pPr>
      <w:r>
        <w:t>英国大学</w:t>
      </w:r>
    </w:p>
    <w:p w14:paraId="61607F85" w14:textId="77777777" w:rsidR="008C6706" w:rsidRDefault="00000000">
      <w:pPr>
        <w:spacing w:after="60" w:line="264" w:lineRule="auto"/>
      </w:pPr>
      <w:r>
        <w:rPr>
          <w:sz w:val="18"/>
          <w:szCs w:val="18"/>
        </w:rPr>
        <w:t xml:space="preserve">Oxford — Guidelines for the Acceptance of Donations（PDF） — </w:t>
      </w:r>
      <w:hyperlink r:id="rId13" w:history="1">
        <w:r>
          <w:rPr>
            <w:rStyle w:val="Hyperlink"/>
            <w:sz w:val="18"/>
            <w:szCs w:val="18"/>
          </w:rPr>
          <w:t>https://www.spc.ox.ac.uk/asset/University_Guidelines_Acceptance_Donations.pdf</w:t>
        </w:r>
      </w:hyperlink>
    </w:p>
    <w:p w14:paraId="4E0900E2" w14:textId="77777777" w:rsidR="008C6706" w:rsidRDefault="00000000">
      <w:pPr>
        <w:spacing w:after="60" w:line="264" w:lineRule="auto"/>
      </w:pPr>
      <w:r>
        <w:rPr>
          <w:sz w:val="18"/>
          <w:szCs w:val="18"/>
        </w:rPr>
        <w:t xml:space="preserve">Oxford — Committee to Review Donations and Research Funding（guidelines PDF） — </w:t>
      </w:r>
      <w:hyperlink r:id="rId14" w:history="1">
        <w:r>
          <w:rPr>
            <w:rStyle w:val="Hyperlink"/>
            <w:sz w:val="18"/>
            <w:szCs w:val="18"/>
          </w:rPr>
          <w:t>https://oxfordunifossilfree.files.wordpress.com/2021/04/crdrf_guidelines-for-the-acceptance-of-donations-and-research-funding.pdf</w:t>
        </w:r>
      </w:hyperlink>
    </w:p>
    <w:p w14:paraId="4A73C9B3" w14:textId="77777777" w:rsidR="008C6706" w:rsidRDefault="00000000">
      <w:pPr>
        <w:spacing w:after="60" w:line="264" w:lineRule="auto"/>
      </w:pPr>
      <w:r>
        <w:rPr>
          <w:sz w:val="18"/>
          <w:szCs w:val="18"/>
        </w:rPr>
        <w:t xml:space="preserve">Cambridge — Committee on Benefactions and External and Legal Affairs（Terms of Reference） — </w:t>
      </w:r>
      <w:hyperlink r:id="rId15" w:history="1">
        <w:r>
          <w:rPr>
            <w:rStyle w:val="Hyperlink"/>
            <w:sz w:val="18"/>
            <w:szCs w:val="18"/>
          </w:rPr>
          <w:t>https://www.governanceandcompliance.admin.cam.ac.uk/university-committees/committee-benefactions-and-external-and-legal-affairs/terms-of-reference</w:t>
        </w:r>
      </w:hyperlink>
    </w:p>
    <w:p w14:paraId="570DAB92" w14:textId="77777777" w:rsidR="008C6706" w:rsidRDefault="00000000">
      <w:pPr>
        <w:spacing w:after="60" w:line="264" w:lineRule="auto"/>
      </w:pPr>
      <w:r>
        <w:rPr>
          <w:sz w:val="18"/>
          <w:szCs w:val="18"/>
        </w:rPr>
        <w:t xml:space="preserve">Cambridge — Handling and acceptance of donations — </w:t>
      </w:r>
      <w:hyperlink r:id="rId16" w:history="1">
        <w:r>
          <w:rPr>
            <w:rStyle w:val="Hyperlink"/>
            <w:sz w:val="18"/>
            <w:szCs w:val="18"/>
          </w:rPr>
          <w:t>https://www.philanthropy.cam.ac.uk/about/acceptance-of-donations-guidelines</w:t>
        </w:r>
      </w:hyperlink>
    </w:p>
    <w:p w14:paraId="427BEE2F" w14:textId="77777777" w:rsidR="008C6706" w:rsidRDefault="00000000">
      <w:pPr>
        <w:spacing w:after="60" w:line="264" w:lineRule="auto"/>
      </w:pPr>
      <w:r>
        <w:rPr>
          <w:sz w:val="18"/>
          <w:szCs w:val="18"/>
        </w:rPr>
        <w:t xml:space="preserve">Cambridge — Procedures for Handling Donations（PDF） — </w:t>
      </w:r>
      <w:hyperlink r:id="rId17" w:history="1">
        <w:r>
          <w:rPr>
            <w:rStyle w:val="Hyperlink"/>
            <w:sz w:val="18"/>
            <w:szCs w:val="18"/>
          </w:rPr>
          <w:t>https://www.finance.admin.cam.ac.uk/files/procedures_for_handling_donations.pdf</w:t>
        </w:r>
      </w:hyperlink>
    </w:p>
    <w:p w14:paraId="276D5B5D" w14:textId="77777777" w:rsidR="008C6706" w:rsidRDefault="00000000">
      <w:pPr>
        <w:spacing w:after="60" w:line="264" w:lineRule="auto"/>
      </w:pPr>
      <w:r>
        <w:rPr>
          <w:sz w:val="18"/>
          <w:szCs w:val="18"/>
        </w:rPr>
        <w:t xml:space="preserve">University of Dundee — Donations policy: acceptance and refusal — </w:t>
      </w:r>
      <w:hyperlink r:id="rId18" w:history="1">
        <w:r>
          <w:rPr>
            <w:rStyle w:val="Hyperlink"/>
            <w:sz w:val="18"/>
            <w:szCs w:val="18"/>
          </w:rPr>
          <w:t>https://www.dundee.ac.uk/corporate-information/donations-policy-acceptance-refusal</w:t>
        </w:r>
      </w:hyperlink>
    </w:p>
    <w:p w14:paraId="2956D3E8" w14:textId="77777777" w:rsidR="008C6706" w:rsidRDefault="00000000">
      <w:pPr>
        <w:spacing w:after="60" w:line="264" w:lineRule="auto"/>
      </w:pPr>
      <w:r>
        <w:rPr>
          <w:sz w:val="18"/>
          <w:szCs w:val="18"/>
        </w:rPr>
        <w:t xml:space="preserve">University of Leeds — Gift acceptance and naming policy — </w:t>
      </w:r>
      <w:hyperlink r:id="rId19" w:history="1">
        <w:r>
          <w:rPr>
            <w:rStyle w:val="Hyperlink"/>
            <w:sz w:val="18"/>
            <w:szCs w:val="18"/>
          </w:rPr>
          <w:t>https://www.leeds.ac.uk/give-to-leeds/doc/gift-acceptance-naming-policy</w:t>
        </w:r>
      </w:hyperlink>
    </w:p>
    <w:p w14:paraId="030C2BF3" w14:textId="77777777" w:rsidR="008C6706" w:rsidRDefault="00000000">
      <w:pPr>
        <w:pStyle w:val="Heading3"/>
        <w:rPr>
          <w:lang w:eastAsia="ja-JP"/>
        </w:rPr>
      </w:pPr>
      <w:r>
        <w:rPr>
          <w:lang w:eastAsia="ja-JP"/>
        </w:rPr>
        <w:t>大学病院・医療系ファンドレイジングの倫理</w:t>
      </w:r>
    </w:p>
    <w:p w14:paraId="04FEB364" w14:textId="77777777" w:rsidR="008C6706" w:rsidRDefault="00000000">
      <w:pPr>
        <w:spacing w:after="60" w:line="264" w:lineRule="auto"/>
      </w:pPr>
      <w:r>
        <w:rPr>
          <w:sz w:val="18"/>
          <w:szCs w:val="18"/>
        </w:rPr>
        <w:t xml:space="preserve">Johns Hopkins — Ethical Issues and Recommendations in Grateful Patient Fundraising（PMC） — </w:t>
      </w:r>
      <w:hyperlink r:id="rId20" w:history="1">
        <w:r>
          <w:rPr>
            <w:rStyle w:val="Hyperlink"/>
            <w:sz w:val="18"/>
            <w:szCs w:val="18"/>
          </w:rPr>
          <w:t>https://pmc.ncbi.nlm.nih.gov/articles/PMC6211779/</w:t>
        </w:r>
      </w:hyperlink>
    </w:p>
    <w:p w14:paraId="3A34B9F4" w14:textId="77777777" w:rsidR="008C6706" w:rsidRDefault="00000000">
      <w:pPr>
        <w:spacing w:after="60" w:line="264" w:lineRule="auto"/>
      </w:pPr>
      <w:r>
        <w:rPr>
          <w:sz w:val="18"/>
          <w:szCs w:val="18"/>
        </w:rPr>
        <w:t xml:space="preserve">AHP — Ethical Issues and Recommendations in Grateful Patient Fundraising and Philanthropy — </w:t>
      </w:r>
      <w:hyperlink r:id="rId21" w:history="1">
        <w:r>
          <w:rPr>
            <w:rStyle w:val="Hyperlink"/>
            <w:sz w:val="18"/>
            <w:szCs w:val="18"/>
          </w:rPr>
          <w:t>https://www.ahp.org/resources-and-tools/ahp-connect/ahp-connect-details/ethical-issues-and-recommendations-in-grateful-patient-fundraising-and-philanthropy</w:t>
        </w:r>
      </w:hyperlink>
    </w:p>
    <w:p w14:paraId="13CEA014" w14:textId="77777777" w:rsidR="008C6706" w:rsidRDefault="00000000">
      <w:pPr>
        <w:spacing w:after="60" w:line="264" w:lineRule="auto"/>
      </w:pPr>
      <w:r>
        <w:rPr>
          <w:sz w:val="18"/>
          <w:szCs w:val="18"/>
        </w:rPr>
        <w:lastRenderedPageBreak/>
        <w:t xml:space="preserve">HIPAA, PHI, and You（Grateful Patient white paper） — </w:t>
      </w:r>
      <w:hyperlink r:id="rId22" w:history="1">
        <w:r>
          <w:rPr>
            <w:rStyle w:val="Hyperlink"/>
            <w:sz w:val="18"/>
            <w:szCs w:val="18"/>
          </w:rPr>
          <w:t>https://webfiles-sc1.blackbaud.com/files/resources/downloads/hipaa_gratefulpatient.whitepaper.pdf</w:t>
        </w:r>
      </w:hyperlink>
    </w:p>
    <w:p w14:paraId="78DFD450" w14:textId="77777777" w:rsidR="008C6706" w:rsidRDefault="00000000">
      <w:pPr>
        <w:spacing w:after="60" w:line="264" w:lineRule="auto"/>
      </w:pPr>
      <w:r>
        <w:rPr>
          <w:sz w:val="18"/>
          <w:szCs w:val="18"/>
        </w:rPr>
        <w:t xml:space="preserve">AFP — The Donor Bill of Rights — </w:t>
      </w:r>
      <w:hyperlink r:id="rId23" w:history="1">
        <w:r>
          <w:rPr>
            <w:rStyle w:val="Hyperlink"/>
            <w:sz w:val="18"/>
            <w:szCs w:val="18"/>
          </w:rPr>
          <w:t>https://afpglobal.org/donor-bill-rights</w:t>
        </w:r>
      </w:hyperlink>
    </w:p>
    <w:p w14:paraId="3DE0F1FB" w14:textId="77777777" w:rsidR="008C6706" w:rsidRDefault="00000000">
      <w:pPr>
        <w:pStyle w:val="Heading3"/>
      </w:pPr>
      <w:r>
        <w:t>職能団体・一般指針</w:t>
      </w:r>
    </w:p>
    <w:p w14:paraId="79AFF9D4" w14:textId="77777777" w:rsidR="008C6706" w:rsidRDefault="00000000">
      <w:pPr>
        <w:spacing w:after="60" w:line="264" w:lineRule="auto"/>
      </w:pPr>
      <w:r>
        <w:rPr>
          <w:sz w:val="18"/>
          <w:szCs w:val="18"/>
        </w:rPr>
        <w:t xml:space="preserve">CASE — Ethical Principles Behind the Acceptance of Gifts in Europe — </w:t>
      </w:r>
      <w:hyperlink r:id="rId24" w:history="1">
        <w:r>
          <w:rPr>
            <w:rStyle w:val="Hyperlink"/>
            <w:sz w:val="18"/>
            <w:szCs w:val="18"/>
          </w:rPr>
          <w:t>https://www.case.org/resources/ethical-principles-behind-acceptance-gifts-europe</w:t>
        </w:r>
      </w:hyperlink>
    </w:p>
    <w:p w14:paraId="6F103D70" w14:textId="77777777" w:rsidR="008C6706" w:rsidRDefault="00000000">
      <w:pPr>
        <w:spacing w:after="60" w:line="264" w:lineRule="auto"/>
      </w:pPr>
      <w:r>
        <w:rPr>
          <w:sz w:val="18"/>
          <w:szCs w:val="18"/>
        </w:rPr>
        <w:t xml:space="preserve">Santa Clara Univ. (Markkula) — Controversial Donors: A Guide to Ethical Gift Acceptance — </w:t>
      </w:r>
      <w:hyperlink r:id="rId25" w:history="1">
        <w:r>
          <w:rPr>
            <w:rStyle w:val="Hyperlink"/>
            <w:sz w:val="18"/>
            <w:szCs w:val="18"/>
          </w:rPr>
          <w:t>https://www.scu.edu/ethics/ethical-gift-acceptance/guide-to-ethical-gift-acceptance/controversial-donors-a-guide-to-ethical-gift-acceptance-for-nonprofit-organizations.html</w:t>
        </w:r>
      </w:hyperlink>
    </w:p>
    <w:sectPr w:rsidR="008C6706">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B55BA" w14:textId="77777777" w:rsidR="00C77617" w:rsidRDefault="00C77617">
      <w:r>
        <w:separator/>
      </w:r>
    </w:p>
  </w:endnote>
  <w:endnote w:type="continuationSeparator" w:id="0">
    <w:p w14:paraId="13F87367" w14:textId="77777777" w:rsidR="00C77617" w:rsidRDefault="00C77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modern"/>
    <w:pitch w:val="variable"/>
    <w:sig w:usb0="00000003" w:usb1="00000000"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B1B3A" w14:textId="77777777" w:rsidR="008C6706" w:rsidRDefault="00000000">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6C152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96438" w14:textId="77777777" w:rsidR="00C77617" w:rsidRDefault="00C77617">
      <w:r>
        <w:separator/>
      </w:r>
    </w:p>
  </w:footnote>
  <w:footnote w:type="continuationSeparator" w:id="0">
    <w:p w14:paraId="024AF52E" w14:textId="77777777" w:rsidR="00C77617" w:rsidRDefault="00C77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F5B1F" w14:textId="77777777" w:rsidR="008C6706" w:rsidRDefault="00000000">
    <w:pPr>
      <w:pBdr>
        <w:bottom w:val="single" w:sz="4" w:space="2" w:color="C0C0C0"/>
      </w:pBdr>
      <w:jc w:val="right"/>
      <w:rPr>
        <w:lang w:eastAsia="ja-JP"/>
      </w:rPr>
    </w:pPr>
    <w:r>
      <w:rPr>
        <w:rFonts w:ascii="Yu Gothic" w:eastAsia="Yu Gothic" w:hAnsi="Yu Gothic" w:cs="Yu Gothic"/>
        <w:color w:val="808080"/>
        <w:sz w:val="15"/>
        <w:szCs w:val="15"/>
        <w:lang w:eastAsia="ja-JP"/>
      </w:rPr>
      <w:t>寄付受入れスクリーニング 海外大学ベンチマーク調査</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A7D66"/>
    <w:multiLevelType w:val="hybridMultilevel"/>
    <w:tmpl w:val="1FE279BA"/>
    <w:lvl w:ilvl="0" w:tplc="654C7CA4">
      <w:start w:val="1"/>
      <w:numFmt w:val="bullet"/>
      <w:lvlText w:val="●"/>
      <w:lvlJc w:val="left"/>
      <w:pPr>
        <w:ind w:left="720" w:hanging="360"/>
      </w:pPr>
    </w:lvl>
    <w:lvl w:ilvl="1" w:tplc="14821136">
      <w:start w:val="1"/>
      <w:numFmt w:val="bullet"/>
      <w:lvlText w:val="○"/>
      <w:lvlJc w:val="left"/>
      <w:pPr>
        <w:ind w:left="1440" w:hanging="360"/>
      </w:pPr>
    </w:lvl>
    <w:lvl w:ilvl="2" w:tplc="86B42B6E">
      <w:start w:val="1"/>
      <w:numFmt w:val="bullet"/>
      <w:lvlText w:val="■"/>
      <w:lvlJc w:val="left"/>
      <w:pPr>
        <w:ind w:left="2160" w:hanging="360"/>
      </w:pPr>
    </w:lvl>
    <w:lvl w:ilvl="3" w:tplc="7BDABFEE">
      <w:start w:val="1"/>
      <w:numFmt w:val="bullet"/>
      <w:lvlText w:val="●"/>
      <w:lvlJc w:val="left"/>
      <w:pPr>
        <w:ind w:left="2880" w:hanging="360"/>
      </w:pPr>
    </w:lvl>
    <w:lvl w:ilvl="4" w:tplc="AE30EFAE">
      <w:start w:val="1"/>
      <w:numFmt w:val="bullet"/>
      <w:lvlText w:val="○"/>
      <w:lvlJc w:val="left"/>
      <w:pPr>
        <w:ind w:left="3600" w:hanging="360"/>
      </w:pPr>
    </w:lvl>
    <w:lvl w:ilvl="5" w:tplc="7CA8D538">
      <w:start w:val="1"/>
      <w:numFmt w:val="bullet"/>
      <w:lvlText w:val="■"/>
      <w:lvlJc w:val="left"/>
      <w:pPr>
        <w:ind w:left="4320" w:hanging="360"/>
      </w:pPr>
    </w:lvl>
    <w:lvl w:ilvl="6" w:tplc="45A2E358">
      <w:start w:val="1"/>
      <w:numFmt w:val="bullet"/>
      <w:lvlText w:val="●"/>
      <w:lvlJc w:val="left"/>
      <w:pPr>
        <w:ind w:left="5040" w:hanging="360"/>
      </w:pPr>
    </w:lvl>
    <w:lvl w:ilvl="7" w:tplc="2AF8B3F6">
      <w:start w:val="1"/>
      <w:numFmt w:val="bullet"/>
      <w:lvlText w:val="●"/>
      <w:lvlJc w:val="left"/>
      <w:pPr>
        <w:ind w:left="5760" w:hanging="360"/>
      </w:pPr>
    </w:lvl>
    <w:lvl w:ilvl="8" w:tplc="88D86D12">
      <w:start w:val="1"/>
      <w:numFmt w:val="bullet"/>
      <w:lvlText w:val="●"/>
      <w:lvlJc w:val="left"/>
      <w:pPr>
        <w:ind w:left="6480" w:hanging="360"/>
      </w:pPr>
    </w:lvl>
  </w:abstractNum>
  <w:abstractNum w:abstractNumId="1" w15:restartNumberingAfterBreak="0">
    <w:nsid w:val="2B577327"/>
    <w:multiLevelType w:val="hybridMultilevel"/>
    <w:tmpl w:val="D5440F58"/>
    <w:lvl w:ilvl="0" w:tplc="27287FA2">
      <w:start w:val="1"/>
      <w:numFmt w:val="bullet"/>
      <w:lvlText w:val="•"/>
      <w:lvlJc w:val="left"/>
      <w:pPr>
        <w:ind w:left="500" w:hanging="260"/>
      </w:pPr>
    </w:lvl>
    <w:lvl w:ilvl="1" w:tplc="D5407A12">
      <w:start w:val="1"/>
      <w:numFmt w:val="bullet"/>
      <w:lvlText w:val="–"/>
      <w:lvlJc w:val="left"/>
      <w:pPr>
        <w:ind w:left="900" w:hanging="260"/>
      </w:pPr>
    </w:lvl>
    <w:lvl w:ilvl="2" w:tplc="8AC2DAE0">
      <w:numFmt w:val="decimal"/>
      <w:lvlText w:val=""/>
      <w:lvlJc w:val="left"/>
    </w:lvl>
    <w:lvl w:ilvl="3" w:tplc="767E49CA">
      <w:numFmt w:val="decimal"/>
      <w:lvlText w:val=""/>
      <w:lvlJc w:val="left"/>
    </w:lvl>
    <w:lvl w:ilvl="4" w:tplc="37F40A92">
      <w:numFmt w:val="decimal"/>
      <w:lvlText w:val=""/>
      <w:lvlJc w:val="left"/>
    </w:lvl>
    <w:lvl w:ilvl="5" w:tplc="E202FA0A">
      <w:numFmt w:val="decimal"/>
      <w:lvlText w:val=""/>
      <w:lvlJc w:val="left"/>
    </w:lvl>
    <w:lvl w:ilvl="6" w:tplc="0AE0A7D6">
      <w:numFmt w:val="decimal"/>
      <w:lvlText w:val=""/>
      <w:lvlJc w:val="left"/>
    </w:lvl>
    <w:lvl w:ilvl="7" w:tplc="4B4AC3E0">
      <w:numFmt w:val="decimal"/>
      <w:lvlText w:val=""/>
      <w:lvlJc w:val="left"/>
    </w:lvl>
    <w:lvl w:ilvl="8" w:tplc="EA3A7A08">
      <w:numFmt w:val="decimal"/>
      <w:lvlText w:val=""/>
      <w:lvlJc w:val="left"/>
    </w:lvl>
  </w:abstractNum>
  <w:abstractNum w:abstractNumId="2" w15:restartNumberingAfterBreak="0">
    <w:nsid w:val="43BE00BA"/>
    <w:multiLevelType w:val="hybridMultilevel"/>
    <w:tmpl w:val="13C81E1A"/>
    <w:lvl w:ilvl="0" w:tplc="4EFC83A4">
      <w:start w:val="1"/>
      <w:numFmt w:val="decimal"/>
      <w:lvlText w:val="%1."/>
      <w:lvlJc w:val="left"/>
      <w:pPr>
        <w:ind w:left="500" w:hanging="300"/>
      </w:pPr>
    </w:lvl>
    <w:lvl w:ilvl="1" w:tplc="A8CC3DDA">
      <w:numFmt w:val="decimal"/>
      <w:lvlText w:val=""/>
      <w:lvlJc w:val="left"/>
    </w:lvl>
    <w:lvl w:ilvl="2" w:tplc="21066E4E">
      <w:numFmt w:val="decimal"/>
      <w:lvlText w:val=""/>
      <w:lvlJc w:val="left"/>
    </w:lvl>
    <w:lvl w:ilvl="3" w:tplc="05165830">
      <w:numFmt w:val="decimal"/>
      <w:lvlText w:val=""/>
      <w:lvlJc w:val="left"/>
    </w:lvl>
    <w:lvl w:ilvl="4" w:tplc="90FCAB94">
      <w:numFmt w:val="decimal"/>
      <w:lvlText w:val=""/>
      <w:lvlJc w:val="left"/>
    </w:lvl>
    <w:lvl w:ilvl="5" w:tplc="C9DA3FA6">
      <w:numFmt w:val="decimal"/>
      <w:lvlText w:val=""/>
      <w:lvlJc w:val="left"/>
    </w:lvl>
    <w:lvl w:ilvl="6" w:tplc="131088D6">
      <w:numFmt w:val="decimal"/>
      <w:lvlText w:val=""/>
      <w:lvlJc w:val="left"/>
    </w:lvl>
    <w:lvl w:ilvl="7" w:tplc="0AD4B130">
      <w:numFmt w:val="decimal"/>
      <w:lvlText w:val=""/>
      <w:lvlJc w:val="left"/>
    </w:lvl>
    <w:lvl w:ilvl="8" w:tplc="F558F2EA">
      <w:numFmt w:val="decimal"/>
      <w:lvlText w:val=""/>
      <w:lvlJc w:val="left"/>
    </w:lvl>
  </w:abstractNum>
  <w:num w:numId="1" w16cid:durableId="1380787693">
    <w:abstractNumId w:val="0"/>
    <w:lvlOverride w:ilvl="0">
      <w:startOverride w:val="1"/>
    </w:lvlOverride>
  </w:num>
  <w:num w:numId="2" w16cid:durableId="839390347">
    <w:abstractNumId w:val="1"/>
    <w:lvlOverride w:ilvl="0">
      <w:startOverride w:val="1"/>
    </w:lvlOverride>
  </w:num>
  <w:num w:numId="3" w16cid:durableId="6364476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706"/>
    <w:rsid w:val="006C1520"/>
    <w:rsid w:val="008C6706"/>
    <w:rsid w:val="00C77617"/>
    <w:rsid w:val="00E76568"/>
  </w:rsids>
  <m:mathPr>
    <m:mathFont m:val="Cambria Math"/>
    <m:brkBin m:val="before"/>
    <m:brkBinSub m:val="--"/>
    <m:smallFrac m:val="0"/>
    <m:dispDef/>
    <m:lMargin m:val="0"/>
    <m:rMargin m:val="0"/>
    <m:defJc m:val="centerGroup"/>
    <m:wrapIndent m:val="1440"/>
    <m:intLim m:val="subSup"/>
    <m:naryLim m:val="undOvr"/>
  </m:mathPr>
  <w:themeFontLang w:val="en-JP"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E450958"/>
  <w15:docId w15:val="{ABFAB0E3-6985-6144-93C8-0F7B3064B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Yu Mincho" w:eastAsia="Yu Mincho" w:hAnsi="Yu Mincho" w:cs="Yu Mincho"/>
        <w:sz w:val="21"/>
        <w:szCs w:val="21"/>
        <w:lang w:val="en-JP"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260" w:after="180"/>
      <w:outlineLvl w:val="0"/>
    </w:pPr>
    <w:rPr>
      <w:rFonts w:ascii="Yu Gothic" w:eastAsia="Yu Gothic" w:hAnsi="Yu Gothic" w:cs="Yu Gothic"/>
      <w:b/>
      <w:bCs/>
      <w:color w:val="1F3864"/>
      <w:sz w:val="30"/>
      <w:szCs w:val="30"/>
    </w:rPr>
  </w:style>
  <w:style w:type="paragraph" w:styleId="Heading2">
    <w:name w:val="heading 2"/>
    <w:uiPriority w:val="9"/>
    <w:unhideWhenUsed/>
    <w:qFormat/>
    <w:pPr>
      <w:spacing w:before="200" w:after="120"/>
      <w:outlineLvl w:val="1"/>
    </w:pPr>
    <w:rPr>
      <w:rFonts w:ascii="Yu Gothic" w:eastAsia="Yu Gothic" w:hAnsi="Yu Gothic" w:cs="Yu Gothic"/>
      <w:b/>
      <w:bCs/>
      <w:color w:val="2E5496"/>
      <w:sz w:val="25"/>
      <w:szCs w:val="25"/>
    </w:rPr>
  </w:style>
  <w:style w:type="paragraph" w:styleId="Heading3">
    <w:name w:val="heading 3"/>
    <w:uiPriority w:val="9"/>
    <w:unhideWhenUsed/>
    <w:qFormat/>
    <w:pPr>
      <w:spacing w:before="140" w:after="80"/>
      <w:outlineLvl w:val="2"/>
    </w:pPr>
    <w:rPr>
      <w:rFonts w:ascii="Yu Gothic" w:eastAsia="Yu Gothic" w:hAnsi="Yu Gothic" w:cs="Yu Gothic"/>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alumni.harvard.edu/sites/default/files/page/files/Gift_Policy_Guide_Overview.pdf" TargetMode="External"/><Relationship Id="rId13" Type="http://schemas.openxmlformats.org/officeDocument/2006/relationships/hyperlink" Target="https://www.spc.ox.ac.uk/asset/University_Guidelines_Acceptance_Donations.pdf" TargetMode="External"/><Relationship Id="rId18" Type="http://schemas.openxmlformats.org/officeDocument/2006/relationships/hyperlink" Target="https://www.dundee.ac.uk/corporate-information/donations-policy-acceptance-refusal"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ahp.org/resources-and-tools/ahp-connect/ahp-connect-details/ethical-issues-and-recommendations-in-grateful-patient-fundraising-and-philanthropy" TargetMode="External"/><Relationship Id="rId7" Type="http://schemas.openxmlformats.org/officeDocument/2006/relationships/hyperlink" Target="https://alumni.harvard.edu/giving/gift-policy-guide" TargetMode="External"/><Relationship Id="rId12" Type="http://schemas.openxmlformats.org/officeDocument/2006/relationships/hyperlink" Target="https://oercs.berkeley.edu/policies/campus-policy-library/gift-acceptance" TargetMode="External"/><Relationship Id="rId17" Type="http://schemas.openxmlformats.org/officeDocument/2006/relationships/hyperlink" Target="https://www.finance.admin.cam.ac.uk/files/procedures_for_handling_donations.pdf" TargetMode="External"/><Relationship Id="rId25" Type="http://schemas.openxmlformats.org/officeDocument/2006/relationships/hyperlink" Target="https://www.scu.edu/ethics/ethical-gift-acceptance/guide-to-ethical-gift-acceptance/controversial-donors-a-guide-to-ethical-gift-acceptance-for-nonprofit-organizations.html" TargetMode="External"/><Relationship Id="rId2" Type="http://schemas.openxmlformats.org/officeDocument/2006/relationships/styles" Target="styles.xml"/><Relationship Id="rId16" Type="http://schemas.openxmlformats.org/officeDocument/2006/relationships/hyperlink" Target="https://www.philanthropy.cam.ac.uk/about/acceptance-of-donations-guidelines" TargetMode="External"/><Relationship Id="rId20" Type="http://schemas.openxmlformats.org/officeDocument/2006/relationships/hyperlink" Target="https://pmc.ncbi.nlm.nih.gov/articles/PMC621177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ving.stanford.edu/gift-policies" TargetMode="External"/><Relationship Id="rId24" Type="http://schemas.openxmlformats.org/officeDocument/2006/relationships/hyperlink" Target="https://www.case.org/resources/ethical-principles-behind-acceptance-gifts-europe" TargetMode="External"/><Relationship Id="rId5" Type="http://schemas.openxmlformats.org/officeDocument/2006/relationships/footnotes" Target="footnotes.xml"/><Relationship Id="rId15" Type="http://schemas.openxmlformats.org/officeDocument/2006/relationships/hyperlink" Target="https://www.governanceandcompliance.admin.cam.ac.uk/university-committees/committee-benefactions-and-external-and-legal-affairs/terms-of-reference" TargetMode="External"/><Relationship Id="rId23" Type="http://schemas.openxmlformats.org/officeDocument/2006/relationships/hyperlink" Target="https://afpglobal.org/donor-bill-rights" TargetMode="External"/><Relationship Id="rId28" Type="http://schemas.openxmlformats.org/officeDocument/2006/relationships/fontTable" Target="fontTable.xml"/><Relationship Id="rId10" Type="http://schemas.openxmlformats.org/officeDocument/2006/relationships/hyperlink" Target="https://provost.yale.edu/policies/gift-acceptance-and-review/gift-acceptance-and-review-policy" TargetMode="External"/><Relationship Id="rId19" Type="http://schemas.openxmlformats.org/officeDocument/2006/relationships/hyperlink" Target="https://www.leeds.ac.uk/give-to-leeds/doc/gift-acceptance-naming-policy" TargetMode="External"/><Relationship Id="rId4" Type="http://schemas.openxmlformats.org/officeDocument/2006/relationships/webSettings" Target="webSettings.xml"/><Relationship Id="rId9" Type="http://schemas.openxmlformats.org/officeDocument/2006/relationships/hyperlink" Target="https://www.thecrimson.com/article/2020/7/1/harvard-releases-gift-policy-guide/" TargetMode="External"/><Relationship Id="rId14" Type="http://schemas.openxmlformats.org/officeDocument/2006/relationships/hyperlink" Target="https://oxfordunifossilfree.files.wordpress.com/2021/04/crdrf_guidelines-for-the-acceptance-of-donations-and-research-funding.pdf" TargetMode="External"/><Relationship Id="rId22" Type="http://schemas.openxmlformats.org/officeDocument/2006/relationships/hyperlink" Target="https://webfiles-sc1.blackbaud.com/files/resources/downloads/hipaa_gratefulpatient.whitepaper.pdf"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2106</Words>
  <Characters>12005</Characters>
  <Application>Microsoft Office Word</Application>
  <DocSecurity>0</DocSecurity>
  <Lines>100</Lines>
  <Paragraphs>28</Paragraphs>
  <ScaleCrop>false</ScaleCrop>
  <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海外有名大学における寄付受入れスクリーニング調査報告書</dc:title>
  <dc:creator>Cowork</dc:creator>
  <cp:lastModifiedBy>li yanjiang</cp:lastModifiedBy>
  <cp:revision>2</cp:revision>
  <dcterms:created xsi:type="dcterms:W3CDTF">2026-07-09T03:52:00Z</dcterms:created>
  <dcterms:modified xsi:type="dcterms:W3CDTF">2026-07-09T03:52:00Z</dcterms:modified>
</cp:coreProperties>
</file>