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Đồ án cuối kì</w:t>
      </w:r>
    </w:p>
    <w:p>
      <w:pPr>
        <w:pStyle w:val="Subtitle"/>
        <w:rPr/>
      </w:pPr>
      <w:r>
        <w:rPr/>
        <w:t>Phiếu chấm điểm</w:t>
      </w:r>
    </w:p>
    <w:p>
      <w:pPr>
        <w:pStyle w:val="LOnormal"/>
        <w:pBdr>
          <w:bottom w:val="dashed" w:sz="4" w:space="1" w:color="000000"/>
        </w:pBdr>
        <w:tabs>
          <w:tab w:val="clear" w:pos="720"/>
          <w:tab w:val="left" w:pos="3261" w:leader="none"/>
        </w:tabs>
        <w:rPr>
          <w:rFonts w:ascii="Arial" w:hAnsi="Arial" w:eastAsia="Arial" w:cs="Arial"/>
          <w:color w:val="7F7F7F"/>
          <w:sz w:val="34"/>
          <w:szCs w:val="34"/>
        </w:rPr>
      </w:pPr>
      <w:r>
        <w:rPr/>
        <w:tab/>
        <w:t>Sinh viên thực hiện:  19120629 - Lê Hồng Quân</w:t>
      </w:r>
    </w:p>
    <w:p>
      <w:pPr>
        <w:pStyle w:val="LOnormal"/>
        <w:pBdr>
          <w:bottom w:val="dashed" w:sz="4" w:space="1" w:color="000000"/>
        </w:pBdr>
        <w:tabs>
          <w:tab w:val="clear" w:pos="720"/>
          <w:tab w:val="left" w:pos="3261" w:leader="none"/>
        </w:tabs>
        <w:rPr>
          <w:rFonts w:ascii="Tahoma" w:hAnsi="Tahoma" w:eastAsia="Tahoma" w:cs="Tahoma"/>
          <w:b/>
          <w:b/>
          <w:color w:val="3366FF"/>
          <w:sz w:val="26"/>
          <w:szCs w:val="26"/>
        </w:rPr>
      </w:pPr>
      <w:r>
        <w:rPr>
          <w:rFonts w:eastAsia="Tahoma" w:cs="Tahoma" w:ascii="Tahoma" w:hAnsi="Tahoma"/>
          <w:b/>
          <w:color w:val="3366FF"/>
          <w:sz w:val="26"/>
          <w:szCs w:val="26"/>
        </w:rPr>
        <w:tab/>
      </w:r>
      <w:r>
        <w:rPr/>
        <w:t xml:space="preserve">Địa chỉ Git: </w:t>
      </w:r>
      <w:hyperlink r:id="rId2">
        <w:r>
          <w:rPr>
            <w:rStyle w:val="InternetLink"/>
          </w:rPr>
          <w:t>https://github.com/peakyblinders244/lettutor</w:t>
        </w:r>
      </w:hyperlink>
      <w:r>
        <w:rPr>
          <w:rFonts w:eastAsia="Tahoma" w:cs="Tahoma" w:ascii="Tahoma" w:hAnsi="Tahoma"/>
          <w:b/>
          <w:color w:val="3366FF"/>
          <w:sz w:val="26"/>
          <w:szCs w:val="26"/>
        </w:rPr>
        <w:t xml:space="preserve"> </w:t>
      </w:r>
    </w:p>
    <w:p>
      <w:pPr>
        <w:pStyle w:val="Heading2"/>
        <w:rPr/>
      </w:pPr>
      <w:r>
        <w:rPr/>
        <w:t>BẢNG CHỨC NĂNG(10 điểm)</w:t>
      </w:r>
    </w:p>
    <w:p>
      <w:pPr>
        <w:pStyle w:val="LOnormal"/>
        <w:rPr/>
      </w:pPr>
      <w:r>
        <w:rPr/>
        <w:t>Mỗi chức năng không thực hiện tốt sẽ bị trừ tương ứng với số điểm được điền trong cột TĐ.</w:t>
      </w:r>
    </w:p>
    <w:tbl>
      <w:tblPr>
        <w:tblStyle w:val="Table1"/>
        <w:tblW w:w="919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36"/>
        <w:gridCol w:w="828"/>
        <w:gridCol w:w="1035"/>
        <w:gridCol w:w="542"/>
        <w:gridCol w:w="3253"/>
      </w:tblGrid>
      <w:tr>
        <w:trPr/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Ghi chú</w:t>
            </w:r>
          </w:p>
        </w:tc>
      </w:tr>
      <w:tr>
        <w:trPr/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TĐG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>
        <w:trPr/>
        <w:tc>
          <w:tcPr>
            <w:tcW w:w="35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-3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Kiến trúc của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Báo cáo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Phim hướng dẫn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eastAsia="Tahoma" w:cs="Tahoma" w:ascii="Tahoma" w:hAnsi="Tahoma"/>
                  <w:sz w:val="20"/>
                  <w:szCs w:val="20"/>
                </w:rPr>
                <w:t>https://www.youtube.com/watch?v=OAiAuw1JQCU</w:t>
              </w:r>
            </w:hyperlink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>
        <w:trPr/>
        <w:tc>
          <w:tcPr>
            <w:tcW w:w="35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Đăng nhập vơi Google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Đăng nhập với Facebook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tìm kiếm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Play video của khóa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lịch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Hủy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Hệ thống chi cho hủy buổi học trước 2 tiếng</w:t>
            </w:r>
            <w:bookmarkStart w:id="0" w:name="bookmark=id.gjdgxs"/>
            <w:bookmarkStart w:id="1" w:name="bookmark=id.30j0zll"/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bookmarkEnd w:id="0"/>
            <w:bookmarkEnd w:id="1"/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Gọi video call với Jitsi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i/>
                <w:i/>
                <w:color w:val="7030A0"/>
                <w:sz w:val="20"/>
                <w:szCs w:val="20"/>
              </w:rPr>
            </w:pPr>
            <w:r>
              <w:rPr>
                <w:rFonts w:eastAsia="Tahoma" w:cs="Tahoma" w:ascii="Tahoma" w:hAnsi="Tahoma"/>
                <w:i/>
                <w:color w:val="7030A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Logo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Tìm kiếm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-0.5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giáo trình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CI/CD cho project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CI: +0,5</w:t>
            </w:r>
          </w:p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CD: +0,5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</w:tbl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/>
      </w:pPr>
      <w:r>
        <w:rPr>
          <w:rFonts w:eastAsia="Calibri" w:cs="Calibri"/>
          <w:color w:val="auto"/>
          <w:kern w:val="0"/>
          <w:sz w:val="22"/>
          <w:szCs w:val="22"/>
          <w:lang w:val="en-US" w:eastAsia="zh-CN" w:bidi="hi-IN"/>
        </w:rPr>
        <w:t>Tổng điểm tự đánh giá: 9đ</w:t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720" w:top="1135" w:footer="404" w:bottom="99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320" w:leader="none"/>
        <w:tab w:val="right" w:pos="8640" w:leader="none"/>
        <w:tab w:val="right" w:pos="9639" w:leader="none"/>
      </w:tabs>
      <w:spacing w:lineRule="auto" w:line="240" w:before="240" w:after="200"/>
      <w:rPr>
        <w:rFonts w:ascii="Tahoma" w:hAnsi="Tahoma" w:eastAsia="Tahoma" w:cs="Tahoma"/>
        <w:color w:val="000000"/>
      </w:rPr>
    </w:pPr>
    <w:r>
      <w:rPr>
        <w:rFonts w:eastAsia="Tahoma" w:cs="Tahoma" w:ascii="Tahoma" w:hAnsi="Tahoma"/>
        <w:color w:val="000000"/>
        <w:sz w:val="20"/>
        <w:szCs w:val="20"/>
      </w:rPr>
      <w:t>Lập trình ứng dụng di động nâng cao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tabs>
        <w:tab w:val="clear" w:pos="720"/>
        <w:tab w:val="center" w:pos="4320" w:leader="none"/>
        <w:tab w:val="right" w:pos="8640" w:leader="none"/>
      </w:tabs>
      <w:spacing w:before="0" w:after="20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5080" distB="5715" distL="5715" distR="5080" simplePos="0" locked="0" layoutInCell="0" allowOverlap="1" relativeHeight="5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10325" cy="22225"/>
              <wp:effectExtent l="5715" t="5080" r="5080" b="5715"/>
              <wp:wrapNone/>
              <wp:docPr id="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stroked="t" o:allowincell="f" style="position:absolute;margin-left:-1pt;margin-top:-31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320" w:leader="none"/>
        <w:tab w:val="right" w:pos="8640" w:leader="none"/>
        <w:tab w:val="right" w:pos="9659" w:leader="none"/>
      </w:tabs>
      <w:spacing w:before="0" w:after="200"/>
      <w:rPr>
        <w:rFonts w:ascii="Tahoma" w:hAnsi="Tahoma" w:eastAsia="Tahoma" w:cs="Tahoma"/>
        <w:color w:val="000000"/>
        <w:sz w:val="20"/>
        <w:szCs w:val="20"/>
      </w:rPr>
    </w:pPr>
    <w:r>
      <mc:AlternateContent>
        <mc:Choice Requires="wps">
          <w:drawing>
            <wp:anchor behindDoc="1" distT="5715" distB="5080" distL="5715" distR="5080" simplePos="0" locked="0" layoutInCell="0" allowOverlap="1" relativeHeight="9">
              <wp:simplePos x="0" y="0"/>
              <wp:positionH relativeFrom="column">
                <wp:posOffset>-88900</wp:posOffset>
              </wp:positionH>
              <wp:positionV relativeFrom="paragraph">
                <wp:posOffset>190500</wp:posOffset>
              </wp:positionV>
              <wp:extent cx="6410325" cy="22225"/>
              <wp:effectExtent l="5715" t="5715" r="5080" b="508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stroked="t" o:allowincell="f" style="position:absolute;margin-left:-7pt;margin-top:15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eastAsia="Tahoma" w:cs="Tahoma" w:ascii="Tahoma" w:hAnsi="Tahoma"/>
        <w:color w:val="000000"/>
        <w:sz w:val="20"/>
        <w:szCs w:val="20"/>
      </w:rPr>
      <w:t>Trường Đại học Khoa học Tự nhiên</w:t>
      <w:tab/>
      <w:tab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mbria" w:hAnsi="Cambria" w:eastAsia="Cambria" w:cs="Cambria"/>
      <w:i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0a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0aa0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akyblinders244/lettutor" TargetMode="External"/><Relationship Id="rId3" Type="http://schemas.openxmlformats.org/officeDocument/2006/relationships/hyperlink" Target="https://www.youtube.com/watch?v=OAiAuw1JQCU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myp5elgd3HW9ffhZJb+0TQIZDQ==">AMUW2mXNdOohMfX4QEWgZN1zV1GQ36k/kLtz2U6UMoEwOqmHSYaxHjmLdTQAEO/Dci4Z3kinntMYHPiTDUu/3bBJFXtsniYs2W/4x/ObSLaLEtp6Hnw0EoXj8YTJON9ZeWy9CWhykgLqV6UI+kXm7QnWHGNsGpxt3A==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4</Pages>
  <Words>677</Words>
  <Characters>2533</Characters>
  <CharactersWithSpaces>3029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2020-12-29T08:19:00Z</dcterms:created>
  <dc:creator/>
  <dc:description/>
  <dc:language>en-US</dc:language>
  <cp:lastModifiedBy/>
  <dcterms:modified xsi:type="dcterms:W3CDTF">2023-01-08T19:53:19Z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