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A9C24B" w14:textId="77777777" w:rsidR="000F644C" w:rsidRPr="000F644C" w:rsidRDefault="000F644C" w:rsidP="00047D4D">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0F644C">
        <w:rPr>
          <w:rFonts w:ascii="Times New Roman" w:eastAsia="Times New Roman" w:hAnsi="Times New Roman" w:cs="Times New Roman"/>
          <w:b/>
          <w:bCs/>
          <w:kern w:val="0"/>
          <w:sz w:val="36"/>
          <w:szCs w:val="36"/>
          <w14:ligatures w14:val="none"/>
        </w:rPr>
        <w:t>1. Introduction</w:t>
      </w:r>
    </w:p>
    <w:p w14:paraId="308F9967"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Generative artificial intelligence has rapidly changed the production and circulation of written language. Large language models can now generate grammatically accurate, coherent, and contextually appropriate texts across educational, professional, and everyday settings. Written communication can therefore involve several forms of authorship: fully human composition, fully AI-generated language, or human writing revised and reorganized through AI assistance. These forms are not always visible to readers, making authorship an increasingly uncertain perceptual judgment rather than a directly observable fact.</w:t>
      </w:r>
    </w:p>
    <w:p w14:paraId="0FFCDC50"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Previous research has generally approached this problem as a detection task. Studies have examined whether readers can distinguish human-written from AI-generated texts and whether automated detectors can provide reliable classifications. Human performance is often close to chance or only moderately above chance, while automated systems may produce both false positives and false negatives [1–9]. However, accuracy alone does not explain how readers arrive at their decisions. A reader may label a passage as AI-generated because it is highly fluent, regularly organized, emotionally neutral, generic, or lacking a distinctive personal voice. These perceived characteristics may function as psycholinguistic heuristics even when they do not reliably correspond to the text’s actual source.</w:t>
      </w:r>
    </w:p>
    <w:p w14:paraId="729C9F02"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 problem is especially relevant to bilingual readers. When reading in a second language, readers must perform lexical recognition, syntactic integration, discourse processing, and memory maintenance while operating with varying levels of linguistic proficiency. The same textual features that influence authorship perception may also alter reading fluency, cognitive demands, and memory encoding. Nevertheless, research on AI-text perception has rarely combined authorship judgment with second-language reading and memory measures.</w:t>
      </w:r>
    </w:p>
    <w:p w14:paraId="7D8D0789"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 present study addresses this gap through three research questions:</w:t>
      </w:r>
    </w:p>
    <w:p w14:paraId="2666FDB2"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RQ1:</w:t>
      </w:r>
      <w:r w:rsidRPr="000F644C">
        <w:rPr>
          <w:rFonts w:ascii="Times New Roman" w:eastAsia="Times New Roman" w:hAnsi="Times New Roman" w:cs="Times New Roman"/>
          <w:kern w:val="0"/>
          <w14:ligatures w14:val="none"/>
        </w:rPr>
        <w:t xml:space="preserve"> Which perceived psycholinguistic cues influence Chinese-English bilingual readers’ judgments that an English passage is AI-generated?</w:t>
      </w:r>
    </w:p>
    <w:p w14:paraId="581F50EE"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lastRenderedPageBreak/>
        <w:t>RQ2:</w:t>
      </w:r>
      <w:r w:rsidRPr="000F644C">
        <w:rPr>
          <w:rFonts w:ascii="Times New Roman" w:eastAsia="Times New Roman" w:hAnsi="Times New Roman" w:cs="Times New Roman"/>
          <w:kern w:val="0"/>
          <w14:ligatures w14:val="none"/>
        </w:rPr>
        <w:t xml:space="preserve"> How accurately do bilingual readers distinguish human-written, AI-generated, and human-AI hybrid passages?</w:t>
      </w:r>
    </w:p>
    <w:p w14:paraId="4470AE4D"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RQ3:</w:t>
      </w:r>
      <w:r w:rsidRPr="000F644C">
        <w:rPr>
          <w:rFonts w:ascii="Times New Roman" w:eastAsia="Times New Roman" w:hAnsi="Times New Roman" w:cs="Times New Roman"/>
          <w:kern w:val="0"/>
          <w14:ligatures w14:val="none"/>
        </w:rPr>
        <w:t xml:space="preserve"> Are text condition and perceived authorship associated with differences in L2 reading time, sentence recognition, word-order reconstruction, and reaction time?</w:t>
      </w:r>
    </w:p>
    <w:p w14:paraId="31DB92C5"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A web-based experiment is used to integrate authorship classification, multidimensional linguistic ratings, and memory tasks within a single design. The study seeks to move beyond the question of whether AI can be detected and toward an explanation of how linguistic cues shape authorship perception and L2 text processing.</w:t>
      </w:r>
    </w:p>
    <w:p w14:paraId="4F9A5E64" w14:textId="6305DA13" w:rsidR="000F644C" w:rsidRPr="000F644C" w:rsidRDefault="000F644C" w:rsidP="00047D4D">
      <w:pPr>
        <w:spacing w:after="0" w:line="360" w:lineRule="auto"/>
        <w:rPr>
          <w:rFonts w:ascii="Times New Roman" w:eastAsia="Times New Roman" w:hAnsi="Times New Roman" w:cs="Times New Roman"/>
          <w:kern w:val="0"/>
          <w14:ligatures w14:val="none"/>
        </w:rPr>
      </w:pPr>
    </w:p>
    <w:p w14:paraId="7023FF76" w14:textId="77777777" w:rsidR="000F644C" w:rsidRPr="000F644C" w:rsidRDefault="000F644C" w:rsidP="00047D4D">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0F644C">
        <w:rPr>
          <w:rFonts w:ascii="Times New Roman" w:eastAsia="Times New Roman" w:hAnsi="Times New Roman" w:cs="Times New Roman"/>
          <w:b/>
          <w:bCs/>
          <w:kern w:val="0"/>
          <w:sz w:val="36"/>
          <w:szCs w:val="36"/>
          <w14:ligatures w14:val="none"/>
        </w:rPr>
        <w:t>2. Literature Review and Theoretical Framework</w:t>
      </w:r>
    </w:p>
    <w:p w14:paraId="300C499B" w14:textId="77777777" w:rsidR="000F644C" w:rsidRPr="000F644C" w:rsidRDefault="000F644C" w:rsidP="00047D4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F644C">
        <w:rPr>
          <w:rFonts w:ascii="Times New Roman" w:eastAsia="Times New Roman" w:hAnsi="Times New Roman" w:cs="Times New Roman"/>
          <w:b/>
          <w:bCs/>
          <w:kern w:val="0"/>
          <w:sz w:val="27"/>
          <w:szCs w:val="27"/>
          <w14:ligatures w14:val="none"/>
        </w:rPr>
        <w:t>2.1 The Increasing Uncertainty of Textual Authorship</w:t>
      </w:r>
    </w:p>
    <w:p w14:paraId="62707CD3"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 development of neural language generation has weakened the traditional assumption that fluent and coherent language necessarily signals human authorship. Modern language models generate text by predicting contextually probable linguistic sequences from large-scale training data. Their outputs can reproduce many characteristics associated with human communication, including grammatical control, topical coherence, genre conventions, and stylistic consistency.</w:t>
      </w:r>
    </w:p>
    <w:p w14:paraId="1071895D"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This development has produced what may be described as an authorship uncertainty problem. Readers encounter texts that may have been written entirely by a person, generated by a model, revised by a model, or collaboratively produced through several rounds of human and AI editing. A binary distinction between “human” and “AI” therefore does not fully represent contemporary writing practices. Human-AI hybrid text is especially important because AI-assisted editing may preserve the content and experiences of the original writer while modifying fluency, organization, vocabulary, and tone.</w:t>
      </w:r>
    </w:p>
    <w:p w14:paraId="6EAF7F09"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The inclusion of a hybrid condition consequently serves both theoretical and practical purposes. Theoretically, it allows the study to examine whether readers respond to the actual origin of ideas </w:t>
      </w:r>
      <w:r w:rsidRPr="000F644C">
        <w:rPr>
          <w:rFonts w:ascii="Times New Roman" w:eastAsia="Times New Roman" w:hAnsi="Times New Roman" w:cs="Times New Roman"/>
          <w:kern w:val="0"/>
          <w14:ligatures w14:val="none"/>
        </w:rPr>
        <w:lastRenderedPageBreak/>
        <w:t>or to surface linguistic form. Practically, hybrid writing resembles common uses of generative AI in which a human produces an initial draft and an AI system revises its wording or structure. Research that includes only fully human and fully generated texts may overlook this increasingly common middle category.</w:t>
      </w:r>
    </w:p>
    <w:p w14:paraId="5DA97CB2" w14:textId="77777777" w:rsidR="000F644C" w:rsidRPr="000F644C" w:rsidRDefault="000F644C" w:rsidP="00047D4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F644C">
        <w:rPr>
          <w:rFonts w:ascii="Times New Roman" w:eastAsia="Times New Roman" w:hAnsi="Times New Roman" w:cs="Times New Roman"/>
          <w:b/>
          <w:bCs/>
          <w:kern w:val="0"/>
          <w:sz w:val="27"/>
          <w:szCs w:val="27"/>
          <w14:ligatures w14:val="none"/>
        </w:rPr>
        <w:t>2.2 Human Ability to Identify AI-Generated Text</w:t>
      </w:r>
    </w:p>
    <w:p w14:paraId="4A219F3E"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Evidence from several genres suggests that human readers do not consistently identify machine-generated texts accurately. Clark et al. compared human and GPT-generated stories, news articles, and recipes. Without training, participants distinguished GPT-3 texts from human texts at approximately chance level. Brief training increased accuracy only modestly and did not produce consistent improvements across domains [1]. </w:t>
      </w:r>
    </w:p>
    <w:p w14:paraId="06E6DA8E"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0F644C">
        <w:rPr>
          <w:rFonts w:ascii="Times New Roman" w:eastAsia="Times New Roman" w:hAnsi="Times New Roman" w:cs="Times New Roman"/>
          <w:kern w:val="0"/>
          <w14:ligatures w14:val="none"/>
        </w:rPr>
        <w:t>Köbis</w:t>
      </w:r>
      <w:proofErr w:type="spellEnd"/>
      <w:r w:rsidRPr="000F644C">
        <w:rPr>
          <w:rFonts w:ascii="Times New Roman" w:eastAsia="Times New Roman" w:hAnsi="Times New Roman" w:cs="Times New Roman"/>
          <w:kern w:val="0"/>
          <w14:ligatures w14:val="none"/>
        </w:rPr>
        <w:t xml:space="preserve"> and </w:t>
      </w:r>
      <w:proofErr w:type="spellStart"/>
      <w:r w:rsidRPr="000F644C">
        <w:rPr>
          <w:rFonts w:ascii="Times New Roman" w:eastAsia="Times New Roman" w:hAnsi="Times New Roman" w:cs="Times New Roman"/>
          <w:kern w:val="0"/>
          <w14:ligatures w14:val="none"/>
        </w:rPr>
        <w:t>Mossink</w:t>
      </w:r>
      <w:proofErr w:type="spellEnd"/>
      <w:r w:rsidRPr="000F644C">
        <w:rPr>
          <w:rFonts w:ascii="Times New Roman" w:eastAsia="Times New Roman" w:hAnsi="Times New Roman" w:cs="Times New Roman"/>
          <w:kern w:val="0"/>
          <w14:ligatures w14:val="none"/>
        </w:rPr>
        <w:t xml:space="preserve"> examined human and AI-generated poetry and found that participants could not reliably distinguish selected GPT-2 poems from human-written poems [2]. More recently, Porter and </w:t>
      </w:r>
      <w:proofErr w:type="spellStart"/>
      <w:r w:rsidRPr="000F644C">
        <w:rPr>
          <w:rFonts w:ascii="Times New Roman" w:eastAsia="Times New Roman" w:hAnsi="Times New Roman" w:cs="Times New Roman"/>
          <w:kern w:val="0"/>
          <w14:ligatures w14:val="none"/>
        </w:rPr>
        <w:t>Machery</w:t>
      </w:r>
      <w:proofErr w:type="spellEnd"/>
      <w:r w:rsidRPr="000F644C">
        <w:rPr>
          <w:rFonts w:ascii="Times New Roman" w:eastAsia="Times New Roman" w:hAnsi="Times New Roman" w:cs="Times New Roman"/>
          <w:kern w:val="0"/>
          <w14:ligatures w14:val="none"/>
        </w:rPr>
        <w:t xml:space="preserve"> reported that non-expert readers were even more likely to classify AI-generated poems as human-authored than poems written by well-known human poets. The authors suggested that readers partly relied on accessibility and perceived quality when inferring authorship [3]. </w:t>
      </w:r>
    </w:p>
    <w:p w14:paraId="615B2292"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Performance also varies substantially across individuals. Chein et al. found that participants identified human and AI texts with an average accuracy of approximately 57%, although the distribution of performance was wide. Fluid intelligence predicted some of the variation in discrimination ability, whereas several other individual characteristics did not produce the same relationship [4]. The findings indicate that authorship detection is neither completely random nor uniformly accurate. Instead, readers differ in their ability to locate and interpret textual cues. </w:t>
      </w:r>
    </w:p>
    <w:p w14:paraId="004A2298"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Expertise may not remove the difficulty. Casal and Kessler asked linguists and academic reviewers to distinguish between AI-generated and human academic writing. Their study demonstrated that domain knowledge does not guarantee reliable authorship identification and that reviewers use varied rationales when making judgments [5]. This is especially relevant to educational settings, where confidence in a judgment may exceed its actual accuracy.</w:t>
      </w:r>
    </w:p>
    <w:p w14:paraId="371DD5BF"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lastRenderedPageBreak/>
        <w:t xml:space="preserve">Dugan et al. studied passages that transitioned from human writing to machine-generated continuation. Participants often struggled to locate the point at which authorship changed, although performance varied across readers, genres, models, and generation conditions [6]. Their findings further demonstrate that authorship perception depends on an interaction between textual characteristics and reader-level factors rather than on one universal marker. </w:t>
      </w:r>
    </w:p>
    <w:p w14:paraId="0E9DC088"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Together, these studies establish three important points. First, AI-generated text can often pass as human-written. Second, human judgment is influenced by genre and individual differences. Third, classification accuracy alone provides limited information about the psychological mechanism of the judgment. The present research therefore records not only whether a participant is correct, but also which linguistic dimensions the participant perceives in each passage.</w:t>
      </w:r>
    </w:p>
    <w:p w14:paraId="54EFCF7C" w14:textId="77777777" w:rsidR="000F644C" w:rsidRPr="000F644C" w:rsidRDefault="000F644C" w:rsidP="00047D4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F644C">
        <w:rPr>
          <w:rFonts w:ascii="Times New Roman" w:eastAsia="Times New Roman" w:hAnsi="Times New Roman" w:cs="Times New Roman"/>
          <w:b/>
          <w:bCs/>
          <w:kern w:val="0"/>
          <w:sz w:val="27"/>
          <w:szCs w:val="27"/>
          <w14:ligatures w14:val="none"/>
        </w:rPr>
        <w:t>2.3 Psycholinguistic Heuristics in Authorship Judgment</w:t>
      </w:r>
    </w:p>
    <w:p w14:paraId="0EF7BD17"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When direct knowledge of authorship is unavailable, readers must infer the source from textual evidence. Such inferences may depend on psycholinguistic heuristics: simplified judgment rules based on noticeable features of vocabulary, syntax, discourse structure, emotion, or voice.</w:t>
      </w:r>
    </w:p>
    <w:p w14:paraId="511DC431"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Jakesch et al. provide direct evidence for this mechanism. Across six experiments involving professional, hospitality, and dating self-presentations, participants could not reliably distinguish AI-generated from human-written language. Computational analysis showed that participants associated features such as first-person pronouns, contractions, and family-related topics with human authorship. These cues were intuitive but unreliable and could be manipulated to make AI-generated text appear more human than actual human writing [7]. </w:t>
      </w:r>
    </w:p>
    <w:p w14:paraId="7DFC6569"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This distinction between actual textual source and perceived linguistic character is central to the current study. A passage may be objectively AI-generated but perceived as personal, emotional, and natural. Conversely, a human-written passage may be perceived as formulaic or unusually regular and therefore classified as AI-generated. Authorship perception should consequently be treated as an attribution process rather than a direct reading of objective origin.</w:t>
      </w:r>
    </w:p>
    <w:p w14:paraId="56CB76A3"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lastRenderedPageBreak/>
        <w:t>Several dimensions may contribute to this attribution process. Fluency refers to the perceived smoothness of language processing. Structural regularity concerns the predictability and organization of the passage. Clarity reflects how easily the message can be understood. Emotional expression concerns the apparent presence of affect, while personal voice refers to the impression of an identifiable or individual writer. Genericness captures the extent to which the passage feels reusable or template-like. Naturalness concerns whether the language resembles ordinary human communication.</w:t>
      </w:r>
    </w:p>
    <w:p w14:paraId="5693310B"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These dimensions are related but not identical. A text may be fluent but generic, clear but emotionally distant, or structurally regular while still expressing a personal voice. Measuring each dimension separately avoids treating “AI-like” as a single undefined impression.</w:t>
      </w:r>
    </w:p>
    <w:p w14:paraId="67CD4710"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Crossley’s review of linguistic features in writing evaluation shows that lexical sophistication, syntactic complexity, and cohesion influence judgments of writing quality and development [10]. However, features associated with quality do not necessarily indicate human authorship. Highly cohesive and grammatically controlled writing may be evaluated positively while simultaneously being considered machine-generated. </w:t>
      </w:r>
    </w:p>
    <w:p w14:paraId="492C295F"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 present design therefore separates three constructs:</w:t>
      </w:r>
    </w:p>
    <w:p w14:paraId="3E3C0551" w14:textId="77777777" w:rsidR="000F644C" w:rsidRPr="000F644C" w:rsidRDefault="000F644C" w:rsidP="00047D4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Actual authorship condition</w:t>
      </w:r>
      <w:r w:rsidRPr="000F644C">
        <w:rPr>
          <w:rFonts w:ascii="Times New Roman" w:eastAsia="Times New Roman" w:hAnsi="Times New Roman" w:cs="Times New Roman"/>
          <w:kern w:val="0"/>
          <w14:ligatures w14:val="none"/>
        </w:rPr>
        <w:t xml:space="preserve">, determined by how the passage was produced; </w:t>
      </w:r>
    </w:p>
    <w:p w14:paraId="1FA4CC2B" w14:textId="77777777" w:rsidR="000F644C" w:rsidRPr="000F644C" w:rsidRDefault="000F644C" w:rsidP="00047D4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Perceived authorship</w:t>
      </w:r>
      <w:r w:rsidRPr="000F644C">
        <w:rPr>
          <w:rFonts w:ascii="Times New Roman" w:eastAsia="Times New Roman" w:hAnsi="Times New Roman" w:cs="Times New Roman"/>
          <w:kern w:val="0"/>
          <w14:ligatures w14:val="none"/>
        </w:rPr>
        <w:t xml:space="preserve">, measured through categorical classification and AI-likelihood rating; </w:t>
      </w:r>
    </w:p>
    <w:p w14:paraId="10395C00" w14:textId="77777777" w:rsidR="000F644C" w:rsidRPr="000F644C" w:rsidRDefault="000F644C" w:rsidP="00047D4D">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Perceived psycholinguistic characteristics</w:t>
      </w:r>
      <w:r w:rsidRPr="000F644C">
        <w:rPr>
          <w:rFonts w:ascii="Times New Roman" w:eastAsia="Times New Roman" w:hAnsi="Times New Roman" w:cs="Times New Roman"/>
          <w:kern w:val="0"/>
          <w14:ligatures w14:val="none"/>
        </w:rPr>
        <w:t xml:space="preserve">, measured through seven rating dimensions. </w:t>
      </w:r>
    </w:p>
    <w:p w14:paraId="038B1F54"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This distinction allows the study to test whether readers are responding to true source differences or to perceived stylistic properties that may occur across all three conditions.</w:t>
      </w:r>
    </w:p>
    <w:p w14:paraId="0B3D9D41" w14:textId="77777777" w:rsidR="000F644C" w:rsidRPr="000F644C" w:rsidRDefault="000F644C" w:rsidP="00047D4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F644C">
        <w:rPr>
          <w:rFonts w:ascii="Times New Roman" w:eastAsia="Times New Roman" w:hAnsi="Times New Roman" w:cs="Times New Roman"/>
          <w:b/>
          <w:bCs/>
          <w:kern w:val="0"/>
          <w:sz w:val="27"/>
          <w:szCs w:val="27"/>
          <w14:ligatures w14:val="none"/>
        </w:rPr>
        <w:t>2.4 Human-AI Hybrid Writing as a Separate Condition</w:t>
      </w:r>
    </w:p>
    <w:p w14:paraId="55C681E1"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Much existing research uses a binary comparison between human and AI text. However, AI-assisted writing introduces a continuum of contribution. A human may formulate the content while an AI corrects grammar, reorganizes paragraphs, changes vocabulary, or standardizes tone. </w:t>
      </w:r>
      <w:r w:rsidRPr="000F644C">
        <w:rPr>
          <w:rFonts w:ascii="Times New Roman" w:eastAsia="Times New Roman" w:hAnsi="Times New Roman" w:cs="Times New Roman"/>
          <w:kern w:val="0"/>
          <w14:ligatures w14:val="none"/>
        </w:rPr>
        <w:lastRenderedPageBreak/>
        <w:t>The resulting text cannot be described accurately as either entirely human or entirely AI-generated.</w:t>
      </w:r>
    </w:p>
    <w:p w14:paraId="3B718894"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Automated detection research also demonstrates the importance of edited text. Weber-Wulff et al. tested multiple AI-detection systems and concluded that the tools were not sufficiently reliable, particularly when texts had been translated, paraphrased, or modified [8]. </w:t>
      </w:r>
      <w:proofErr w:type="spellStart"/>
      <w:r w:rsidRPr="000F644C">
        <w:rPr>
          <w:rFonts w:ascii="Times New Roman" w:eastAsia="Times New Roman" w:hAnsi="Times New Roman" w:cs="Times New Roman"/>
          <w:kern w:val="0"/>
          <w14:ligatures w14:val="none"/>
        </w:rPr>
        <w:t>Elkhatat</w:t>
      </w:r>
      <w:proofErr w:type="spellEnd"/>
      <w:r w:rsidRPr="000F644C">
        <w:rPr>
          <w:rFonts w:ascii="Times New Roman" w:eastAsia="Times New Roman" w:hAnsi="Times New Roman" w:cs="Times New Roman"/>
          <w:kern w:val="0"/>
          <w14:ligatures w14:val="none"/>
        </w:rPr>
        <w:t xml:space="preserve"> et al. similarly found differences in detection accuracy across model versions and reported false positives and uncertain classifications for human-written controls [9]. </w:t>
      </w:r>
    </w:p>
    <w:p w14:paraId="0D916891"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Although automated detectors and human readers are not equivalent, both depend on linguistic patterns that can change during editing. A hybrid passage may preserve human experiences and semantic content while acquiring the structural consistency associated with AI output. Alternatively, human revision may introduce irregularity and personal detail into AI-generated language.</w:t>
      </w:r>
    </w:p>
    <w:p w14:paraId="1E652B24"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For this reason, the hybrid condition in the present study is not treated as an undefined mixture. It is produced through a standardized procedure in which an existing human-written passage is revised by AI under controlled instructions. The central events and meaning are retained, while grammar, phrasing, organization, and stylistic presentation may be modified. This procedure creates a meaningful intermediate condition for examining whether authorship perception follows semantic origin, linguistic surface, or both.</w:t>
      </w:r>
    </w:p>
    <w:p w14:paraId="2A34BADA" w14:textId="77777777" w:rsidR="000F644C" w:rsidRPr="000F644C" w:rsidRDefault="000F644C" w:rsidP="00047D4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F644C">
        <w:rPr>
          <w:rFonts w:ascii="Times New Roman" w:eastAsia="Times New Roman" w:hAnsi="Times New Roman" w:cs="Times New Roman"/>
          <w:b/>
          <w:bCs/>
          <w:kern w:val="0"/>
          <w:sz w:val="27"/>
          <w:szCs w:val="27"/>
          <w14:ligatures w14:val="none"/>
        </w:rPr>
        <w:t>2.5 Bilingual Readers and L2 Language Processing</w:t>
      </w:r>
    </w:p>
    <w:p w14:paraId="43F10E91"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Chinese-English bilingual readers process the experimental passages in English as a second language. L2 reading requires the coordination of multiple processes, including word recognition, syntactic analysis, semantic integration, inference, and the maintenance of earlier information while later material is processed.</w:t>
      </w:r>
    </w:p>
    <w:p w14:paraId="11C8B48F"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Bilingual language systems are not completely independent. Kroll et al. argued that the languages known by a bilingual speaker interact within a shared system and that bilingual language use creates consequences for language processing and cognitive control [11]. L2 </w:t>
      </w:r>
      <w:r w:rsidRPr="000F644C">
        <w:rPr>
          <w:rFonts w:ascii="Times New Roman" w:eastAsia="Times New Roman" w:hAnsi="Times New Roman" w:cs="Times New Roman"/>
          <w:kern w:val="0"/>
          <w14:ligatures w14:val="none"/>
        </w:rPr>
        <w:lastRenderedPageBreak/>
        <w:t xml:space="preserve">processing may therefore be influenced by proficiency, exposure, reading frequency, and the interaction between both languages. </w:t>
      </w:r>
    </w:p>
    <w:p w14:paraId="5BC38A4B"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These individual differences may also influence AI-authorship judgments. Readers with lower English proficiency may rely more strongly on surface-level features such as grammatical regularity or familiar vocabulary. More proficient readers may have greater access to pragmatic, stylistic, and emotional information. Similarly, participants who frequently use AI writing tools may possess different expectations about what AI-generated language looks like.</w:t>
      </w:r>
    </w:p>
    <w:p w14:paraId="779D4FDC"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The relevance of bilingualism is also demonstrated by research on automated detection. Liang et al. found that several GPT-detection systems disproportionately misclassified writing by non-native English speakers as AI-generated. The study suggests that linguistic predictability or restricted lexical variation can be incorrectly treated as evidence of machine authorship [12]. Although the present study investigates human rather than automated judgment, the result illustrates why native-language background must be considered when defining supposedly “AI-like” features. </w:t>
      </w:r>
    </w:p>
    <w:p w14:paraId="690DAB59"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Accordingly, the study records participants’ native language, years of English study, self-rated reading proficiency, English-reading frequency, AI-use frequency, and familiarity with AI-generated writing. These variables allow later analysis to determine whether authorship perception and memory performance differ according to linguistic experience.</w:t>
      </w:r>
    </w:p>
    <w:p w14:paraId="4C735BE9" w14:textId="77777777" w:rsidR="000F644C" w:rsidRPr="000F644C" w:rsidRDefault="000F644C" w:rsidP="00047D4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F644C">
        <w:rPr>
          <w:rFonts w:ascii="Times New Roman" w:eastAsia="Times New Roman" w:hAnsi="Times New Roman" w:cs="Times New Roman"/>
          <w:b/>
          <w:bCs/>
          <w:kern w:val="0"/>
          <w:sz w:val="27"/>
          <w:szCs w:val="27"/>
          <w14:ligatures w14:val="none"/>
        </w:rPr>
        <w:t>2.6 Working Memory and L2 Text Memory</w:t>
      </w:r>
    </w:p>
    <w:p w14:paraId="0099C6AD"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Working memory refers to the temporary maintenance and manipulation of information during complex cognitive activity. Baddeley’s multicomponent framework includes the phonological loop, visuospatial sketchpad, central executive, and episodic buffer [13]. In reading, working memory allows earlier words, propositions, and sentence structures to remain active while later information is interpreted and integrated. </w:t>
      </w:r>
    </w:p>
    <w:p w14:paraId="266783D6"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 xml:space="preserve">Working memory is particularly relevant to L2 reading because less-automatized lexical and syntactic processing may consume resources that would otherwise support comprehension and memory. Shin’s meta-analysis of 25 studies found a moderate relationship between working </w:t>
      </w:r>
      <w:r w:rsidRPr="000F644C">
        <w:rPr>
          <w:rFonts w:ascii="Times New Roman" w:eastAsia="Times New Roman" w:hAnsi="Times New Roman" w:cs="Times New Roman"/>
          <w:kern w:val="0"/>
          <w14:ligatures w14:val="none"/>
        </w:rPr>
        <w:lastRenderedPageBreak/>
        <w:t xml:space="preserve">memory and L2 reading comprehension and demonstrated that the measured relationship varied according to task design and scoring procedures [14]. </w:t>
      </w:r>
    </w:p>
    <w:p w14:paraId="6C3969EE"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0F644C">
        <w:rPr>
          <w:rFonts w:ascii="Times New Roman" w:eastAsia="Times New Roman" w:hAnsi="Times New Roman" w:cs="Times New Roman"/>
          <w:kern w:val="0"/>
          <w14:ligatures w14:val="none"/>
        </w:rPr>
        <w:t>In’nami</w:t>
      </w:r>
      <w:proofErr w:type="spellEnd"/>
      <w:r w:rsidRPr="000F644C">
        <w:rPr>
          <w:rFonts w:ascii="Times New Roman" w:eastAsia="Times New Roman" w:hAnsi="Times New Roman" w:cs="Times New Roman"/>
          <w:kern w:val="0"/>
          <w14:ligatures w14:val="none"/>
        </w:rPr>
        <w:t xml:space="preserve">, Hijikata, and Koizumi analyzed 74 studies and similarly identified a significant relationship between working-memory capacity and L2 reading. Their findings emphasized that working-memory task language and reporting practices influence observed relationships [15]. </w:t>
      </w:r>
    </w:p>
    <w:p w14:paraId="71A1B5D9"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 present study does not claim to measure participants’ complete working-memory capacity. Instead, it examines task-specific maintenance and manipulation after reading. Sentence recognition assesses whether textual information remains accessible following a short distractor task. Word-order reconstruction requires participants to retrieve lexical items and reproduce their syntactic arrangement. Reading time and reaction time provide additional behavioral measures of processing.</w:t>
      </w:r>
    </w:p>
    <w:p w14:paraId="63CA3AF1"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Text characteristics may influence these measures in competing ways. A fluent and regularly organized passage may reduce immediate processing difficulty and support faster reading. In contrast, emotionally distinctive or personally voiced language may create stronger memory cues. Because these possibilities are not mutually exclusive, the experiment does not assume that one text condition must produce universally superior memory.</w:t>
      </w:r>
    </w:p>
    <w:p w14:paraId="60442C28" w14:textId="77777777" w:rsidR="000F644C" w:rsidRPr="000F644C" w:rsidRDefault="000F644C" w:rsidP="00047D4D">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F644C">
        <w:rPr>
          <w:rFonts w:ascii="Times New Roman" w:eastAsia="Times New Roman" w:hAnsi="Times New Roman" w:cs="Times New Roman"/>
          <w:b/>
          <w:bCs/>
          <w:kern w:val="0"/>
          <w:sz w:val="27"/>
          <w:szCs w:val="27"/>
          <w14:ligatures w14:val="none"/>
        </w:rPr>
        <w:t>2.7 Research Framework and Hypotheses</w:t>
      </w:r>
    </w:p>
    <w:p w14:paraId="325ED6FE"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 theoretical structure of the study is represented as follows:</w:t>
      </w:r>
    </w:p>
    <w:p w14:paraId="7B6AADA7"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Actual text condition</w:t>
      </w:r>
      <w:r w:rsidRPr="000F644C">
        <w:rPr>
          <w:rFonts w:ascii="Times New Roman" w:eastAsia="Times New Roman" w:hAnsi="Times New Roman" w:cs="Times New Roman"/>
          <w:kern w:val="0"/>
          <w14:ligatures w14:val="none"/>
        </w:rPr>
        <w:br/>
        <w:t xml:space="preserve">→ </w:t>
      </w:r>
      <w:r w:rsidRPr="000F644C">
        <w:rPr>
          <w:rFonts w:ascii="Times New Roman" w:eastAsia="Times New Roman" w:hAnsi="Times New Roman" w:cs="Times New Roman"/>
          <w:b/>
          <w:bCs/>
          <w:kern w:val="0"/>
          <w14:ligatures w14:val="none"/>
        </w:rPr>
        <w:t>Perceived psycholinguistic cues</w:t>
      </w:r>
      <w:r w:rsidRPr="000F644C">
        <w:rPr>
          <w:rFonts w:ascii="Times New Roman" w:eastAsia="Times New Roman" w:hAnsi="Times New Roman" w:cs="Times New Roman"/>
          <w:kern w:val="0"/>
          <w14:ligatures w14:val="none"/>
        </w:rPr>
        <w:br/>
        <w:t xml:space="preserve">→ </w:t>
      </w:r>
      <w:r w:rsidRPr="000F644C">
        <w:rPr>
          <w:rFonts w:ascii="Times New Roman" w:eastAsia="Times New Roman" w:hAnsi="Times New Roman" w:cs="Times New Roman"/>
          <w:b/>
          <w:bCs/>
          <w:kern w:val="0"/>
          <w14:ligatures w14:val="none"/>
        </w:rPr>
        <w:t>Authorship attribution</w:t>
      </w:r>
      <w:r w:rsidRPr="000F644C">
        <w:rPr>
          <w:rFonts w:ascii="Times New Roman" w:eastAsia="Times New Roman" w:hAnsi="Times New Roman" w:cs="Times New Roman"/>
          <w:kern w:val="0"/>
          <w14:ligatures w14:val="none"/>
        </w:rPr>
        <w:br/>
        <w:t xml:space="preserve">→ </w:t>
      </w:r>
      <w:r w:rsidRPr="000F644C">
        <w:rPr>
          <w:rFonts w:ascii="Times New Roman" w:eastAsia="Times New Roman" w:hAnsi="Times New Roman" w:cs="Times New Roman"/>
          <w:b/>
          <w:bCs/>
          <w:kern w:val="0"/>
          <w14:ligatures w14:val="none"/>
        </w:rPr>
        <w:t>L2 reading and memory performance</w:t>
      </w:r>
    </w:p>
    <w:p w14:paraId="4694E8A3"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Participant characteristics, including English proficiency, reading frequency, and AI familiarity, may influence each stage.</w:t>
      </w:r>
    </w:p>
    <w:p w14:paraId="59AD908D"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Figure 1. Proposed research framework</w:t>
      </w:r>
    </w:p>
    <w:p w14:paraId="728F5B2B"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Courier New" w:eastAsia="Times New Roman" w:hAnsi="Courier New" w:cs="Courier New"/>
          <w:kern w:val="0"/>
          <w:sz w:val="20"/>
          <w:szCs w:val="20"/>
          <w14:ligatures w14:val="none"/>
        </w:rPr>
        <w:lastRenderedPageBreak/>
        <w:t>Text condition → Cue perception → Authorship judgment → Reading and memory outcomes</w:t>
      </w:r>
    </w:p>
    <w:p w14:paraId="00A97AAF"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Based on the reviewed literature, the following hypotheses are proposed:</w:t>
      </w:r>
    </w:p>
    <w:p w14:paraId="00D43B02"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H1:</w:t>
      </w:r>
      <w:r w:rsidRPr="000F644C">
        <w:rPr>
          <w:rFonts w:ascii="Times New Roman" w:eastAsia="Times New Roman" w:hAnsi="Times New Roman" w:cs="Times New Roman"/>
          <w:kern w:val="0"/>
          <w14:ligatures w14:val="none"/>
        </w:rPr>
        <w:t xml:space="preserve"> Higher perceived structural regularity and genericness will be associated with higher AI-likelihood ratings.</w:t>
      </w:r>
    </w:p>
    <w:p w14:paraId="68E86E61"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H2:</w:t>
      </w:r>
      <w:r w:rsidRPr="000F644C">
        <w:rPr>
          <w:rFonts w:ascii="Times New Roman" w:eastAsia="Times New Roman" w:hAnsi="Times New Roman" w:cs="Times New Roman"/>
          <w:kern w:val="0"/>
          <w14:ligatures w14:val="none"/>
        </w:rPr>
        <w:t xml:space="preserve"> Higher perceived emotional expression, personal voice, and naturalness will be associated with human-authorship judgments.</w:t>
      </w:r>
    </w:p>
    <w:p w14:paraId="37DF5C7C"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H3:</w:t>
      </w:r>
      <w:r w:rsidRPr="000F644C">
        <w:rPr>
          <w:rFonts w:ascii="Times New Roman" w:eastAsia="Times New Roman" w:hAnsi="Times New Roman" w:cs="Times New Roman"/>
          <w:kern w:val="0"/>
          <w14:ligatures w14:val="none"/>
        </w:rPr>
        <w:t xml:space="preserve"> Participants will display systematic classification biases across human, AI, and hybrid texts rather than consistently identifying all three conditions accurately.</w:t>
      </w:r>
    </w:p>
    <w:p w14:paraId="0EEBD917"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H4:</w:t>
      </w:r>
      <w:r w:rsidRPr="000F644C">
        <w:rPr>
          <w:rFonts w:ascii="Times New Roman" w:eastAsia="Times New Roman" w:hAnsi="Times New Roman" w:cs="Times New Roman"/>
          <w:kern w:val="0"/>
          <w14:ligatures w14:val="none"/>
        </w:rPr>
        <w:t xml:space="preserve"> Human-AI hybrid texts will produce greater classification uncertainty than texts at either end of the authorship continuum.</w:t>
      </w:r>
    </w:p>
    <w:p w14:paraId="08F40B3F"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b/>
          <w:bCs/>
          <w:kern w:val="0"/>
          <w14:ligatures w14:val="none"/>
        </w:rPr>
        <w:t>H5:</w:t>
      </w:r>
      <w:r w:rsidRPr="000F644C">
        <w:rPr>
          <w:rFonts w:ascii="Times New Roman" w:eastAsia="Times New Roman" w:hAnsi="Times New Roman" w:cs="Times New Roman"/>
          <w:kern w:val="0"/>
          <w14:ligatures w14:val="none"/>
        </w:rPr>
        <w:t xml:space="preserve"> Text condition and perceived linguistic characteristics will be associated with differences in reading time, sentence recognition, word-order reconstruction, and reaction time.</w:t>
      </w:r>
    </w:p>
    <w:p w14:paraId="156012BB" w14:textId="77777777" w:rsidR="000F644C" w:rsidRPr="000F644C" w:rsidRDefault="000F644C" w:rsidP="00047D4D">
      <w:pPr>
        <w:spacing w:before="100" w:beforeAutospacing="1" w:after="100" w:afterAutospacing="1" w:line="360" w:lineRule="auto"/>
        <w:rPr>
          <w:rFonts w:ascii="Times New Roman" w:eastAsia="Times New Roman" w:hAnsi="Times New Roman" w:cs="Times New Roman"/>
          <w:kern w:val="0"/>
          <w14:ligatures w14:val="none"/>
        </w:rPr>
      </w:pPr>
      <w:r w:rsidRPr="000F644C">
        <w:rPr>
          <w:rFonts w:ascii="Times New Roman" w:eastAsia="Times New Roman" w:hAnsi="Times New Roman" w:cs="Times New Roman"/>
          <w:kern w:val="0"/>
          <w14:ligatures w14:val="none"/>
        </w:rPr>
        <w:t>The direction of the memory differences remains partly exploratory. Structural fluency may facilitate processing, whereas emotional or stylistic distinctiveness may strengthen encoding.</w:t>
      </w:r>
    </w:p>
    <w:p w14:paraId="1CABF569" w14:textId="77777777" w:rsidR="00356C80" w:rsidRDefault="00356C80" w:rsidP="00047D4D">
      <w:pPr>
        <w:spacing w:line="360" w:lineRule="auto"/>
      </w:pPr>
    </w:p>
    <w:sectPr w:rsidR="00356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3E4844"/>
    <w:multiLevelType w:val="multilevel"/>
    <w:tmpl w:val="16EA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7828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4C"/>
    <w:rsid w:val="00047D4D"/>
    <w:rsid w:val="000F644C"/>
    <w:rsid w:val="002350D8"/>
    <w:rsid w:val="00356C80"/>
    <w:rsid w:val="0046308F"/>
    <w:rsid w:val="00495DC0"/>
    <w:rsid w:val="005E2A9F"/>
    <w:rsid w:val="006B427F"/>
    <w:rsid w:val="007278EC"/>
    <w:rsid w:val="009D7E96"/>
    <w:rsid w:val="00AC21BB"/>
    <w:rsid w:val="00B32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31BC"/>
  <w15:chartTrackingRefBased/>
  <w15:docId w15:val="{D9CA2C32-0A02-2E41-8477-74096B23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6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6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6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6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44C"/>
    <w:rPr>
      <w:rFonts w:eastAsiaTheme="majorEastAsia" w:cstheme="majorBidi"/>
      <w:color w:val="272727" w:themeColor="text1" w:themeTint="D8"/>
    </w:rPr>
  </w:style>
  <w:style w:type="paragraph" w:styleId="Title">
    <w:name w:val="Title"/>
    <w:basedOn w:val="Normal"/>
    <w:next w:val="Normal"/>
    <w:link w:val="TitleChar"/>
    <w:uiPriority w:val="10"/>
    <w:qFormat/>
    <w:rsid w:val="000F6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44C"/>
    <w:pPr>
      <w:spacing w:before="160"/>
      <w:jc w:val="center"/>
    </w:pPr>
    <w:rPr>
      <w:i/>
      <w:iCs/>
      <w:color w:val="404040" w:themeColor="text1" w:themeTint="BF"/>
    </w:rPr>
  </w:style>
  <w:style w:type="character" w:customStyle="1" w:styleId="QuoteChar">
    <w:name w:val="Quote Char"/>
    <w:basedOn w:val="DefaultParagraphFont"/>
    <w:link w:val="Quote"/>
    <w:uiPriority w:val="29"/>
    <w:rsid w:val="000F644C"/>
    <w:rPr>
      <w:i/>
      <w:iCs/>
      <w:color w:val="404040" w:themeColor="text1" w:themeTint="BF"/>
    </w:rPr>
  </w:style>
  <w:style w:type="paragraph" w:styleId="ListParagraph">
    <w:name w:val="List Paragraph"/>
    <w:basedOn w:val="Normal"/>
    <w:uiPriority w:val="34"/>
    <w:qFormat/>
    <w:rsid w:val="000F644C"/>
    <w:pPr>
      <w:ind w:left="720"/>
      <w:contextualSpacing/>
    </w:pPr>
  </w:style>
  <w:style w:type="character" w:styleId="IntenseEmphasis">
    <w:name w:val="Intense Emphasis"/>
    <w:basedOn w:val="DefaultParagraphFont"/>
    <w:uiPriority w:val="21"/>
    <w:qFormat/>
    <w:rsid w:val="000F644C"/>
    <w:rPr>
      <w:i/>
      <w:iCs/>
      <w:color w:val="2F5496" w:themeColor="accent1" w:themeShade="BF"/>
    </w:rPr>
  </w:style>
  <w:style w:type="paragraph" w:styleId="IntenseQuote">
    <w:name w:val="Intense Quote"/>
    <w:basedOn w:val="Normal"/>
    <w:next w:val="Normal"/>
    <w:link w:val="IntenseQuoteChar"/>
    <w:uiPriority w:val="30"/>
    <w:qFormat/>
    <w:rsid w:val="000F6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44C"/>
    <w:rPr>
      <w:i/>
      <w:iCs/>
      <w:color w:val="2F5496" w:themeColor="accent1" w:themeShade="BF"/>
    </w:rPr>
  </w:style>
  <w:style w:type="character" w:styleId="IntenseReference">
    <w:name w:val="Intense Reference"/>
    <w:basedOn w:val="DefaultParagraphFont"/>
    <w:uiPriority w:val="32"/>
    <w:qFormat/>
    <w:rsid w:val="000F644C"/>
    <w:rPr>
      <w:b/>
      <w:bCs/>
      <w:smallCaps/>
      <w:color w:val="2F5496" w:themeColor="accent1" w:themeShade="BF"/>
      <w:spacing w:val="5"/>
    </w:rPr>
  </w:style>
  <w:style w:type="paragraph" w:styleId="NormalWeb">
    <w:name w:val="Normal (Web)"/>
    <w:basedOn w:val="Normal"/>
    <w:uiPriority w:val="99"/>
    <w:semiHidden/>
    <w:unhideWhenUsed/>
    <w:rsid w:val="000F6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644C"/>
    <w:rPr>
      <w:b/>
      <w:bCs/>
    </w:rPr>
  </w:style>
  <w:style w:type="character" w:styleId="HTMLCode">
    <w:name w:val="HTML Code"/>
    <w:basedOn w:val="DefaultParagraphFont"/>
    <w:uiPriority w:val="99"/>
    <w:semiHidden/>
    <w:unhideWhenUsed/>
    <w:rsid w:val="000F64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2668</Words>
  <Characters>15210</Characters>
  <Application>Microsoft Office Word</Application>
  <DocSecurity>0</DocSecurity>
  <Lines>126</Lines>
  <Paragraphs>35</Paragraphs>
  <ScaleCrop>false</ScaleCrop>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Jiaheng Zhang</dc:creator>
  <cp:keywords/>
  <dc:description/>
  <cp:lastModifiedBy>Jiaheng Zhang</cp:lastModifiedBy>
  <cp:revision>3</cp:revision>
  <dcterms:created xsi:type="dcterms:W3CDTF">2026-08-05T11:32:00Z</dcterms:created>
  <dcterms:modified xsi:type="dcterms:W3CDTF">2026-08-05T12:35:00Z</dcterms:modified>
</cp:coreProperties>
</file>