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RailFlow AI</w:t>
      </w:r>
    </w:p>
    <w:p>
      <w:pPr>
        <w:jc w:val="center"/>
      </w:pPr>
      <w:r>
        <w:rPr>
          <w:b/>
          <w:color w:val="E87522"/>
          <w:sz w:val="30"/>
        </w:rPr>
        <w:t>AI Maintenance Scheduler for Railway Track Access</w:t>
      </w:r>
    </w:p>
    <w:p>
      <w:pPr>
        <w:jc w:val="center"/>
      </w:pPr>
      <w:r>
        <w:t>Nebula X Hackathon — Problem Statement 1</w:t>
        <w:br/>
        <w:t>Ritikaa · Minchai Kwak · Lim Yi Ning</w:t>
      </w:r>
    </w:p>
    <w:p>
      <w:r>
        <w:t>RailFlow AI is a decision-support tool that converts competing engineering access requests into an explainable possession-planning workflow. It is designed around the competition’s strict railway constraints while giving a works controller clear conflict flags, alternatives, and emergency-replanning context.</w:t>
      </w:r>
    </w:p>
    <w:p>
      <w:pPr>
        <w:pStyle w:val="Heading1"/>
      </w:pPr>
      <w:r>
        <w:t>Problem</w:t>
      </w:r>
    </w:p>
    <w:p>
      <w:r>
        <w:t>Rail engineering work is compressed into short non-service windows. Multiple contracts compete for the same sectors while planners must simultaneously respect physical occupancy, possession compatibility, safety buffers, live-rail effects, weekly access caps, workfront limits, planned start dates and dependencies. Manual resolution is slow and becomes especially difficult when urgent maintenance changes available capacity.</w:t>
      </w:r>
    </w:p>
    <w:p>
      <w:pPr>
        <w:pStyle w:val="Heading1"/>
      </w:pPr>
      <w:r>
        <w:t>Solution</w:t>
      </w:r>
    </w:p>
    <w:p>
      <w:r>
        <w:t>RailFlow AI provides one planner-facing interface for request intake, constraint checks, schedule review and explainability. The workflow first validates the instance, detects dependencies and conflicts, then ranks feasible scheduling options. For an emergency, the same constraints are re-evaluated against the changed supply and displaced work is surfaced for human confirmation rather than silently moved.</w:t>
      </w:r>
    </w:p>
    <w:p>
      <w:pPr>
        <w:pStyle w:val="Heading1"/>
      </w:pPr>
      <w:r>
        <w:t>Constraint model</w:t>
      </w:r>
    </w:p>
    <w:tbl>
      <w:tblPr>
        <w:tblW w:type="auto" w:w="0"/>
        <w:tblLayout w:type="fixed"/>
        <w:tblLook w:firstColumn="1" w:firstRow="1" w:lastColumn="0" w:lastRow="0" w:noHBand="0" w:noVBand="1" w:val="04A0"/>
      </w:tblPr>
      <w:tblGrid>
        <w:gridCol w:w="3024"/>
        <w:gridCol w:w="6768"/>
      </w:tblGrid>
      <w:tr>
        <w:tc>
          <w:tcPr>
            <w:tcW w:type="dxa" w:w="4968"/>
            <w:shd w:fill="0F2742"/>
          </w:tcPr>
          <w:p>
            <w:r>
              <w:rPr>
                <w:b/>
                <w:color w:val="FFFFFF"/>
              </w:rPr>
              <w:t>Constraint</w:t>
            </w:r>
          </w:p>
        </w:tc>
        <w:tc>
          <w:tcPr>
            <w:tcW w:type="dxa" w:w="4968"/>
            <w:shd w:fill="0F2742"/>
          </w:tcPr>
          <w:p>
            <w:r>
              <w:rPr>
                <w:b/>
                <w:color w:val="FFFFFF"/>
              </w:rPr>
              <w:t>How RailFlow AI handles it</w:t>
            </w:r>
          </w:p>
        </w:tc>
      </w:tr>
      <w:tr>
        <w:tc>
          <w:tcPr>
            <w:tcW w:type="dxa" w:w="3024"/>
          </w:tcPr>
          <w:p>
            <w:r>
              <w:t>Workload &amp; planned start</w:t>
            </w:r>
          </w:p>
        </w:tc>
        <w:tc>
          <w:tcPr>
            <w:tcW w:type="dxa" w:w="6768"/>
          </w:tcPr>
          <w:p>
            <w:r>
              <w:t>Schedule every activity’s required access workload and never begin before its planned start.</w:t>
            </w:r>
          </w:p>
        </w:tc>
      </w:tr>
      <w:tr>
        <w:tc>
          <w:tcPr>
            <w:tcW w:type="dxa" w:w="3024"/>
          </w:tcPr>
          <w:p>
            <w:r>
              <w:t>Predecessors</w:t>
            </w:r>
          </w:p>
        </w:tc>
        <w:tc>
          <w:tcPr>
            <w:tcW w:type="dxa" w:w="6768"/>
          </w:tcPr>
          <w:p>
            <w:r>
              <w:t>Use predecessor_activity_id as finish-to-start, zero-lag: the successor starts only in a week strictly later than the predecessor’s final access week.</w:t>
            </w:r>
          </w:p>
        </w:tc>
      </w:tr>
      <w:tr>
        <w:tc>
          <w:tcPr>
            <w:tcW w:type="dxa" w:w="3024"/>
          </w:tcPr>
          <w:p>
            <w:r>
              <w:t>Sector / platform capacity</w:t>
            </w:r>
          </w:p>
        </w:tc>
        <w:tc>
          <w:tcPr>
            <w:tcW w:type="dxa" w:w="6768"/>
          </w:tcPr>
          <w:p>
            <w:r>
              <w:t>Check usable maintenance windows, blackout/supply limits and expanded occupancy across all affected locations.</w:t>
            </w:r>
          </w:p>
        </w:tc>
      </w:tr>
      <w:tr>
        <w:tc>
          <w:tcPr>
            <w:tcW w:type="dxa" w:w="3024"/>
          </w:tcPr>
          <w:p>
            <w:r>
              <w:t>Compatibility &amp; buffers</w:t>
            </w:r>
          </w:p>
        </w:tc>
        <w:tc>
          <w:tcPr>
            <w:tcW w:type="dxa" w:w="6768"/>
          </w:tcPr>
          <w:p>
            <w:r>
              <w:t>Model PM/PC/C sharing rules and exclusion buffers so incompatible work cannot occupy unsafe space.</w:t>
            </w:r>
          </w:p>
        </w:tc>
      </w:tr>
      <w:tr>
        <w:tc>
          <w:tcPr>
            <w:tcW w:type="dxa" w:w="3024"/>
          </w:tcPr>
          <w:p>
            <w:r>
              <w:t>Live rail</w:t>
            </w:r>
          </w:p>
        </w:tc>
        <w:tc>
          <w:tcPr>
            <w:tcW w:type="dxa" w:w="6768"/>
          </w:tcPr>
          <w:p>
            <w:r>
              <w:t>Account for opposite-bound mirroring and interchange effects when traction power is isolated.</w:t>
            </w:r>
          </w:p>
        </w:tc>
      </w:tr>
      <w:tr>
        <w:tc>
          <w:tcPr>
            <w:tcW w:type="dxa" w:w="3024"/>
          </w:tcPr>
          <w:p>
            <w:r>
              <w:t>Contract resources</w:t>
            </w:r>
          </w:p>
        </w:tc>
        <w:tc>
          <w:tcPr>
            <w:tcW w:type="dxa" w:w="6768"/>
          </w:tcPr>
          <w:p>
            <w:r>
              <w:t>Respect weekly access caps and maximum concurrent workfronts.</w:t>
            </w:r>
          </w:p>
        </w:tc>
      </w:tr>
      <w:tr>
        <w:tc>
          <w:tcPr>
            <w:tcW w:type="dxa" w:w="3024"/>
          </w:tcPr>
          <w:p>
            <w:r>
              <w:t>Optimisation</w:t>
            </w:r>
          </w:p>
        </w:tc>
        <w:tc>
          <w:tcPr>
            <w:tcW w:type="dxa" w:w="6768"/>
          </w:tcPr>
          <w:p>
            <w:r>
              <w:t>Minimise priority-weighted completion overrun; emergency replanning additionally minimises churn to already-booked work.</w:t>
            </w:r>
          </w:p>
        </w:tc>
      </w:tr>
    </w:tbl>
    <w:p>
      <w:pPr>
        <w:pStyle w:val="Heading1"/>
      </w:pPr>
      <w:r>
        <w:t>What makes it different</w:t>
      </w:r>
    </w:p>
    <w:p>
      <w:r>
        <w:t>The focus is not simply “AI picks a date”. RailFlow AI separates hard feasibility from soft optimisation and explains the reason behind each recommendation. A controller can see whether a move is driven by a predecessor, capacity, safety buffer, live-rail closure, weekly cap or priority trade-off. This creates an auditable human-in-the-loop workflow suitable for operational planning.</w:t>
      </w:r>
    </w:p>
    <w:p>
      <w:pPr>
        <w:pStyle w:val="Heading1"/>
      </w:pPr>
      <w:r>
        <w:t>User experience</w:t>
      </w:r>
    </w:p>
    <w:p>
      <w:r>
        <w:t>1. Upload the eight instance CSVs or submit a maintenance request.</w:t>
      </w:r>
    </w:p>
    <w:p>
      <w:r>
        <w:t>2. Validate schema, planned-start dates and predecessor references.</w:t>
      </w:r>
    </w:p>
    <w:p>
      <w:r>
        <w:t>3. Detect conflicting access, capacity and possession constraints.</w:t>
      </w:r>
    </w:p>
    <w:p>
      <w:r>
        <w:t>4. Present the recommended slot plus the next-best feasible alternative and reason codes.</w:t>
      </w:r>
    </w:p>
    <w:p>
      <w:r>
        <w:t>5. In emergency mode, re-optimise after a capacity change and highlight bumped work for approval.</w:t>
      </w:r>
    </w:p>
    <w:p>
      <w:r>
        <w:t>6. Export SCHEDULE_ACCESS.csv, SCHEDULE_OCCUPANCY.csv and RESULTS.csv.</w:t>
      </w:r>
    </w:p>
    <w:p>
      <w:pPr>
        <w:pStyle w:val="Heading1"/>
      </w:pPr>
      <w:r>
        <w:t>Technology stack</w:t>
      </w:r>
    </w:p>
    <w:p>
      <w:r>
        <w:t>Prototype UI: Streamlit. Data processing: Python and pandas. Submission format: CSV. Deployment: Streamlit Community Cloud (or any Python web host). The optimisation architecture is constraint-first and is designed to support a mathematical solver/CP-SAT engine behind the same interface.</w:t>
      </w:r>
    </w:p>
    <w:p>
      <w:pPr>
        <w:pStyle w:val="Heading1"/>
      </w:pPr>
      <w:r>
        <w:t>Competition clarification incorporated</w:t>
      </w:r>
    </w:p>
    <w:p>
      <w:r>
        <w:rPr>
          <w:b/>
        </w:rPr>
        <w:t xml:space="preserve">Predecessor rule: </w:t>
      </w:r>
      <w:r>
        <w:t>predecessor_activity_id is explicitly surfaced in the UI and treated as an FS+0 dependency. This prevents downstream signalling/renewal-style work from being scheduled before its prerequisite activity has finished.</w:t>
      </w:r>
    </w:p>
    <w:p>
      <w:pPr>
        <w:pStyle w:val="Heading1"/>
      </w:pPr>
      <w:r>
        <w:t>Prototype and public-test status</w:t>
      </w:r>
    </w:p>
    <w:p>
      <w:r>
        <w:t>The submission package includes the required public-test CSVs in the published schema and a working Streamlit prototype for dashboarding, predecessor checks, hidden-instance upload validation and explainability. The public result files bundled in the package are the organiser-provided feasible reference-format schedule. The hidden-instance upload is a prototype validation workflow; a full optimisation engine should be connected before representing the app as a validated hidden-instance solver.</w:t>
      </w:r>
    </w:p>
    <w:p>
      <w:pPr>
        <w:pStyle w:val="Heading1"/>
      </w:pPr>
      <w:r>
        <w:t>Impact</w:t>
      </w:r>
    </w:p>
    <w:p>
      <w:r>
        <w:t>RailFlow AI reduces the coordination burden by turning rules and trade-offs into a repeatable workflow: detect, explain, recommend, re-plan and export. The same architecture can later incorporate engineer skills/availability, tools and inventory, vendor contacts, workload fairness and cost trends without changing the core scheduling experience.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6B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875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F2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