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09884E" w14:textId="77777777" w:rsidR="00CD5294" w:rsidRPr="00862867" w:rsidRDefault="00CD5294" w:rsidP="00CD5294">
      <w:pPr>
        <w:rPr>
          <w:rFonts w:ascii="Arial" w:hAnsi="Arial" w:cs="Arial"/>
          <w:b/>
          <w:bCs/>
          <w:color w:val="000000" w:themeColor="text1"/>
          <w:sz w:val="36"/>
          <w:szCs w:val="36"/>
        </w:rPr>
      </w:pPr>
      <w:r w:rsidRPr="00862867">
        <w:rPr>
          <w:rFonts w:ascii="Arial" w:hAnsi="Arial" w:cs="Arial"/>
          <w:b/>
          <w:bCs/>
          <w:color w:val="000000" w:themeColor="text1"/>
          <w:sz w:val="36"/>
          <w:szCs w:val="36"/>
        </w:rPr>
        <w:t>Commodity-Linked FX Underreaction: Do Large Commodity Moves Predict Next-Week Returns in CAD, NOK and AUD?</w:t>
      </w:r>
    </w:p>
    <w:p w14:paraId="6D905954" w14:textId="78F588CC" w:rsidR="008F1412" w:rsidRPr="00862867" w:rsidRDefault="008F1412" w:rsidP="008F1412">
      <w:pPr>
        <w:rPr>
          <w:rFonts w:ascii="Arial" w:hAnsi="Arial" w:cs="Arial"/>
        </w:rPr>
      </w:pPr>
      <w:r w:rsidRPr="00862867">
        <w:rPr>
          <w:rFonts w:ascii="Arial" w:hAnsi="Arial" w:cs="Arial"/>
        </w:rPr>
        <w:t>Tsz Lok Pierson Chu · Submitted October 2</w:t>
      </w:r>
      <w:r w:rsidR="00CA6FF4">
        <w:rPr>
          <w:rFonts w:ascii="Arial" w:hAnsi="Arial" w:cs="Arial"/>
        </w:rPr>
        <w:t>4</w:t>
      </w:r>
    </w:p>
    <w:p w14:paraId="33641B48" w14:textId="121FD6B6" w:rsidR="00CD5294" w:rsidRPr="00862867" w:rsidRDefault="008F1412" w:rsidP="008F1412">
      <w:pPr>
        <w:rPr>
          <w:rFonts w:ascii="Arial" w:hAnsi="Arial" w:cs="Arial"/>
        </w:rPr>
      </w:pPr>
      <w:r w:rsidRPr="00862867">
        <w:rPr>
          <w:rFonts w:ascii="Arial" w:hAnsi="Arial" w:cs="Arial"/>
          <w:b/>
          <w:bCs/>
          <w:sz w:val="32"/>
          <w:szCs w:val="32"/>
        </w:rPr>
        <w:t xml:space="preserve">1. </w:t>
      </w:r>
      <w:r w:rsidR="00CD5294" w:rsidRPr="00862867">
        <w:rPr>
          <w:rFonts w:ascii="Arial" w:hAnsi="Arial" w:cs="Arial"/>
          <w:b/>
          <w:bCs/>
          <w:sz w:val="32"/>
          <w:szCs w:val="32"/>
        </w:rPr>
        <w:t>Hypothesis Pitch</w:t>
      </w:r>
    </w:p>
    <w:p w14:paraId="7BFDDD24" w14:textId="63524291" w:rsidR="00CD5294" w:rsidRPr="00862867" w:rsidRDefault="00824997" w:rsidP="00CD5294">
      <w:pPr>
        <w:rPr>
          <w:rFonts w:ascii="Arial" w:hAnsi="Arial" w:cs="Arial"/>
        </w:rPr>
      </w:pPr>
      <w:r w:rsidRPr="00862867">
        <w:rPr>
          <w:rFonts w:ascii="Arial" w:hAnsi="Arial" w:cs="Arial"/>
        </w:rPr>
        <w:t xml:space="preserve">Gradual information diffusion has been well documented in equities, particularly with one market predicting another or oil predicting the direction stock reactions with a lag (e.g. "Striking oil: Another puzzle?" by </w:t>
      </w:r>
      <w:proofErr w:type="spellStart"/>
      <w:r w:rsidRPr="00862867">
        <w:rPr>
          <w:rFonts w:ascii="Arial" w:hAnsi="Arial" w:cs="Arial"/>
        </w:rPr>
        <w:t>Driesprong</w:t>
      </w:r>
      <w:proofErr w:type="spellEnd"/>
      <w:r w:rsidRPr="00862867">
        <w:rPr>
          <w:rFonts w:ascii="Arial" w:hAnsi="Arial" w:cs="Arial"/>
        </w:rPr>
        <w:t xml:space="preserve">, G., Jacobsen, B. &amp; Maat, B.).  The inspiration for this investigation follows in a similar </w:t>
      </w:r>
      <w:r w:rsidR="00F472F5" w:rsidRPr="00862867">
        <w:rPr>
          <w:rFonts w:ascii="Arial" w:hAnsi="Arial" w:cs="Arial"/>
        </w:rPr>
        <w:t>footstep but</w:t>
      </w:r>
      <w:r w:rsidRPr="00862867">
        <w:rPr>
          <w:rFonts w:ascii="Arial" w:hAnsi="Arial" w:cs="Arial"/>
        </w:rPr>
        <w:t xml:space="preserve"> applied to FX rather than equities. The reason I wanted to apply this to FX is because it is supposed to be the most traded asset in the world (at ~7 trillion a day or ~40x daily equities trading volume), as such I wanted to see whether market efficiency is reached at a speed such that it makes these dislocations in commodity prices get priced in quicker than equities (if there is any profits to be made from the relationship of these assets at all). </w:t>
      </w:r>
      <w:r w:rsidRPr="00862867">
        <w:rPr>
          <w:rFonts w:ascii="Arial" w:hAnsi="Arial" w:cs="Arial"/>
          <w:b/>
          <w:bCs/>
        </w:rPr>
        <w:t>In essence the hypothesis is that</w:t>
      </w:r>
      <w:r w:rsidR="00583FDE" w:rsidRPr="00862867">
        <w:rPr>
          <w:rFonts w:ascii="Arial" w:hAnsi="Arial" w:cs="Arial"/>
          <w:b/>
          <w:bCs/>
        </w:rPr>
        <w:t xml:space="preserve"> the drift back to a fair price </w:t>
      </w:r>
      <w:r w:rsidRPr="00862867">
        <w:rPr>
          <w:rFonts w:ascii="Arial" w:hAnsi="Arial" w:cs="Arial"/>
          <w:b/>
          <w:bCs/>
        </w:rPr>
        <w:t>may</w:t>
      </w:r>
      <w:r w:rsidR="00583FDE" w:rsidRPr="00862867">
        <w:rPr>
          <w:rFonts w:ascii="Arial" w:hAnsi="Arial" w:cs="Arial"/>
          <w:b/>
          <w:bCs/>
        </w:rPr>
        <w:t xml:space="preserve"> take several days to materialise, which presents an opportunity to capture this drift as profit. </w:t>
      </w:r>
    </w:p>
    <w:p w14:paraId="16C973C3" w14:textId="65AD2CD6" w:rsidR="00583FDE" w:rsidRPr="00862867" w:rsidRDefault="00B107ED" w:rsidP="00CD5294">
      <w:pPr>
        <w:rPr>
          <w:rFonts w:ascii="Arial" w:hAnsi="Arial" w:cs="Arial"/>
        </w:rPr>
      </w:pPr>
      <w:r w:rsidRPr="00862867">
        <w:rPr>
          <w:rFonts w:ascii="Arial" w:hAnsi="Arial" w:cs="Arial"/>
        </w:rPr>
        <w:t>This hypothesis can be proven wrong through a few criteria:</w:t>
      </w:r>
    </w:p>
    <w:p w14:paraId="292BA0E5" w14:textId="1CAF74F0" w:rsidR="00B107ED" w:rsidRPr="00862867" w:rsidRDefault="00B107ED" w:rsidP="00B107ED">
      <w:pPr>
        <w:pStyle w:val="ListParagraph"/>
        <w:numPr>
          <w:ilvl w:val="0"/>
          <w:numId w:val="1"/>
        </w:numPr>
        <w:rPr>
          <w:rFonts w:ascii="Arial" w:hAnsi="Arial" w:cs="Arial"/>
        </w:rPr>
      </w:pPr>
      <w:r w:rsidRPr="00862867">
        <w:rPr>
          <w:rFonts w:ascii="Arial" w:hAnsi="Arial" w:cs="Arial"/>
        </w:rPr>
        <w:t>Lagged commodity moves don't predict next-week FX out-of-sample, meaning that any out of sample testing reveals no positive result</w:t>
      </w:r>
    </w:p>
    <w:p w14:paraId="79D69B4C" w14:textId="77777777" w:rsidR="00F472F5" w:rsidRPr="00862867" w:rsidRDefault="00B107ED" w:rsidP="00F472F5">
      <w:pPr>
        <w:pStyle w:val="ListParagraph"/>
        <w:numPr>
          <w:ilvl w:val="0"/>
          <w:numId w:val="1"/>
        </w:numPr>
        <w:rPr>
          <w:rFonts w:ascii="Arial" w:hAnsi="Arial" w:cs="Arial"/>
        </w:rPr>
      </w:pPr>
      <w:r w:rsidRPr="00862867">
        <w:rPr>
          <w:rFonts w:ascii="Arial" w:hAnsi="Arial" w:cs="Arial"/>
        </w:rPr>
        <w:t>Profits disappear after transaction costs; the FX and commodity markets are so closely watched that any profits disappear once transaction costs are factored</w:t>
      </w:r>
    </w:p>
    <w:p w14:paraId="7581B169" w14:textId="02A4170F" w:rsidR="008F1412" w:rsidRPr="00862867" w:rsidRDefault="00B107ED" w:rsidP="008F1412">
      <w:pPr>
        <w:pStyle w:val="ListParagraph"/>
        <w:numPr>
          <w:ilvl w:val="0"/>
          <w:numId w:val="1"/>
        </w:numPr>
        <w:rPr>
          <w:rFonts w:ascii="Arial" w:hAnsi="Arial" w:cs="Arial"/>
        </w:rPr>
      </w:pPr>
      <w:r w:rsidRPr="00862867">
        <w:rPr>
          <w:rFonts w:ascii="Arial" w:hAnsi="Arial" w:cs="Arial"/>
        </w:rPr>
        <w:t>Predictability disappears once the signal is dollar-adjusted, meaning that this is just a broader FX cycle that is affected by the USD</w:t>
      </w:r>
    </w:p>
    <w:p w14:paraId="08C5A9FE" w14:textId="77777777" w:rsidR="008F1412" w:rsidRPr="00862867" w:rsidRDefault="008F1412" w:rsidP="008F1412">
      <w:pPr>
        <w:rPr>
          <w:rFonts w:ascii="Arial" w:hAnsi="Arial" w:cs="Arial"/>
        </w:rPr>
      </w:pPr>
    </w:p>
    <w:p w14:paraId="75D6FF3A" w14:textId="23A40600" w:rsidR="008F1412" w:rsidRPr="00862867" w:rsidRDefault="008F1412" w:rsidP="008F1412">
      <w:pPr>
        <w:rPr>
          <w:rFonts w:ascii="Arial" w:hAnsi="Arial" w:cs="Arial"/>
          <w:b/>
          <w:bCs/>
          <w:sz w:val="32"/>
          <w:szCs w:val="32"/>
        </w:rPr>
      </w:pPr>
      <w:r w:rsidRPr="00862867">
        <w:rPr>
          <w:rFonts w:ascii="Arial" w:hAnsi="Arial" w:cs="Arial"/>
          <w:b/>
          <w:bCs/>
          <w:sz w:val="32"/>
          <w:szCs w:val="32"/>
        </w:rPr>
        <w:t>2. Data Pipeline</w:t>
      </w:r>
    </w:p>
    <w:p w14:paraId="16F5FA1C" w14:textId="77777777" w:rsidR="00153C53" w:rsidRPr="00862867" w:rsidRDefault="008F1412" w:rsidP="008F1412">
      <w:pPr>
        <w:rPr>
          <w:rFonts w:ascii="Arial" w:hAnsi="Arial" w:cs="Arial"/>
        </w:rPr>
      </w:pPr>
      <w:r w:rsidRPr="00862867">
        <w:rPr>
          <w:rFonts w:ascii="Arial" w:hAnsi="Arial" w:cs="Arial"/>
          <w:b/>
          <w:bCs/>
        </w:rPr>
        <w:t>Universe and sources</w:t>
      </w:r>
    </w:p>
    <w:p w14:paraId="48D5AE60" w14:textId="43AB838B" w:rsidR="008F1412" w:rsidRPr="00862867" w:rsidRDefault="00153C53" w:rsidP="008F1412">
      <w:pPr>
        <w:rPr>
          <w:rFonts w:ascii="Arial" w:hAnsi="Arial" w:cs="Arial"/>
        </w:rPr>
      </w:pPr>
      <w:r w:rsidRPr="00862867">
        <w:rPr>
          <w:rFonts w:ascii="Arial" w:hAnsi="Arial" w:cs="Arial"/>
        </w:rPr>
        <w:t xml:space="preserve">We use </w:t>
      </w:r>
      <w:r w:rsidR="008F1412" w:rsidRPr="00862867">
        <w:rPr>
          <w:rFonts w:ascii="Arial" w:hAnsi="Arial" w:cs="Arial"/>
        </w:rPr>
        <w:t xml:space="preserve">three liquid commodity currencies paired with one commodity future, and a control </w:t>
      </w:r>
      <w:r w:rsidRPr="00862867">
        <w:rPr>
          <w:rFonts w:ascii="Arial" w:hAnsi="Arial" w:cs="Arial"/>
        </w:rPr>
        <w:t xml:space="preserve">using the US Dollar, all accessed through Yahoo Finance API: </w:t>
      </w:r>
    </w:p>
    <w:p w14:paraId="11856728" w14:textId="77777777" w:rsidR="008F1412" w:rsidRPr="00862867" w:rsidRDefault="008F1412" w:rsidP="008F1412">
      <w:pPr>
        <w:pStyle w:val="ListParagraph"/>
        <w:numPr>
          <w:ilvl w:val="0"/>
          <w:numId w:val="8"/>
        </w:numPr>
        <w:rPr>
          <w:rFonts w:ascii="Arial" w:hAnsi="Arial" w:cs="Arial"/>
        </w:rPr>
      </w:pPr>
      <w:r w:rsidRPr="00862867">
        <w:rPr>
          <w:rFonts w:ascii="Arial" w:hAnsi="Arial" w:cs="Arial"/>
        </w:rPr>
        <w:t>CAD with WTI crude oil (CL=F)</w:t>
      </w:r>
    </w:p>
    <w:p w14:paraId="3DCE3CFA" w14:textId="77777777" w:rsidR="008F1412" w:rsidRPr="00862867" w:rsidRDefault="008F1412" w:rsidP="008F1412">
      <w:pPr>
        <w:pStyle w:val="ListParagraph"/>
        <w:numPr>
          <w:ilvl w:val="0"/>
          <w:numId w:val="8"/>
        </w:numPr>
        <w:rPr>
          <w:rFonts w:ascii="Arial" w:hAnsi="Arial" w:cs="Arial"/>
        </w:rPr>
      </w:pPr>
      <w:r w:rsidRPr="00862867">
        <w:rPr>
          <w:rFonts w:ascii="Arial" w:hAnsi="Arial" w:cs="Arial"/>
        </w:rPr>
        <w:t>NOK with Brent crude oil (BZ=F)</w:t>
      </w:r>
    </w:p>
    <w:p w14:paraId="78EF7874" w14:textId="6B447F22" w:rsidR="008F1412" w:rsidRPr="00862867" w:rsidRDefault="008F1412" w:rsidP="008F1412">
      <w:pPr>
        <w:pStyle w:val="ListParagraph"/>
        <w:numPr>
          <w:ilvl w:val="0"/>
          <w:numId w:val="8"/>
        </w:numPr>
        <w:rPr>
          <w:rFonts w:ascii="Arial" w:hAnsi="Arial" w:cs="Arial"/>
        </w:rPr>
      </w:pPr>
      <w:r w:rsidRPr="00862867">
        <w:rPr>
          <w:rFonts w:ascii="Arial" w:hAnsi="Arial" w:cs="Arial"/>
        </w:rPr>
        <w:t>AUD with copper (HG=F)</w:t>
      </w:r>
    </w:p>
    <w:p w14:paraId="778BB23C" w14:textId="03F8B7D7" w:rsidR="00153C53" w:rsidRPr="00862867" w:rsidRDefault="00153C53" w:rsidP="008F1412">
      <w:pPr>
        <w:pStyle w:val="ListParagraph"/>
        <w:numPr>
          <w:ilvl w:val="0"/>
          <w:numId w:val="8"/>
        </w:numPr>
        <w:rPr>
          <w:rFonts w:ascii="Arial" w:hAnsi="Arial" w:cs="Arial"/>
        </w:rPr>
      </w:pPr>
      <w:r w:rsidRPr="00862867">
        <w:rPr>
          <w:rFonts w:ascii="Arial" w:hAnsi="Arial" w:cs="Arial"/>
        </w:rPr>
        <w:t>Invesco DB US Dollar Index Bullish Fund (UUP)</w:t>
      </w:r>
    </w:p>
    <w:p w14:paraId="496D15CE" w14:textId="78EA4D3C" w:rsidR="00153C53" w:rsidRPr="00862867" w:rsidRDefault="00153C53" w:rsidP="00153C53">
      <w:pPr>
        <w:rPr>
          <w:rFonts w:ascii="Arial" w:hAnsi="Arial" w:cs="Arial"/>
          <w:b/>
          <w:bCs/>
        </w:rPr>
      </w:pPr>
      <w:r w:rsidRPr="00862867">
        <w:rPr>
          <w:rFonts w:ascii="Arial" w:hAnsi="Arial" w:cs="Arial"/>
          <w:b/>
          <w:bCs/>
        </w:rPr>
        <w:lastRenderedPageBreak/>
        <w:t xml:space="preserve">Real-world messiness </w:t>
      </w:r>
    </w:p>
    <w:p w14:paraId="5BFA0AC4" w14:textId="5159E491" w:rsidR="00153C53" w:rsidRPr="00862867" w:rsidRDefault="00153C53" w:rsidP="00153C53">
      <w:pPr>
        <w:rPr>
          <w:rFonts w:ascii="Arial" w:hAnsi="Arial" w:cs="Arial"/>
        </w:rPr>
      </w:pPr>
      <w:r w:rsidRPr="00862867">
        <w:rPr>
          <w:rFonts w:ascii="Arial" w:hAnsi="Arial" w:cs="Arial"/>
        </w:rPr>
        <w:t xml:space="preserve">The first case of messiness is where two USD/NOK prints (20 March 2020 and 27 December 2021) jump far from both neighbours and revert the next day. To combat </w:t>
      </w:r>
      <w:proofErr w:type="gramStart"/>
      <w:r w:rsidRPr="00862867">
        <w:rPr>
          <w:rFonts w:ascii="Arial" w:hAnsi="Arial" w:cs="Arial"/>
        </w:rPr>
        <w:t>this</w:t>
      </w:r>
      <w:proofErr w:type="gramEnd"/>
      <w:r w:rsidRPr="00862867">
        <w:rPr>
          <w:rFonts w:ascii="Arial" w:hAnsi="Arial" w:cs="Arial"/>
        </w:rPr>
        <w:t xml:space="preserve"> we implement a 3-day centred median filter, which flags any price more than 5% away from the median of itself and its two neighbours and replaces it with that median. </w:t>
      </w:r>
    </w:p>
    <w:p w14:paraId="74F47A91" w14:textId="3BB593F1" w:rsidR="00153C53" w:rsidRPr="00862867" w:rsidRDefault="00153C53" w:rsidP="00153C53">
      <w:pPr>
        <w:rPr>
          <w:rFonts w:ascii="Arial" w:hAnsi="Arial" w:cs="Arial"/>
        </w:rPr>
      </w:pPr>
      <w:r w:rsidRPr="00862867">
        <w:rPr>
          <w:rFonts w:ascii="Arial" w:hAnsi="Arial" w:cs="Arial"/>
        </w:rPr>
        <w:t xml:space="preserve">Additionally, WTI’s had a −$37.63 settlement on 20 April 2020 that makes log returns undefined. We masked this since it was not reasonable to fill in data like the case mentioned above, since this settlement price was a real price. However, to calculate the signal we needed complete data, </w:t>
      </w:r>
      <w:r w:rsidR="00027D90" w:rsidRPr="00862867">
        <w:rPr>
          <w:rFonts w:ascii="Arial" w:hAnsi="Arial" w:cs="Arial"/>
        </w:rPr>
        <w:t>so the</w:t>
      </w:r>
      <w:r w:rsidRPr="00862867">
        <w:rPr>
          <w:rFonts w:ascii="Arial" w:hAnsi="Arial" w:cs="Arial"/>
        </w:rPr>
        <w:t xml:space="preserve"> CAD then has no signal for 59 of the 403 out-of-sample weeks. </w:t>
      </w:r>
    </w:p>
    <w:p w14:paraId="69B74739" w14:textId="77777777" w:rsidR="005315FE" w:rsidRPr="00862867" w:rsidRDefault="008F1412" w:rsidP="005315FE">
      <w:pPr>
        <w:tabs>
          <w:tab w:val="center" w:pos="4680"/>
        </w:tabs>
        <w:rPr>
          <w:rFonts w:ascii="Arial" w:hAnsi="Arial" w:cs="Arial"/>
          <w:b/>
          <w:bCs/>
          <w:sz w:val="32"/>
          <w:szCs w:val="32"/>
        </w:rPr>
      </w:pPr>
      <w:r w:rsidRPr="00862867">
        <w:rPr>
          <w:rFonts w:ascii="Arial" w:hAnsi="Arial" w:cs="Arial"/>
          <w:b/>
          <w:bCs/>
          <w:sz w:val="32"/>
          <w:szCs w:val="32"/>
        </w:rPr>
        <w:t>3. Strategy and Backtest</w:t>
      </w:r>
    </w:p>
    <w:p w14:paraId="6D1880A3" w14:textId="77777777" w:rsidR="005315FE" w:rsidRPr="00862867" w:rsidRDefault="005315FE" w:rsidP="005315FE">
      <w:pPr>
        <w:tabs>
          <w:tab w:val="center" w:pos="4680"/>
        </w:tabs>
        <w:rPr>
          <w:rFonts w:ascii="Arial" w:hAnsi="Arial" w:cs="Arial"/>
          <w:b/>
          <w:bCs/>
        </w:rPr>
      </w:pPr>
      <w:r w:rsidRPr="00862867">
        <w:rPr>
          <w:rFonts w:ascii="Arial" w:hAnsi="Arial" w:cs="Arial"/>
          <w:b/>
          <w:bCs/>
        </w:rPr>
        <w:t>Strategy</w:t>
      </w:r>
    </w:p>
    <w:p w14:paraId="5BFD5BA1" w14:textId="1C0622A8" w:rsidR="00027D90" w:rsidRPr="00862867" w:rsidRDefault="003138DF" w:rsidP="003138DF">
      <w:pPr>
        <w:tabs>
          <w:tab w:val="center" w:pos="4680"/>
        </w:tabs>
        <w:rPr>
          <w:rFonts w:ascii="Arial" w:hAnsi="Arial" w:cs="Arial"/>
        </w:rPr>
      </w:pPr>
      <w:r w:rsidRPr="00862867">
        <w:rPr>
          <w:rFonts w:ascii="Arial" w:hAnsi="Arial" w:cs="Arial"/>
        </w:rPr>
        <w:t xml:space="preserve">In essence, when the currency’s export commodity made an unusually large move then we trade the currency in the same direction. We are expecting that the currency has not caught up (CAD is traded on WTI, NOK on Brent and AUD on copper). An unusually large rise means long the currency against the US dollar, an unusually large fall means short, and anything in between means no position. Each currency carries a fixed 1/3 weight of the portfolio whenever it has a position. </w:t>
      </w:r>
      <w:r w:rsidR="004066D9" w:rsidRPr="00862867">
        <w:rPr>
          <w:rFonts w:ascii="Arial" w:hAnsi="Arial" w:cs="Arial"/>
        </w:rPr>
        <w:t xml:space="preserve">For each currency, a rolling z-score of the trailing commodity return is computed against its own trailing 252-day history. </w:t>
      </w:r>
    </w:p>
    <w:p w14:paraId="51D3925B" w14:textId="1EC721CC" w:rsidR="00027D90" w:rsidRPr="00862867" w:rsidRDefault="00027D90" w:rsidP="005315FE">
      <w:pPr>
        <w:tabs>
          <w:tab w:val="center" w:pos="4680"/>
        </w:tabs>
        <w:rPr>
          <w:rFonts w:ascii="Arial" w:hAnsi="Arial" w:cs="Arial"/>
        </w:rPr>
      </w:pPr>
      <w:r w:rsidRPr="00862867">
        <w:rPr>
          <w:rFonts w:ascii="Arial" w:hAnsi="Arial" w:cs="Arial"/>
        </w:rPr>
        <w:t xml:space="preserve">To choose the best combination of parameters amongst the 9 combinations, they were ranked purely on in-sample (2011–2018) net-of-cost Sharpe ratio. The winning configuration was a 40-day lookback, 1.0 z-score threshold. </w:t>
      </w:r>
    </w:p>
    <w:tbl>
      <w:tblPr>
        <w:tblStyle w:val="TableGrid"/>
        <w:tblW w:w="9461" w:type="dxa"/>
        <w:tblLayout w:type="fixed"/>
        <w:tblLook w:val="04A0" w:firstRow="1" w:lastRow="0" w:firstColumn="1" w:lastColumn="0" w:noHBand="0" w:noVBand="1"/>
      </w:tblPr>
      <w:tblGrid>
        <w:gridCol w:w="1373"/>
        <w:gridCol w:w="1395"/>
        <w:gridCol w:w="1435"/>
        <w:gridCol w:w="1099"/>
        <w:gridCol w:w="1530"/>
        <w:gridCol w:w="1099"/>
        <w:gridCol w:w="1530"/>
      </w:tblGrid>
      <w:tr w:rsidR="00027D90" w:rsidRPr="00862867" w14:paraId="17BADEB4" w14:textId="77777777" w:rsidTr="00027D90">
        <w:tc>
          <w:tcPr>
            <w:tcW w:w="1373" w:type="dxa"/>
          </w:tcPr>
          <w:p w14:paraId="19FC27C0" w14:textId="77777777" w:rsidR="00027D90" w:rsidRPr="00862867" w:rsidRDefault="00027D90" w:rsidP="00027D90">
            <w:pPr>
              <w:spacing w:after="160" w:line="278" w:lineRule="auto"/>
              <w:jc w:val="center"/>
              <w:rPr>
                <w:rFonts w:ascii="Arial" w:hAnsi="Arial" w:cs="Arial"/>
                <w:b/>
                <w:sz w:val="20"/>
                <w:szCs w:val="20"/>
              </w:rPr>
            </w:pPr>
            <w:r w:rsidRPr="00862867">
              <w:rPr>
                <w:rFonts w:ascii="Arial" w:hAnsi="Arial" w:cs="Arial"/>
                <w:b/>
                <w:sz w:val="20"/>
                <w:szCs w:val="20"/>
              </w:rPr>
              <w:t>Rank</w:t>
            </w:r>
          </w:p>
        </w:tc>
        <w:tc>
          <w:tcPr>
            <w:tcW w:w="1395" w:type="dxa"/>
          </w:tcPr>
          <w:p w14:paraId="798DB9F4" w14:textId="77777777" w:rsidR="00027D90" w:rsidRPr="00862867" w:rsidRDefault="00027D90" w:rsidP="00027D90">
            <w:pPr>
              <w:spacing w:after="160" w:line="278" w:lineRule="auto"/>
              <w:jc w:val="center"/>
              <w:rPr>
                <w:rFonts w:ascii="Arial" w:hAnsi="Arial" w:cs="Arial"/>
                <w:b/>
                <w:sz w:val="20"/>
                <w:szCs w:val="20"/>
              </w:rPr>
            </w:pPr>
            <w:r w:rsidRPr="00862867">
              <w:rPr>
                <w:rFonts w:ascii="Arial" w:hAnsi="Arial" w:cs="Arial"/>
                <w:b/>
                <w:sz w:val="20"/>
                <w:szCs w:val="20"/>
              </w:rPr>
              <w:t>Lookback (days)</w:t>
            </w:r>
          </w:p>
        </w:tc>
        <w:tc>
          <w:tcPr>
            <w:tcW w:w="1435" w:type="dxa"/>
          </w:tcPr>
          <w:p w14:paraId="4D23B13D" w14:textId="77777777" w:rsidR="00027D90" w:rsidRPr="00862867" w:rsidRDefault="00027D90" w:rsidP="00027D90">
            <w:pPr>
              <w:spacing w:after="160" w:line="278" w:lineRule="auto"/>
              <w:jc w:val="center"/>
              <w:rPr>
                <w:rFonts w:ascii="Arial" w:hAnsi="Arial" w:cs="Arial"/>
                <w:b/>
                <w:sz w:val="20"/>
                <w:szCs w:val="20"/>
              </w:rPr>
            </w:pPr>
            <w:r w:rsidRPr="00862867">
              <w:rPr>
                <w:rFonts w:ascii="Arial" w:hAnsi="Arial" w:cs="Arial"/>
                <w:b/>
                <w:sz w:val="20"/>
                <w:szCs w:val="20"/>
              </w:rPr>
              <w:t>Threshold (σ)</w:t>
            </w:r>
          </w:p>
        </w:tc>
        <w:tc>
          <w:tcPr>
            <w:tcW w:w="1099" w:type="dxa"/>
          </w:tcPr>
          <w:p w14:paraId="6D5344B4" w14:textId="77777777" w:rsidR="00027D90" w:rsidRPr="00862867" w:rsidRDefault="00027D90" w:rsidP="00027D90">
            <w:pPr>
              <w:spacing w:after="160" w:line="278" w:lineRule="auto"/>
              <w:jc w:val="center"/>
              <w:rPr>
                <w:rFonts w:ascii="Arial" w:hAnsi="Arial" w:cs="Arial"/>
                <w:b/>
                <w:sz w:val="20"/>
                <w:szCs w:val="20"/>
              </w:rPr>
            </w:pPr>
            <w:r w:rsidRPr="00862867">
              <w:rPr>
                <w:rFonts w:ascii="Arial" w:hAnsi="Arial" w:cs="Arial"/>
                <w:b/>
                <w:sz w:val="20"/>
                <w:szCs w:val="20"/>
              </w:rPr>
              <w:t>In-sample Sharpe</w:t>
            </w:r>
          </w:p>
        </w:tc>
        <w:tc>
          <w:tcPr>
            <w:tcW w:w="1530" w:type="dxa"/>
          </w:tcPr>
          <w:p w14:paraId="2E7F9B89" w14:textId="77777777" w:rsidR="00027D90" w:rsidRPr="00862867" w:rsidRDefault="00027D90" w:rsidP="00027D90">
            <w:pPr>
              <w:spacing w:after="160" w:line="278" w:lineRule="auto"/>
              <w:jc w:val="center"/>
              <w:rPr>
                <w:rFonts w:ascii="Arial" w:hAnsi="Arial" w:cs="Arial"/>
                <w:b/>
                <w:sz w:val="20"/>
                <w:szCs w:val="20"/>
              </w:rPr>
            </w:pPr>
            <w:r w:rsidRPr="00862867">
              <w:rPr>
                <w:rFonts w:ascii="Arial" w:hAnsi="Arial" w:cs="Arial"/>
                <w:b/>
                <w:sz w:val="20"/>
                <w:szCs w:val="20"/>
              </w:rPr>
              <w:t>In-sample cumulative return</w:t>
            </w:r>
          </w:p>
        </w:tc>
        <w:tc>
          <w:tcPr>
            <w:tcW w:w="1099" w:type="dxa"/>
          </w:tcPr>
          <w:p w14:paraId="707EB10E" w14:textId="77777777" w:rsidR="00027D90" w:rsidRPr="00862867" w:rsidRDefault="00027D90" w:rsidP="00027D90">
            <w:pPr>
              <w:spacing w:after="160" w:line="278" w:lineRule="auto"/>
              <w:jc w:val="center"/>
              <w:rPr>
                <w:rFonts w:ascii="Arial" w:hAnsi="Arial" w:cs="Arial"/>
                <w:b/>
                <w:sz w:val="20"/>
                <w:szCs w:val="20"/>
              </w:rPr>
            </w:pPr>
            <w:r w:rsidRPr="00862867">
              <w:rPr>
                <w:rFonts w:ascii="Arial" w:hAnsi="Arial" w:cs="Arial"/>
                <w:b/>
                <w:sz w:val="20"/>
                <w:szCs w:val="20"/>
              </w:rPr>
              <w:t>Out-of-sample Sharpe</w:t>
            </w:r>
          </w:p>
        </w:tc>
        <w:tc>
          <w:tcPr>
            <w:tcW w:w="1530" w:type="dxa"/>
          </w:tcPr>
          <w:p w14:paraId="475B6191" w14:textId="77777777" w:rsidR="00027D90" w:rsidRPr="00862867" w:rsidRDefault="00027D90" w:rsidP="00027D90">
            <w:pPr>
              <w:spacing w:after="160" w:line="278" w:lineRule="auto"/>
              <w:jc w:val="center"/>
              <w:rPr>
                <w:rFonts w:ascii="Arial" w:hAnsi="Arial" w:cs="Arial"/>
                <w:b/>
                <w:sz w:val="20"/>
                <w:szCs w:val="20"/>
              </w:rPr>
            </w:pPr>
            <w:r w:rsidRPr="00862867">
              <w:rPr>
                <w:rFonts w:ascii="Arial" w:hAnsi="Arial" w:cs="Arial"/>
                <w:b/>
                <w:sz w:val="20"/>
                <w:szCs w:val="20"/>
              </w:rPr>
              <w:t>Out-of-sample cumulative return</w:t>
            </w:r>
          </w:p>
        </w:tc>
      </w:tr>
      <w:tr w:rsidR="00027D90" w:rsidRPr="00862867" w14:paraId="567827D7" w14:textId="77777777" w:rsidTr="00027D90">
        <w:tc>
          <w:tcPr>
            <w:tcW w:w="1373" w:type="dxa"/>
          </w:tcPr>
          <w:p w14:paraId="76FE6FDC"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 (selected)</w:t>
            </w:r>
          </w:p>
        </w:tc>
        <w:tc>
          <w:tcPr>
            <w:tcW w:w="1395" w:type="dxa"/>
          </w:tcPr>
          <w:p w14:paraId="1A164E46"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40</w:t>
            </w:r>
          </w:p>
        </w:tc>
        <w:tc>
          <w:tcPr>
            <w:tcW w:w="1435" w:type="dxa"/>
          </w:tcPr>
          <w:p w14:paraId="64C596F0"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1.0</w:t>
            </w:r>
          </w:p>
        </w:tc>
        <w:tc>
          <w:tcPr>
            <w:tcW w:w="1099" w:type="dxa"/>
          </w:tcPr>
          <w:p w14:paraId="0B3C6848"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0.38</w:t>
            </w:r>
          </w:p>
        </w:tc>
        <w:tc>
          <w:tcPr>
            <w:tcW w:w="1530" w:type="dxa"/>
          </w:tcPr>
          <w:p w14:paraId="277945A2"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13.8%</w:t>
            </w:r>
          </w:p>
        </w:tc>
        <w:tc>
          <w:tcPr>
            <w:tcW w:w="1099" w:type="dxa"/>
          </w:tcPr>
          <w:p w14:paraId="72712985"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-0.20</w:t>
            </w:r>
          </w:p>
        </w:tc>
        <w:tc>
          <w:tcPr>
            <w:tcW w:w="1530" w:type="dxa"/>
          </w:tcPr>
          <w:p w14:paraId="7A52D311"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-7.9%</w:t>
            </w:r>
          </w:p>
        </w:tc>
      </w:tr>
      <w:tr w:rsidR="00027D90" w:rsidRPr="00862867" w14:paraId="79E35C7C" w14:textId="77777777" w:rsidTr="00027D90">
        <w:tc>
          <w:tcPr>
            <w:tcW w:w="1373" w:type="dxa"/>
          </w:tcPr>
          <w:p w14:paraId="5A9D35E6"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2</w:t>
            </w:r>
          </w:p>
        </w:tc>
        <w:tc>
          <w:tcPr>
            <w:tcW w:w="1395" w:type="dxa"/>
          </w:tcPr>
          <w:p w14:paraId="5C29ADBE"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40</w:t>
            </w:r>
          </w:p>
        </w:tc>
        <w:tc>
          <w:tcPr>
            <w:tcW w:w="1435" w:type="dxa"/>
          </w:tcPr>
          <w:p w14:paraId="45FB2F29"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0.0</w:t>
            </w:r>
          </w:p>
        </w:tc>
        <w:tc>
          <w:tcPr>
            <w:tcW w:w="1099" w:type="dxa"/>
          </w:tcPr>
          <w:p w14:paraId="504D0944"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0.37</w:t>
            </w:r>
          </w:p>
        </w:tc>
        <w:tc>
          <w:tcPr>
            <w:tcW w:w="1530" w:type="dxa"/>
          </w:tcPr>
          <w:p w14:paraId="36695995"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22.0%</w:t>
            </w:r>
          </w:p>
        </w:tc>
        <w:tc>
          <w:tcPr>
            <w:tcW w:w="1099" w:type="dxa"/>
          </w:tcPr>
          <w:p w14:paraId="029E87D8"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-0.48</w:t>
            </w:r>
          </w:p>
        </w:tc>
        <w:tc>
          <w:tcPr>
            <w:tcW w:w="1530" w:type="dxa"/>
          </w:tcPr>
          <w:p w14:paraId="16CE0D5D"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-24.3%</w:t>
            </w:r>
          </w:p>
        </w:tc>
      </w:tr>
      <w:tr w:rsidR="00027D90" w:rsidRPr="00862867" w14:paraId="690E6358" w14:textId="77777777" w:rsidTr="00027D90">
        <w:tc>
          <w:tcPr>
            <w:tcW w:w="1373" w:type="dxa"/>
          </w:tcPr>
          <w:p w14:paraId="225FFEA1"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3</w:t>
            </w:r>
          </w:p>
        </w:tc>
        <w:tc>
          <w:tcPr>
            <w:tcW w:w="1395" w:type="dxa"/>
          </w:tcPr>
          <w:p w14:paraId="57B82A72"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40</w:t>
            </w:r>
          </w:p>
        </w:tc>
        <w:tc>
          <w:tcPr>
            <w:tcW w:w="1435" w:type="dxa"/>
          </w:tcPr>
          <w:p w14:paraId="4F414DF3"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0.5</w:t>
            </w:r>
          </w:p>
        </w:tc>
        <w:tc>
          <w:tcPr>
            <w:tcW w:w="1099" w:type="dxa"/>
          </w:tcPr>
          <w:p w14:paraId="17584AC2"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0.35</w:t>
            </w:r>
          </w:p>
        </w:tc>
        <w:tc>
          <w:tcPr>
            <w:tcW w:w="1530" w:type="dxa"/>
          </w:tcPr>
          <w:p w14:paraId="3138A209"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17.8%</w:t>
            </w:r>
          </w:p>
        </w:tc>
        <w:tc>
          <w:tcPr>
            <w:tcW w:w="1099" w:type="dxa"/>
          </w:tcPr>
          <w:p w14:paraId="64ACF787"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-0.26</w:t>
            </w:r>
          </w:p>
        </w:tc>
        <w:tc>
          <w:tcPr>
            <w:tcW w:w="1530" w:type="dxa"/>
          </w:tcPr>
          <w:p w14:paraId="5AA0E217"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-12.0%</w:t>
            </w:r>
          </w:p>
        </w:tc>
      </w:tr>
      <w:tr w:rsidR="00027D90" w:rsidRPr="00862867" w14:paraId="1DEB1D8E" w14:textId="77777777" w:rsidTr="00027D90">
        <w:tc>
          <w:tcPr>
            <w:tcW w:w="1373" w:type="dxa"/>
          </w:tcPr>
          <w:p w14:paraId="680622C0"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4</w:t>
            </w:r>
          </w:p>
        </w:tc>
        <w:tc>
          <w:tcPr>
            <w:tcW w:w="1395" w:type="dxa"/>
          </w:tcPr>
          <w:p w14:paraId="4E6FFC49"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10</w:t>
            </w:r>
          </w:p>
        </w:tc>
        <w:tc>
          <w:tcPr>
            <w:tcW w:w="1435" w:type="dxa"/>
          </w:tcPr>
          <w:p w14:paraId="392E62DF"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1.0</w:t>
            </w:r>
          </w:p>
        </w:tc>
        <w:tc>
          <w:tcPr>
            <w:tcW w:w="1099" w:type="dxa"/>
          </w:tcPr>
          <w:p w14:paraId="4393E37F"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-0.02</w:t>
            </w:r>
          </w:p>
        </w:tc>
        <w:tc>
          <w:tcPr>
            <w:tcW w:w="1530" w:type="dxa"/>
          </w:tcPr>
          <w:p w14:paraId="1B8B5ADA"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-0.6%</w:t>
            </w:r>
          </w:p>
        </w:tc>
        <w:tc>
          <w:tcPr>
            <w:tcW w:w="1099" w:type="dxa"/>
          </w:tcPr>
          <w:p w14:paraId="4C291D42"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-0.36</w:t>
            </w:r>
          </w:p>
        </w:tc>
        <w:tc>
          <w:tcPr>
            <w:tcW w:w="1530" w:type="dxa"/>
          </w:tcPr>
          <w:p w14:paraId="6054526E"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-11.2%</w:t>
            </w:r>
          </w:p>
        </w:tc>
      </w:tr>
      <w:tr w:rsidR="00027D90" w:rsidRPr="00862867" w14:paraId="2820CE6B" w14:textId="77777777" w:rsidTr="00027D90">
        <w:tc>
          <w:tcPr>
            <w:tcW w:w="1373" w:type="dxa"/>
          </w:tcPr>
          <w:p w14:paraId="5FD99106"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5</w:t>
            </w:r>
          </w:p>
        </w:tc>
        <w:tc>
          <w:tcPr>
            <w:tcW w:w="1395" w:type="dxa"/>
          </w:tcPr>
          <w:p w14:paraId="389D751D"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20</w:t>
            </w:r>
          </w:p>
        </w:tc>
        <w:tc>
          <w:tcPr>
            <w:tcW w:w="1435" w:type="dxa"/>
          </w:tcPr>
          <w:p w14:paraId="0BA29C86"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1.0</w:t>
            </w:r>
          </w:p>
        </w:tc>
        <w:tc>
          <w:tcPr>
            <w:tcW w:w="1099" w:type="dxa"/>
          </w:tcPr>
          <w:p w14:paraId="785B82FD"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-0.31</w:t>
            </w:r>
          </w:p>
        </w:tc>
        <w:tc>
          <w:tcPr>
            <w:tcW w:w="1530" w:type="dxa"/>
          </w:tcPr>
          <w:p w14:paraId="69BD1A98"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-9.5%</w:t>
            </w:r>
          </w:p>
        </w:tc>
        <w:tc>
          <w:tcPr>
            <w:tcW w:w="1099" w:type="dxa"/>
          </w:tcPr>
          <w:p w14:paraId="16B22EA2"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-0.41</w:t>
            </w:r>
          </w:p>
        </w:tc>
        <w:tc>
          <w:tcPr>
            <w:tcW w:w="1530" w:type="dxa"/>
          </w:tcPr>
          <w:p w14:paraId="4CB3C887"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-13.2%</w:t>
            </w:r>
          </w:p>
        </w:tc>
      </w:tr>
      <w:tr w:rsidR="00027D90" w:rsidRPr="00862867" w14:paraId="1AC89B88" w14:textId="77777777" w:rsidTr="00027D90">
        <w:tc>
          <w:tcPr>
            <w:tcW w:w="1373" w:type="dxa"/>
          </w:tcPr>
          <w:p w14:paraId="0D9B9D84"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6</w:t>
            </w:r>
          </w:p>
        </w:tc>
        <w:tc>
          <w:tcPr>
            <w:tcW w:w="1395" w:type="dxa"/>
          </w:tcPr>
          <w:p w14:paraId="25F67EBC"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20</w:t>
            </w:r>
          </w:p>
        </w:tc>
        <w:tc>
          <w:tcPr>
            <w:tcW w:w="1435" w:type="dxa"/>
          </w:tcPr>
          <w:p w14:paraId="7C68CB75"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0.0</w:t>
            </w:r>
          </w:p>
        </w:tc>
        <w:tc>
          <w:tcPr>
            <w:tcW w:w="1099" w:type="dxa"/>
          </w:tcPr>
          <w:p w14:paraId="5B524D8D"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-0.37</w:t>
            </w:r>
          </w:p>
        </w:tc>
        <w:tc>
          <w:tcPr>
            <w:tcW w:w="1530" w:type="dxa"/>
          </w:tcPr>
          <w:p w14:paraId="7F75F269"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-17.2%</w:t>
            </w:r>
          </w:p>
        </w:tc>
        <w:tc>
          <w:tcPr>
            <w:tcW w:w="1099" w:type="dxa"/>
          </w:tcPr>
          <w:p w14:paraId="6AE19E54"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-0.34</w:t>
            </w:r>
          </w:p>
        </w:tc>
        <w:tc>
          <w:tcPr>
            <w:tcW w:w="1530" w:type="dxa"/>
          </w:tcPr>
          <w:p w14:paraId="6C83E3D7"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-17.1%</w:t>
            </w:r>
          </w:p>
        </w:tc>
      </w:tr>
      <w:tr w:rsidR="00027D90" w:rsidRPr="00862867" w14:paraId="48E55F67" w14:textId="77777777" w:rsidTr="00027D90">
        <w:tc>
          <w:tcPr>
            <w:tcW w:w="1373" w:type="dxa"/>
          </w:tcPr>
          <w:p w14:paraId="1D035D97"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7</w:t>
            </w:r>
          </w:p>
        </w:tc>
        <w:tc>
          <w:tcPr>
            <w:tcW w:w="1395" w:type="dxa"/>
          </w:tcPr>
          <w:p w14:paraId="252A31A4"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20</w:t>
            </w:r>
          </w:p>
        </w:tc>
        <w:tc>
          <w:tcPr>
            <w:tcW w:w="1435" w:type="dxa"/>
          </w:tcPr>
          <w:p w14:paraId="5EBF1480"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0.5</w:t>
            </w:r>
          </w:p>
        </w:tc>
        <w:tc>
          <w:tcPr>
            <w:tcW w:w="1099" w:type="dxa"/>
          </w:tcPr>
          <w:p w14:paraId="63826DFB"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-0.47</w:t>
            </w:r>
          </w:p>
        </w:tc>
        <w:tc>
          <w:tcPr>
            <w:tcW w:w="1530" w:type="dxa"/>
          </w:tcPr>
          <w:p w14:paraId="1DC21D36"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-18.0%</w:t>
            </w:r>
          </w:p>
        </w:tc>
        <w:tc>
          <w:tcPr>
            <w:tcW w:w="1099" w:type="dxa"/>
          </w:tcPr>
          <w:p w14:paraId="3AE77117"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-0.41</w:t>
            </w:r>
          </w:p>
        </w:tc>
        <w:tc>
          <w:tcPr>
            <w:tcW w:w="1530" w:type="dxa"/>
          </w:tcPr>
          <w:p w14:paraId="5BEA5C57"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-16.9%</w:t>
            </w:r>
          </w:p>
        </w:tc>
      </w:tr>
      <w:tr w:rsidR="00027D90" w:rsidRPr="00862867" w14:paraId="73371E0E" w14:textId="77777777" w:rsidTr="00027D90">
        <w:tc>
          <w:tcPr>
            <w:tcW w:w="1373" w:type="dxa"/>
          </w:tcPr>
          <w:p w14:paraId="2289DE8B"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lastRenderedPageBreak/>
              <w:t>8</w:t>
            </w:r>
          </w:p>
        </w:tc>
        <w:tc>
          <w:tcPr>
            <w:tcW w:w="1395" w:type="dxa"/>
          </w:tcPr>
          <w:p w14:paraId="1E2B3218"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10</w:t>
            </w:r>
          </w:p>
        </w:tc>
        <w:tc>
          <w:tcPr>
            <w:tcW w:w="1435" w:type="dxa"/>
          </w:tcPr>
          <w:p w14:paraId="7A2D9403"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0.5</w:t>
            </w:r>
          </w:p>
        </w:tc>
        <w:tc>
          <w:tcPr>
            <w:tcW w:w="1099" w:type="dxa"/>
          </w:tcPr>
          <w:p w14:paraId="41943A5D"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-0.49</w:t>
            </w:r>
          </w:p>
        </w:tc>
        <w:tc>
          <w:tcPr>
            <w:tcW w:w="1530" w:type="dxa"/>
          </w:tcPr>
          <w:p w14:paraId="6E8FE49D"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-17.0%</w:t>
            </w:r>
          </w:p>
        </w:tc>
        <w:tc>
          <w:tcPr>
            <w:tcW w:w="1099" w:type="dxa"/>
          </w:tcPr>
          <w:p w14:paraId="21424B48"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-0.46</w:t>
            </w:r>
          </w:p>
        </w:tc>
        <w:tc>
          <w:tcPr>
            <w:tcW w:w="1530" w:type="dxa"/>
          </w:tcPr>
          <w:p w14:paraId="074EC062"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-18.8%</w:t>
            </w:r>
          </w:p>
        </w:tc>
      </w:tr>
      <w:tr w:rsidR="00027D90" w:rsidRPr="00862867" w14:paraId="22095B35" w14:textId="77777777" w:rsidTr="00027D90">
        <w:tc>
          <w:tcPr>
            <w:tcW w:w="1373" w:type="dxa"/>
          </w:tcPr>
          <w:p w14:paraId="2488F09B"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9</w:t>
            </w:r>
          </w:p>
        </w:tc>
        <w:tc>
          <w:tcPr>
            <w:tcW w:w="1395" w:type="dxa"/>
          </w:tcPr>
          <w:p w14:paraId="348324FA"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10</w:t>
            </w:r>
          </w:p>
        </w:tc>
        <w:tc>
          <w:tcPr>
            <w:tcW w:w="1435" w:type="dxa"/>
          </w:tcPr>
          <w:p w14:paraId="262E6D47"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0.0</w:t>
            </w:r>
          </w:p>
        </w:tc>
        <w:tc>
          <w:tcPr>
            <w:tcW w:w="1099" w:type="dxa"/>
          </w:tcPr>
          <w:p w14:paraId="5E230A31"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-0.55</w:t>
            </w:r>
          </w:p>
        </w:tc>
        <w:tc>
          <w:tcPr>
            <w:tcW w:w="1530" w:type="dxa"/>
          </w:tcPr>
          <w:p w14:paraId="014AEBFF"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-24.2%</w:t>
            </w:r>
          </w:p>
        </w:tc>
        <w:tc>
          <w:tcPr>
            <w:tcW w:w="1099" w:type="dxa"/>
          </w:tcPr>
          <w:p w14:paraId="324C4238"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-0.28</w:t>
            </w:r>
          </w:p>
        </w:tc>
        <w:tc>
          <w:tcPr>
            <w:tcW w:w="1530" w:type="dxa"/>
          </w:tcPr>
          <w:p w14:paraId="32953B1B" w14:textId="77777777" w:rsidR="00027D90" w:rsidRPr="00862867" w:rsidRDefault="00027D90" w:rsidP="00027D90">
            <w:pPr>
              <w:spacing w:after="160" w:line="278" w:lineRule="auto"/>
              <w:jc w:val="center"/>
              <w:rPr>
                <w:rFonts w:ascii="Arial" w:hAnsi="Arial" w:cs="Arial"/>
                <w:bCs/>
                <w:sz w:val="20"/>
                <w:szCs w:val="20"/>
              </w:rPr>
            </w:pPr>
            <w:r w:rsidRPr="00862867">
              <w:rPr>
                <w:rFonts w:ascii="Arial" w:hAnsi="Arial" w:cs="Arial"/>
                <w:bCs/>
                <w:sz w:val="20"/>
                <w:szCs w:val="20"/>
              </w:rPr>
              <w:t>-13.5%</w:t>
            </w:r>
          </w:p>
        </w:tc>
      </w:tr>
    </w:tbl>
    <w:p w14:paraId="6DD2DFF5" w14:textId="60F685AC" w:rsidR="000A21C6" w:rsidRPr="00862867" w:rsidRDefault="000A21C6" w:rsidP="000A21C6">
      <w:pPr>
        <w:tabs>
          <w:tab w:val="center" w:pos="4680"/>
        </w:tabs>
        <w:jc w:val="center"/>
        <w:rPr>
          <w:rFonts w:ascii="Arial" w:hAnsi="Arial" w:cs="Arial"/>
          <w:sz w:val="16"/>
          <w:szCs w:val="16"/>
        </w:rPr>
      </w:pPr>
      <w:r w:rsidRPr="00862867">
        <w:rPr>
          <w:rFonts w:ascii="Arial" w:hAnsi="Arial" w:cs="Arial"/>
          <w:sz w:val="16"/>
          <w:szCs w:val="16"/>
        </w:rPr>
        <w:t>Table 1: Rank of parameter trials by in-sample Sharpe</w:t>
      </w:r>
    </w:p>
    <w:p w14:paraId="18D9D127" w14:textId="680DA07E" w:rsidR="00027D90" w:rsidRPr="00862867" w:rsidRDefault="00027D90" w:rsidP="004968FF">
      <w:pPr>
        <w:tabs>
          <w:tab w:val="center" w:pos="4680"/>
        </w:tabs>
        <w:spacing w:before="240"/>
        <w:rPr>
          <w:rFonts w:ascii="Arial" w:hAnsi="Arial" w:cs="Arial"/>
        </w:rPr>
      </w:pPr>
      <w:r w:rsidRPr="00862867">
        <w:rPr>
          <w:rFonts w:ascii="Arial" w:hAnsi="Arial" w:cs="Arial"/>
        </w:rPr>
        <w:t>It was then validated on the 2019–2026 out-of-sample period</w:t>
      </w:r>
      <w:r w:rsidR="004968FF" w:rsidRPr="00862867">
        <w:rPr>
          <w:rFonts w:ascii="Arial" w:hAnsi="Arial" w:cs="Arial"/>
        </w:rPr>
        <w:t>, with the b</w:t>
      </w:r>
      <w:r w:rsidRPr="00862867">
        <w:rPr>
          <w:rFonts w:ascii="Arial" w:hAnsi="Arial" w:cs="Arial"/>
        </w:rPr>
        <w:t>ase-case transaction costs of 2bps (CAD, AUD) and 5bps (NOK)</w:t>
      </w:r>
      <w:r w:rsidR="004968FF" w:rsidRPr="00862867">
        <w:rPr>
          <w:rFonts w:ascii="Arial" w:hAnsi="Arial" w:cs="Arial"/>
        </w:rPr>
        <w:t xml:space="preserve"> to get the results below.</w:t>
      </w:r>
    </w:p>
    <w:p w14:paraId="56D836F7" w14:textId="50D8A4B5" w:rsidR="005315FE" w:rsidRPr="00862867" w:rsidRDefault="004066D9" w:rsidP="005315FE">
      <w:pPr>
        <w:tabs>
          <w:tab w:val="center" w:pos="4680"/>
        </w:tabs>
        <w:rPr>
          <w:rFonts w:ascii="Arial" w:hAnsi="Arial" w:cs="Arial"/>
          <w:b/>
          <w:bCs/>
        </w:rPr>
      </w:pPr>
      <w:r w:rsidRPr="00862867">
        <w:rPr>
          <w:rFonts w:ascii="Arial" w:hAnsi="Arial" w:cs="Arial"/>
          <w:b/>
          <w:bCs/>
        </w:rPr>
        <w:t>Results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6"/>
        <w:gridCol w:w="3117"/>
        <w:gridCol w:w="3117"/>
      </w:tblGrid>
      <w:tr w:rsidR="004066D9" w:rsidRPr="00862867" w14:paraId="2DEEEDFB" w14:textId="77777777" w:rsidTr="003D4FBF">
        <w:tc>
          <w:tcPr>
            <w:tcW w:w="3116" w:type="dxa"/>
          </w:tcPr>
          <w:p w14:paraId="1EBAD058" w14:textId="77777777" w:rsidR="004066D9" w:rsidRPr="00862867" w:rsidRDefault="004066D9" w:rsidP="004066D9">
            <w:pPr>
              <w:jc w:val="center"/>
              <w:rPr>
                <w:rFonts w:ascii="Arial" w:hAnsi="Arial" w:cs="Arial"/>
                <w:sz w:val="20"/>
                <w:szCs w:val="20"/>
              </w:rPr>
            </w:pPr>
            <w:r w:rsidRPr="00862867">
              <w:rPr>
                <w:rFonts w:ascii="Arial" w:hAnsi="Arial" w:cs="Arial"/>
                <w:b/>
                <w:sz w:val="20"/>
                <w:szCs w:val="20"/>
              </w:rPr>
              <w:t>Metric</w:t>
            </w:r>
          </w:p>
        </w:tc>
        <w:tc>
          <w:tcPr>
            <w:tcW w:w="3117" w:type="dxa"/>
          </w:tcPr>
          <w:p w14:paraId="7FD779E2" w14:textId="77777777" w:rsidR="004066D9" w:rsidRPr="00862867" w:rsidRDefault="004066D9" w:rsidP="004066D9">
            <w:pPr>
              <w:jc w:val="center"/>
              <w:rPr>
                <w:rFonts w:ascii="Arial" w:hAnsi="Arial" w:cs="Arial"/>
                <w:sz w:val="20"/>
                <w:szCs w:val="20"/>
              </w:rPr>
            </w:pPr>
            <w:r w:rsidRPr="00862867">
              <w:rPr>
                <w:rFonts w:ascii="Arial" w:hAnsi="Arial" w:cs="Arial"/>
                <w:b/>
                <w:sz w:val="20"/>
                <w:szCs w:val="20"/>
              </w:rPr>
              <w:t>In-sample (2011-2018)</w:t>
            </w:r>
          </w:p>
        </w:tc>
        <w:tc>
          <w:tcPr>
            <w:tcW w:w="3117" w:type="dxa"/>
          </w:tcPr>
          <w:p w14:paraId="086BE2F8" w14:textId="77777777" w:rsidR="004066D9" w:rsidRPr="00862867" w:rsidRDefault="004066D9" w:rsidP="004066D9">
            <w:pPr>
              <w:jc w:val="center"/>
              <w:rPr>
                <w:rFonts w:ascii="Arial" w:hAnsi="Arial" w:cs="Arial"/>
                <w:sz w:val="20"/>
                <w:szCs w:val="20"/>
              </w:rPr>
            </w:pPr>
            <w:r w:rsidRPr="00862867">
              <w:rPr>
                <w:rFonts w:ascii="Arial" w:hAnsi="Arial" w:cs="Arial"/>
                <w:b/>
                <w:sz w:val="20"/>
                <w:szCs w:val="20"/>
              </w:rPr>
              <w:t>Out-of-sample (2019-2026)</w:t>
            </w:r>
          </w:p>
        </w:tc>
      </w:tr>
      <w:tr w:rsidR="004066D9" w:rsidRPr="00862867" w14:paraId="60DC7BA9" w14:textId="77777777" w:rsidTr="003D4FBF">
        <w:tc>
          <w:tcPr>
            <w:tcW w:w="3116" w:type="dxa"/>
          </w:tcPr>
          <w:p w14:paraId="422C7E44"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Cumulative return</w:t>
            </w:r>
          </w:p>
        </w:tc>
        <w:tc>
          <w:tcPr>
            <w:tcW w:w="3117" w:type="dxa"/>
          </w:tcPr>
          <w:p w14:paraId="3FF4C681"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13.8%</w:t>
            </w:r>
          </w:p>
        </w:tc>
        <w:tc>
          <w:tcPr>
            <w:tcW w:w="3117" w:type="dxa"/>
          </w:tcPr>
          <w:p w14:paraId="2C700780"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-7.9%</w:t>
            </w:r>
          </w:p>
        </w:tc>
      </w:tr>
      <w:tr w:rsidR="004066D9" w:rsidRPr="00862867" w14:paraId="0386C120" w14:textId="77777777" w:rsidTr="003D4FBF">
        <w:tc>
          <w:tcPr>
            <w:tcW w:w="3116" w:type="dxa"/>
          </w:tcPr>
          <w:p w14:paraId="0580EB26"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Annualised return</w:t>
            </w:r>
          </w:p>
        </w:tc>
        <w:tc>
          <w:tcPr>
            <w:tcW w:w="3117" w:type="dxa"/>
          </w:tcPr>
          <w:p w14:paraId="3DC9C1BC"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1.7%</w:t>
            </w:r>
          </w:p>
        </w:tc>
        <w:tc>
          <w:tcPr>
            <w:tcW w:w="3117" w:type="dxa"/>
          </w:tcPr>
          <w:p w14:paraId="001A143B"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-1.1%</w:t>
            </w:r>
          </w:p>
        </w:tc>
      </w:tr>
      <w:tr w:rsidR="004066D9" w:rsidRPr="00862867" w14:paraId="44CBA71F" w14:textId="77777777" w:rsidTr="003D4FBF">
        <w:tc>
          <w:tcPr>
            <w:tcW w:w="3116" w:type="dxa"/>
          </w:tcPr>
          <w:p w14:paraId="63ABAA1D"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Annualised volatility</w:t>
            </w:r>
          </w:p>
        </w:tc>
        <w:tc>
          <w:tcPr>
            <w:tcW w:w="3117" w:type="dxa"/>
          </w:tcPr>
          <w:p w14:paraId="4BA9F94E"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4.3%</w:t>
            </w:r>
          </w:p>
        </w:tc>
        <w:tc>
          <w:tcPr>
            <w:tcW w:w="3117" w:type="dxa"/>
          </w:tcPr>
          <w:p w14:paraId="52CE0611"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5.4%</w:t>
            </w:r>
          </w:p>
        </w:tc>
      </w:tr>
      <w:tr w:rsidR="004066D9" w:rsidRPr="00862867" w14:paraId="2FCC490F" w14:textId="77777777" w:rsidTr="003D4FBF">
        <w:tc>
          <w:tcPr>
            <w:tcW w:w="3116" w:type="dxa"/>
          </w:tcPr>
          <w:p w14:paraId="53D72E25"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Sharpe ratio</w:t>
            </w:r>
          </w:p>
        </w:tc>
        <w:tc>
          <w:tcPr>
            <w:tcW w:w="3117" w:type="dxa"/>
          </w:tcPr>
          <w:p w14:paraId="01123223"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0.38</w:t>
            </w:r>
          </w:p>
        </w:tc>
        <w:tc>
          <w:tcPr>
            <w:tcW w:w="3117" w:type="dxa"/>
          </w:tcPr>
          <w:p w14:paraId="321A2363"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-0.20</w:t>
            </w:r>
          </w:p>
        </w:tc>
      </w:tr>
      <w:tr w:rsidR="004066D9" w:rsidRPr="00862867" w14:paraId="6726A885" w14:textId="77777777" w:rsidTr="003D4FBF">
        <w:tc>
          <w:tcPr>
            <w:tcW w:w="3116" w:type="dxa"/>
          </w:tcPr>
          <w:p w14:paraId="4B1B9D5A" w14:textId="0AB62E73" w:rsidR="004066D9" w:rsidRPr="00862867" w:rsidRDefault="004066D9" w:rsidP="004066D9">
            <w:pPr>
              <w:jc w:val="center"/>
              <w:rPr>
                <w:rFonts w:ascii="Arial" w:hAnsi="Arial" w:cs="Arial"/>
                <w:sz w:val="20"/>
                <w:szCs w:val="20"/>
              </w:rPr>
            </w:pPr>
            <w:r w:rsidRPr="00862867">
              <w:rPr>
                <w:rFonts w:ascii="Arial" w:hAnsi="Arial" w:cs="Arial"/>
                <w:sz w:val="20"/>
                <w:szCs w:val="20"/>
              </w:rPr>
              <w:t xml:space="preserve">t-statistic (mean weekly </w:t>
            </w:r>
            <w:proofErr w:type="gramStart"/>
            <w:r w:rsidRPr="00862867">
              <w:rPr>
                <w:rFonts w:ascii="Arial" w:hAnsi="Arial" w:cs="Arial"/>
                <w:sz w:val="20"/>
                <w:szCs w:val="20"/>
              </w:rPr>
              <w:t>return)</w:t>
            </w:r>
            <w:r w:rsidR="003D4FBF" w:rsidRPr="00862867">
              <w:rPr>
                <w:rFonts w:ascii="Arial" w:hAnsi="Arial" w:cs="Arial"/>
                <w:sz w:val="20"/>
                <w:szCs w:val="20"/>
              </w:rPr>
              <w:t>*</w:t>
            </w:r>
            <w:proofErr w:type="gramEnd"/>
          </w:p>
        </w:tc>
        <w:tc>
          <w:tcPr>
            <w:tcW w:w="3117" w:type="dxa"/>
          </w:tcPr>
          <w:p w14:paraId="7D70602B"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1.12</w:t>
            </w:r>
          </w:p>
        </w:tc>
        <w:tc>
          <w:tcPr>
            <w:tcW w:w="3117" w:type="dxa"/>
          </w:tcPr>
          <w:p w14:paraId="5B264B61"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-0.48</w:t>
            </w:r>
          </w:p>
        </w:tc>
      </w:tr>
      <w:tr w:rsidR="004066D9" w:rsidRPr="00862867" w14:paraId="489D06C2" w14:textId="77777777" w:rsidTr="003D4FBF">
        <w:trPr>
          <w:trHeight w:val="63"/>
        </w:trPr>
        <w:tc>
          <w:tcPr>
            <w:tcW w:w="3116" w:type="dxa"/>
          </w:tcPr>
          <w:p w14:paraId="511BDFD1"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Max drawdown</w:t>
            </w:r>
          </w:p>
        </w:tc>
        <w:tc>
          <w:tcPr>
            <w:tcW w:w="3117" w:type="dxa"/>
          </w:tcPr>
          <w:p w14:paraId="3566252D"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-9.3%</w:t>
            </w:r>
          </w:p>
        </w:tc>
        <w:tc>
          <w:tcPr>
            <w:tcW w:w="3117" w:type="dxa"/>
          </w:tcPr>
          <w:p w14:paraId="2AACF76E"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-20.1%</w:t>
            </w:r>
          </w:p>
        </w:tc>
      </w:tr>
      <w:tr w:rsidR="004066D9" w:rsidRPr="00862867" w14:paraId="5A40C59D" w14:textId="77777777" w:rsidTr="003D4FBF">
        <w:tc>
          <w:tcPr>
            <w:tcW w:w="3116" w:type="dxa"/>
          </w:tcPr>
          <w:p w14:paraId="4B192B79"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Hit rate (weekly)</w:t>
            </w:r>
          </w:p>
        </w:tc>
        <w:tc>
          <w:tcPr>
            <w:tcW w:w="3117" w:type="dxa"/>
          </w:tcPr>
          <w:p w14:paraId="1FA5A97C"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37.7%</w:t>
            </w:r>
          </w:p>
        </w:tc>
        <w:tc>
          <w:tcPr>
            <w:tcW w:w="3117" w:type="dxa"/>
          </w:tcPr>
          <w:p w14:paraId="3163BC6F" w14:textId="77777777" w:rsidR="004066D9" w:rsidRPr="00862867" w:rsidRDefault="004066D9" w:rsidP="004066D9">
            <w:pPr>
              <w:jc w:val="center"/>
              <w:rPr>
                <w:rFonts w:ascii="Arial" w:hAnsi="Arial" w:cs="Arial"/>
                <w:sz w:val="20"/>
                <w:szCs w:val="20"/>
              </w:rPr>
            </w:pPr>
            <w:r w:rsidRPr="00862867">
              <w:rPr>
                <w:rFonts w:ascii="Arial" w:hAnsi="Arial" w:cs="Arial"/>
                <w:sz w:val="20"/>
                <w:szCs w:val="20"/>
              </w:rPr>
              <w:t>30.3%</w:t>
            </w:r>
          </w:p>
        </w:tc>
      </w:tr>
      <w:tr w:rsidR="003D4FBF" w:rsidRPr="00862867" w14:paraId="399148EB" w14:textId="77777777" w:rsidTr="003D4FBF">
        <w:tc>
          <w:tcPr>
            <w:tcW w:w="3116" w:type="dxa"/>
          </w:tcPr>
          <w:p w14:paraId="0E6BCE5A" w14:textId="0B45D4CE" w:rsidR="003D4FBF" w:rsidRPr="00862867" w:rsidRDefault="003D4FBF" w:rsidP="004066D9">
            <w:pPr>
              <w:jc w:val="center"/>
              <w:rPr>
                <w:rFonts w:ascii="Arial" w:hAnsi="Arial" w:cs="Arial"/>
                <w:sz w:val="20"/>
                <w:szCs w:val="20"/>
              </w:rPr>
            </w:pPr>
            <w:r w:rsidRPr="00862867">
              <w:rPr>
                <w:rFonts w:ascii="Arial" w:hAnsi="Arial" w:cs="Arial"/>
                <w:sz w:val="20"/>
                <w:szCs w:val="20"/>
              </w:rPr>
              <w:t>Hit rate (weeks where at least one position was open)</w:t>
            </w:r>
          </w:p>
        </w:tc>
        <w:tc>
          <w:tcPr>
            <w:tcW w:w="3117" w:type="dxa"/>
          </w:tcPr>
          <w:p w14:paraId="58D81B13" w14:textId="05657406" w:rsidR="003D4FBF" w:rsidRPr="00862867" w:rsidRDefault="003D4FBF" w:rsidP="004066D9">
            <w:pPr>
              <w:jc w:val="center"/>
              <w:rPr>
                <w:rFonts w:ascii="Arial" w:hAnsi="Arial" w:cs="Arial"/>
                <w:sz w:val="20"/>
                <w:szCs w:val="20"/>
              </w:rPr>
            </w:pPr>
            <w:r w:rsidRPr="00862867">
              <w:rPr>
                <w:rFonts w:ascii="Arial" w:hAnsi="Arial" w:cs="Arial"/>
                <w:sz w:val="20"/>
                <w:szCs w:val="20"/>
              </w:rPr>
              <w:t>57.2%</w:t>
            </w:r>
          </w:p>
        </w:tc>
        <w:tc>
          <w:tcPr>
            <w:tcW w:w="3117" w:type="dxa"/>
          </w:tcPr>
          <w:p w14:paraId="75939392" w14:textId="18D63284" w:rsidR="003D4FBF" w:rsidRPr="00862867" w:rsidRDefault="003D4FBF" w:rsidP="004066D9">
            <w:pPr>
              <w:jc w:val="center"/>
              <w:rPr>
                <w:rFonts w:ascii="Arial" w:hAnsi="Arial" w:cs="Arial"/>
                <w:sz w:val="20"/>
                <w:szCs w:val="20"/>
              </w:rPr>
            </w:pPr>
            <w:r w:rsidRPr="00862867">
              <w:rPr>
                <w:rFonts w:ascii="Arial" w:hAnsi="Arial" w:cs="Arial"/>
                <w:sz w:val="20"/>
                <w:szCs w:val="20"/>
              </w:rPr>
              <w:t>51.9%</w:t>
            </w:r>
          </w:p>
        </w:tc>
      </w:tr>
    </w:tbl>
    <w:p w14:paraId="489186B8" w14:textId="4B4F1271" w:rsidR="003D4FBF" w:rsidRPr="00862867" w:rsidRDefault="000A21C6" w:rsidP="000A21C6">
      <w:pPr>
        <w:tabs>
          <w:tab w:val="center" w:pos="4680"/>
        </w:tabs>
        <w:spacing w:after="0"/>
        <w:jc w:val="center"/>
        <w:rPr>
          <w:rFonts w:ascii="Arial" w:hAnsi="Arial" w:cs="Arial"/>
          <w:sz w:val="16"/>
          <w:szCs w:val="16"/>
        </w:rPr>
      </w:pPr>
      <w:r w:rsidRPr="00862867">
        <w:rPr>
          <w:rFonts w:ascii="Arial" w:hAnsi="Arial" w:cs="Arial"/>
          <w:sz w:val="16"/>
          <w:szCs w:val="16"/>
        </w:rPr>
        <w:t xml:space="preserve">Table </w:t>
      </w:r>
      <w:r w:rsidRPr="00862867">
        <w:rPr>
          <w:rFonts w:ascii="Arial" w:hAnsi="Arial" w:cs="Arial"/>
          <w:sz w:val="16"/>
          <w:szCs w:val="16"/>
        </w:rPr>
        <w:t>2</w:t>
      </w:r>
      <w:r w:rsidRPr="00862867">
        <w:rPr>
          <w:rFonts w:ascii="Arial" w:hAnsi="Arial" w:cs="Arial"/>
          <w:sz w:val="16"/>
          <w:szCs w:val="16"/>
        </w:rPr>
        <w:t xml:space="preserve">: </w:t>
      </w:r>
      <w:r w:rsidRPr="00862867">
        <w:rPr>
          <w:rFonts w:ascii="Arial" w:hAnsi="Arial" w:cs="Arial"/>
          <w:sz w:val="16"/>
          <w:szCs w:val="16"/>
        </w:rPr>
        <w:t xml:space="preserve">results of applying winning strategy to in-sample vs out-of-sample data | </w:t>
      </w:r>
      <w:r w:rsidR="003D4FBF" w:rsidRPr="00862867">
        <w:rPr>
          <w:rFonts w:ascii="Arial" w:hAnsi="Arial" w:cs="Arial"/>
          <w:sz w:val="16"/>
          <w:szCs w:val="16"/>
        </w:rPr>
        <w:t>*The t-statistic tests whether the mean weekly return differs from zero; an absolute value below about 2 means the result is not statistically significant.</w:t>
      </w:r>
    </w:p>
    <w:p w14:paraId="64163D2A" w14:textId="77777777" w:rsidR="00E043F5" w:rsidRPr="00862867" w:rsidRDefault="00E043F5" w:rsidP="000A21C6">
      <w:pPr>
        <w:tabs>
          <w:tab w:val="center" w:pos="4680"/>
        </w:tabs>
        <w:spacing w:after="0"/>
        <w:jc w:val="center"/>
        <w:rPr>
          <w:rFonts w:ascii="Arial" w:hAnsi="Arial" w:cs="Arial"/>
          <w:sz w:val="16"/>
          <w:szCs w:val="16"/>
        </w:rPr>
      </w:pPr>
    </w:p>
    <w:p w14:paraId="7C202FD2" w14:textId="57A43527" w:rsidR="003D4FBF" w:rsidRPr="00862867" w:rsidRDefault="003D4FBF" w:rsidP="003D4FBF">
      <w:pPr>
        <w:tabs>
          <w:tab w:val="center" w:pos="4680"/>
        </w:tabs>
        <w:rPr>
          <w:rFonts w:ascii="Arial" w:hAnsi="Arial" w:cs="Arial"/>
        </w:rPr>
      </w:pPr>
      <w:r w:rsidRPr="00862867">
        <w:rPr>
          <w:rFonts w:ascii="Arial" w:hAnsi="Arial" w:cs="Arial"/>
        </w:rPr>
        <w:t xml:space="preserve">The results show a slight positive result in-sample but negative out-of-sample. The max drawdown also more than doubles out-of-sample. Additionally, the t-test indicates that neither can result can be distinguishable from zero. A candid summary is that there was no reliable evidence of predictability in either period. Additionally, the profits were dominated by macro episodes rather than steady weekly gain. This can be seen on the equity curve below as well. </w:t>
      </w:r>
    </w:p>
    <w:p w14:paraId="4141DF15" w14:textId="34BAC4E4" w:rsidR="003D4FBF" w:rsidRPr="00862867" w:rsidRDefault="003D4FBF" w:rsidP="003D4FBF">
      <w:pPr>
        <w:tabs>
          <w:tab w:val="center" w:pos="4680"/>
        </w:tabs>
        <w:rPr>
          <w:rFonts w:ascii="Arial" w:hAnsi="Arial" w:cs="Arial"/>
        </w:rPr>
      </w:pPr>
      <w:r w:rsidRPr="00862867">
        <w:rPr>
          <w:rFonts w:ascii="Arial" w:hAnsi="Arial" w:cs="Arial"/>
          <w:noProof/>
        </w:rPr>
        <w:lastRenderedPageBreak/>
        <w:drawing>
          <wp:inline distT="0" distB="0" distL="0" distR="0" wp14:anchorId="693F9BFA" wp14:editId="484FB40A">
            <wp:extent cx="5422900" cy="2489200"/>
            <wp:effectExtent l="0" t="0" r="0" b="0"/>
            <wp:docPr id="39050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09854" name=""/>
                    <pic:cNvPicPr/>
                  </pic:nvPicPr>
                  <pic:blipFill>
                    <a:blip r:embed="rId5"/>
                    <a:stretch>
                      <a:fillRect/>
                    </a:stretch>
                  </pic:blipFill>
                  <pic:spPr>
                    <a:xfrm>
                      <a:off x="0" y="0"/>
                      <a:ext cx="5422900" cy="2489200"/>
                    </a:xfrm>
                    <a:prstGeom prst="rect">
                      <a:avLst/>
                    </a:prstGeom>
                  </pic:spPr>
                </pic:pic>
              </a:graphicData>
            </a:graphic>
          </wp:inline>
        </w:drawing>
      </w:r>
    </w:p>
    <w:p w14:paraId="094E2C17" w14:textId="48A5A0CF" w:rsidR="002E2659" w:rsidRPr="00862867" w:rsidRDefault="002E2659" w:rsidP="003D4FBF">
      <w:pPr>
        <w:tabs>
          <w:tab w:val="center" w:pos="4680"/>
        </w:tabs>
        <w:rPr>
          <w:rFonts w:ascii="Arial" w:hAnsi="Arial" w:cs="Arial"/>
        </w:rPr>
      </w:pPr>
      <w:r w:rsidRPr="00862867">
        <w:rPr>
          <w:rFonts w:ascii="Arial" w:hAnsi="Arial" w:cs="Arial"/>
        </w:rPr>
        <w:t xml:space="preserve">Per the equity curve, 57% of the in-sample earnings came from July 2014 to June 2015. Out-of-sample earnings came from the 2020 COVID shock (which returned 13.3%) while all other sample years lost 20.5%. During both periods, gains and losses were attributed to all three currencies, so the results were not due to one specific currency. </w:t>
      </w:r>
    </w:p>
    <w:p w14:paraId="150AC483" w14:textId="77777777" w:rsidR="008620F8" w:rsidRPr="00862867" w:rsidRDefault="005315FE" w:rsidP="005315FE">
      <w:pPr>
        <w:tabs>
          <w:tab w:val="center" w:pos="4680"/>
        </w:tabs>
        <w:rPr>
          <w:rFonts w:ascii="Arial" w:hAnsi="Arial" w:cs="Arial"/>
          <w:b/>
          <w:bCs/>
        </w:rPr>
      </w:pPr>
      <w:r w:rsidRPr="00862867">
        <w:rPr>
          <w:rFonts w:ascii="Arial" w:hAnsi="Arial" w:cs="Arial"/>
          <w:b/>
          <w:bCs/>
        </w:rPr>
        <w:t>Backtest</w:t>
      </w:r>
    </w:p>
    <w:p w14:paraId="666DDC36" w14:textId="6901C7E8" w:rsidR="003138DF" w:rsidRPr="00862867" w:rsidRDefault="000A21C6" w:rsidP="005315FE">
      <w:pPr>
        <w:tabs>
          <w:tab w:val="center" w:pos="4680"/>
        </w:tabs>
        <w:rPr>
          <w:rFonts w:ascii="Arial" w:hAnsi="Arial" w:cs="Arial"/>
        </w:rPr>
      </w:pPr>
      <w:r w:rsidRPr="00862867">
        <w:rPr>
          <w:rFonts w:ascii="Arial" w:hAnsi="Arial" w:cs="Arial"/>
        </w:rPr>
        <w:t xml:space="preserve">The </w:t>
      </w:r>
      <w:r w:rsidR="00E043F5" w:rsidRPr="00862867">
        <w:rPr>
          <w:rFonts w:ascii="Arial" w:hAnsi="Arial" w:cs="Arial"/>
        </w:rPr>
        <w:t>back test</w:t>
      </w:r>
      <w:r w:rsidRPr="00862867">
        <w:rPr>
          <w:rFonts w:ascii="Arial" w:hAnsi="Arial" w:cs="Arial"/>
        </w:rPr>
        <w:t xml:space="preserve"> of the rules </w:t>
      </w:r>
      <w:r w:rsidR="00E043F5" w:rsidRPr="00862867">
        <w:rPr>
          <w:rFonts w:ascii="Arial" w:hAnsi="Arial" w:cs="Arial"/>
        </w:rPr>
        <w:t>was</w:t>
      </w:r>
      <w:r w:rsidRPr="00862867">
        <w:rPr>
          <w:rFonts w:ascii="Arial" w:hAnsi="Arial" w:cs="Arial"/>
        </w:rPr>
        <w:t xml:space="preserve"> done week by week from 2011 to 2026. There are 7 total </w:t>
      </w:r>
      <w:r w:rsidR="0024436D" w:rsidRPr="00862867">
        <w:rPr>
          <w:rFonts w:ascii="Arial" w:hAnsi="Arial" w:cs="Arial"/>
        </w:rPr>
        <w:t>steps.</w:t>
      </w:r>
      <w:r w:rsidRPr="00862867">
        <w:rPr>
          <w:rFonts w:ascii="Arial" w:hAnsi="Arial" w:cs="Arial"/>
        </w:rPr>
        <w:t xml:space="preserve"> </w:t>
      </w:r>
    </w:p>
    <w:p w14:paraId="2D146179" w14:textId="0E72FDD2" w:rsidR="000A21C6" w:rsidRPr="00862867" w:rsidRDefault="000A21C6" w:rsidP="000A21C6">
      <w:pPr>
        <w:rPr>
          <w:rFonts w:ascii="Arial" w:hAnsi="Arial" w:cs="Arial"/>
        </w:rPr>
      </w:pPr>
      <w:r w:rsidRPr="00862867">
        <w:rPr>
          <w:rFonts w:ascii="Arial" w:hAnsi="Arial" w:cs="Arial"/>
          <w:b/>
        </w:rPr>
        <w:t xml:space="preserve">Step 1: measure the recent commodity move. </w:t>
      </w:r>
      <w:r w:rsidRPr="00862867">
        <w:rPr>
          <w:rFonts w:ascii="Arial" w:hAnsi="Arial" w:cs="Arial"/>
        </w:rPr>
        <w:t>For each trading day t, add up the commodity’s daily log returns over the previous L</w:t>
      </w:r>
      <w:r w:rsidR="00E043F5" w:rsidRPr="00862867">
        <w:rPr>
          <w:rFonts w:ascii="Arial" w:hAnsi="Arial" w:cs="Arial"/>
        </w:rPr>
        <w:t xml:space="preserve"> </w:t>
      </w:r>
      <w:r w:rsidR="00015370" w:rsidRPr="00862867">
        <w:rPr>
          <w:rFonts w:ascii="Arial" w:hAnsi="Arial" w:cs="Arial"/>
        </w:rPr>
        <w:t>trading</w:t>
      </w:r>
      <w:r w:rsidR="00E043F5" w:rsidRPr="00862867">
        <w:rPr>
          <w:rFonts w:ascii="Arial" w:hAnsi="Arial" w:cs="Arial"/>
        </w:rPr>
        <w:t xml:space="preserve"> days</w:t>
      </w:r>
      <w:r w:rsidRPr="00862867">
        <w:rPr>
          <w:rFonts w:ascii="Arial" w:hAnsi="Arial" w:cs="Arial"/>
        </w:rPr>
        <w:t xml:space="preserve"> </w:t>
      </w:r>
      <w:r w:rsidR="0024436D" w:rsidRPr="00862867">
        <w:rPr>
          <w:rFonts w:ascii="Arial" w:hAnsi="Arial" w:cs="Arial"/>
        </w:rPr>
        <w:t>(L</w:t>
      </w:r>
      <w:r w:rsidR="00E043F5" w:rsidRPr="00862867">
        <w:rPr>
          <w:rFonts w:ascii="Arial" w:hAnsi="Arial" w:cs="Arial"/>
        </w:rPr>
        <w:t xml:space="preserve"> is </w:t>
      </w:r>
      <w:r w:rsidR="00E043F5" w:rsidRPr="00862867">
        <w:rPr>
          <w:rFonts w:ascii="Arial" w:hAnsi="Arial" w:cs="Arial"/>
        </w:rPr>
        <w:t>the lookback, is 10, 20 or 40</w:t>
      </w:r>
      <w:r w:rsidRPr="00862867">
        <w:rPr>
          <w:rFonts w:ascii="Arial" w:hAnsi="Arial" w:cs="Arial"/>
        </w:rPr>
        <w:t>. The sum stops at day t−1</w:t>
      </w:r>
      <w:r w:rsidR="00015370" w:rsidRPr="00862867">
        <w:rPr>
          <w:rFonts w:ascii="Arial" w:hAnsi="Arial" w:cs="Arial"/>
        </w:rPr>
        <w:t xml:space="preserve"> </w:t>
      </w:r>
      <w:r w:rsidRPr="00862867">
        <w:rPr>
          <w:rFonts w:ascii="Arial" w:hAnsi="Arial" w:cs="Arial"/>
        </w:rPr>
        <w:t>so a decision on day t never uses that day’s own price</w:t>
      </w:r>
      <w:r w:rsidR="00015370" w:rsidRPr="00862867">
        <w:rPr>
          <w:rFonts w:ascii="Arial" w:hAnsi="Arial" w:cs="Arial"/>
        </w:rPr>
        <w:t xml:space="preserve">, ruling out </w:t>
      </w:r>
      <w:r w:rsidRPr="00862867">
        <w:rPr>
          <w:rFonts w:ascii="Arial" w:hAnsi="Arial" w:cs="Arial"/>
        </w:rPr>
        <w:t>look-ahead bias.</w:t>
      </w:r>
    </w:p>
    <w:p w14:paraId="01EC33C8" w14:textId="59D85A93" w:rsidR="000A21C6" w:rsidRPr="00862867" w:rsidRDefault="000A21C6" w:rsidP="000A21C6">
      <w:pPr>
        <w:rPr>
          <w:rFonts w:ascii="Arial" w:hAnsi="Arial" w:cs="Arial"/>
        </w:rPr>
      </w:pPr>
      <w:r w:rsidRPr="00862867">
        <w:rPr>
          <w:rFonts w:ascii="Arial" w:hAnsi="Arial" w:cs="Arial"/>
          <w:b/>
        </w:rPr>
        <w:t xml:space="preserve">Step 2: decide whether the move is large. </w:t>
      </w:r>
      <w:r w:rsidRPr="00862867">
        <w:rPr>
          <w:rFonts w:ascii="Arial" w:hAnsi="Arial" w:cs="Arial"/>
        </w:rPr>
        <w:t xml:space="preserve">The trailing move is turned into a z-score: z = (today’s L-day move − the average L-day move over the past 252 trading days) ÷ the standard deviation of those moves. The first year of data is used up building this history, </w:t>
      </w:r>
      <w:r w:rsidR="0024436D" w:rsidRPr="00862867">
        <w:rPr>
          <w:rFonts w:ascii="Arial" w:hAnsi="Arial" w:cs="Arial"/>
        </w:rPr>
        <w:t xml:space="preserve">so </w:t>
      </w:r>
      <w:r w:rsidRPr="00862867">
        <w:rPr>
          <w:rFonts w:ascii="Arial" w:hAnsi="Arial" w:cs="Arial"/>
        </w:rPr>
        <w:t>the first tradeable week is 11 March 2011</w:t>
      </w:r>
      <w:r w:rsidR="0024436D" w:rsidRPr="00862867">
        <w:rPr>
          <w:rFonts w:ascii="Arial" w:hAnsi="Arial" w:cs="Arial"/>
        </w:rPr>
        <w:t xml:space="preserve"> (as we include a 40-day lookback)</w:t>
      </w:r>
      <w:r w:rsidRPr="00862867">
        <w:rPr>
          <w:rFonts w:ascii="Arial" w:hAnsi="Arial" w:cs="Arial"/>
        </w:rPr>
        <w:t>.</w:t>
      </w:r>
    </w:p>
    <w:p w14:paraId="5D8B2472" w14:textId="3E1EEC2C" w:rsidR="000A21C6" w:rsidRPr="00862867" w:rsidRDefault="000A21C6" w:rsidP="000A21C6">
      <w:pPr>
        <w:rPr>
          <w:rFonts w:ascii="Arial" w:hAnsi="Arial" w:cs="Arial"/>
        </w:rPr>
      </w:pPr>
      <w:r w:rsidRPr="00862867">
        <w:rPr>
          <w:rFonts w:ascii="Arial" w:hAnsi="Arial" w:cs="Arial"/>
          <w:b/>
        </w:rPr>
        <w:t xml:space="preserve">Step 3: turn the z-score into a position. </w:t>
      </w:r>
      <w:r w:rsidRPr="00862867">
        <w:rPr>
          <w:rFonts w:ascii="Arial" w:hAnsi="Arial" w:cs="Arial"/>
        </w:rPr>
        <w:t xml:space="preserve">The position is +1 (long) if z is above the entry threshold k, −1 (short) if z is below −k, and 0 (flat) otherwise. Three thresholds </w:t>
      </w:r>
      <w:r w:rsidR="00547301" w:rsidRPr="00862867">
        <w:rPr>
          <w:rFonts w:ascii="Arial" w:hAnsi="Arial" w:cs="Arial"/>
        </w:rPr>
        <w:t>tried were 0, 0.5, and 1. If k=0 then, then we simply follow the market</w:t>
      </w:r>
      <w:r w:rsidR="0084146F" w:rsidRPr="00862867">
        <w:rPr>
          <w:rFonts w:ascii="Arial" w:hAnsi="Arial" w:cs="Arial"/>
        </w:rPr>
        <w:t>. Alternatively, when</w:t>
      </w:r>
      <w:r w:rsidRPr="00862867">
        <w:rPr>
          <w:rFonts w:ascii="Arial" w:hAnsi="Arial" w:cs="Arial"/>
        </w:rPr>
        <w:t xml:space="preserve"> k = 0.5 </w:t>
      </w:r>
      <w:r w:rsidR="0084146F" w:rsidRPr="00862867">
        <w:rPr>
          <w:rFonts w:ascii="Arial" w:hAnsi="Arial" w:cs="Arial"/>
        </w:rPr>
        <w:t>or</w:t>
      </w:r>
      <w:r w:rsidRPr="00862867">
        <w:rPr>
          <w:rFonts w:ascii="Arial" w:hAnsi="Arial" w:cs="Arial"/>
        </w:rPr>
        <w:t xml:space="preserve"> 1.0, </w:t>
      </w:r>
      <w:r w:rsidR="0084146F" w:rsidRPr="00862867">
        <w:rPr>
          <w:rFonts w:ascii="Arial" w:hAnsi="Arial" w:cs="Arial"/>
        </w:rPr>
        <w:t>we only trade when the move is half</w:t>
      </w:r>
      <w:r w:rsidRPr="00862867">
        <w:rPr>
          <w:rFonts w:ascii="Arial" w:hAnsi="Arial" w:cs="Arial"/>
        </w:rPr>
        <w:t xml:space="preserve"> or one standard deviation away from normal. </w:t>
      </w:r>
    </w:p>
    <w:p w14:paraId="3E020A60" w14:textId="6AF58B00" w:rsidR="000A21C6" w:rsidRPr="00862867" w:rsidRDefault="000A21C6" w:rsidP="000A21C6">
      <w:pPr>
        <w:rPr>
          <w:rFonts w:ascii="Arial" w:hAnsi="Arial" w:cs="Arial"/>
        </w:rPr>
      </w:pPr>
      <w:r w:rsidRPr="00862867">
        <w:rPr>
          <w:rFonts w:ascii="Arial" w:hAnsi="Arial" w:cs="Arial"/>
          <w:b/>
        </w:rPr>
        <w:t xml:space="preserve">Step 4: trade once a week. </w:t>
      </w:r>
      <w:r w:rsidRPr="00862867">
        <w:rPr>
          <w:rFonts w:ascii="Arial" w:hAnsi="Arial" w:cs="Arial"/>
        </w:rPr>
        <w:t>Every Friday, the position given by that day’s signal (built from data up to Thursday) is put on at Friday’s close and held until the next Friday’s close</w:t>
      </w:r>
      <w:r w:rsidR="0084146F" w:rsidRPr="00862867">
        <w:rPr>
          <w:rFonts w:ascii="Arial" w:hAnsi="Arial" w:cs="Arial"/>
        </w:rPr>
        <w:t xml:space="preserve">. </w:t>
      </w:r>
      <w:r w:rsidRPr="00862867">
        <w:rPr>
          <w:rFonts w:ascii="Arial" w:hAnsi="Arial" w:cs="Arial"/>
        </w:rPr>
        <w:t>The return earned is the currency’s weekly log return against the US dollar</w:t>
      </w:r>
      <w:r w:rsidR="008459D1" w:rsidRPr="00862867">
        <w:rPr>
          <w:rFonts w:ascii="Arial" w:hAnsi="Arial" w:cs="Arial"/>
        </w:rPr>
        <w:t xml:space="preserve">. Notably, </w:t>
      </w:r>
      <w:r w:rsidRPr="00862867">
        <w:rPr>
          <w:rFonts w:ascii="Arial" w:hAnsi="Arial" w:cs="Arial"/>
        </w:rPr>
        <w:t xml:space="preserve">CAD and NOK sign-flipped </w:t>
      </w:r>
      <w:r w:rsidR="008459D1" w:rsidRPr="00862867">
        <w:rPr>
          <w:rFonts w:ascii="Arial" w:hAnsi="Arial" w:cs="Arial"/>
        </w:rPr>
        <w:t xml:space="preserve">to always look at whether the local currency has </w:t>
      </w:r>
      <w:r w:rsidR="008459D1" w:rsidRPr="00862867">
        <w:rPr>
          <w:rFonts w:ascii="Arial" w:hAnsi="Arial" w:cs="Arial"/>
        </w:rPr>
        <w:lastRenderedPageBreak/>
        <w:t>strengthened or weakened</w:t>
      </w:r>
      <w:r w:rsidRPr="00862867">
        <w:rPr>
          <w:rFonts w:ascii="Arial" w:hAnsi="Arial" w:cs="Arial"/>
        </w:rPr>
        <w:t xml:space="preserve">. </w:t>
      </w:r>
      <w:r w:rsidR="008459D1" w:rsidRPr="00862867">
        <w:rPr>
          <w:rFonts w:ascii="Arial" w:hAnsi="Arial" w:cs="Arial"/>
        </w:rPr>
        <w:t xml:space="preserve">The week-long holding period </w:t>
      </w:r>
      <w:proofErr w:type="gramStart"/>
      <w:r w:rsidR="008459D1" w:rsidRPr="00862867">
        <w:rPr>
          <w:rFonts w:ascii="Arial" w:hAnsi="Arial" w:cs="Arial"/>
        </w:rPr>
        <w:t>is a reflection of</w:t>
      </w:r>
      <w:proofErr w:type="gramEnd"/>
      <w:r w:rsidR="008459D1" w:rsidRPr="00862867">
        <w:rPr>
          <w:rFonts w:ascii="Arial" w:hAnsi="Arial" w:cs="Arial"/>
        </w:rPr>
        <w:t xml:space="preserve"> the initial question of the investigation.</w:t>
      </w:r>
    </w:p>
    <w:p w14:paraId="6F54D100" w14:textId="6433AB70" w:rsidR="000A21C6" w:rsidRPr="00862867" w:rsidRDefault="000A21C6" w:rsidP="000A21C6">
      <w:pPr>
        <w:rPr>
          <w:rFonts w:ascii="Arial" w:hAnsi="Arial" w:cs="Arial"/>
        </w:rPr>
      </w:pPr>
      <w:r w:rsidRPr="00862867">
        <w:rPr>
          <w:rFonts w:ascii="Arial" w:hAnsi="Arial" w:cs="Arial"/>
          <w:b/>
        </w:rPr>
        <w:t xml:space="preserve">Step 5: charge transaction costs. </w:t>
      </w:r>
      <w:r w:rsidR="008459D1" w:rsidRPr="00862867">
        <w:rPr>
          <w:rFonts w:ascii="Arial" w:hAnsi="Arial" w:cs="Arial"/>
        </w:rPr>
        <w:t xml:space="preserve">The </w:t>
      </w:r>
      <w:r w:rsidRPr="00862867">
        <w:rPr>
          <w:rFonts w:ascii="Arial" w:hAnsi="Arial" w:cs="Arial"/>
        </w:rPr>
        <w:t xml:space="preserve">currency earns position × weekly FX return × 1/3. </w:t>
      </w:r>
      <w:r w:rsidR="008459D1" w:rsidRPr="00862867">
        <w:rPr>
          <w:rFonts w:ascii="Arial" w:hAnsi="Arial" w:cs="Arial"/>
        </w:rPr>
        <w:t>If there is a position change, a transaction cost of</w:t>
      </w:r>
      <w:r w:rsidRPr="00862867">
        <w:rPr>
          <w:rFonts w:ascii="Arial" w:hAnsi="Arial" w:cs="Arial"/>
        </w:rPr>
        <w:t xml:space="preserve"> size of the change × 1/3 × the one-way cost</w:t>
      </w:r>
      <w:r w:rsidR="008459D1" w:rsidRPr="00862867">
        <w:rPr>
          <w:rFonts w:ascii="Arial" w:hAnsi="Arial" w:cs="Arial"/>
        </w:rPr>
        <w:t xml:space="preserve"> is charged</w:t>
      </w:r>
      <w:r w:rsidRPr="00862867">
        <w:rPr>
          <w:rFonts w:ascii="Arial" w:hAnsi="Arial" w:cs="Arial"/>
        </w:rPr>
        <w:t xml:space="preserve"> </w:t>
      </w:r>
      <w:r w:rsidR="008459D1" w:rsidRPr="00862867">
        <w:rPr>
          <w:rFonts w:ascii="Arial" w:hAnsi="Arial" w:cs="Arial"/>
        </w:rPr>
        <w:t>(</w:t>
      </w:r>
      <w:r w:rsidRPr="00862867">
        <w:rPr>
          <w:rFonts w:ascii="Arial" w:hAnsi="Arial" w:cs="Arial"/>
        </w:rPr>
        <w:t>2 basis points for CAD and AUD, and 5 for NOK, which trades less</w:t>
      </w:r>
      <w:r w:rsidR="008459D1" w:rsidRPr="00862867">
        <w:rPr>
          <w:rFonts w:ascii="Arial" w:hAnsi="Arial" w:cs="Arial"/>
        </w:rPr>
        <w:t>)</w:t>
      </w:r>
      <w:r w:rsidRPr="00862867">
        <w:rPr>
          <w:rFonts w:ascii="Arial" w:hAnsi="Arial" w:cs="Arial"/>
        </w:rPr>
        <w:t xml:space="preserve">. </w:t>
      </w:r>
      <w:r w:rsidR="008459D1" w:rsidRPr="00862867">
        <w:rPr>
          <w:rFonts w:ascii="Arial" w:hAnsi="Arial" w:cs="Arial"/>
        </w:rPr>
        <w:t>Changing from</w:t>
      </w:r>
      <w:r w:rsidRPr="00862867">
        <w:rPr>
          <w:rFonts w:ascii="Arial" w:hAnsi="Arial" w:cs="Arial"/>
        </w:rPr>
        <w:t xml:space="preserve"> flat to long</w:t>
      </w:r>
      <w:r w:rsidR="008459D1" w:rsidRPr="00862867">
        <w:rPr>
          <w:rFonts w:ascii="Arial" w:hAnsi="Arial" w:cs="Arial"/>
        </w:rPr>
        <w:t>/short</w:t>
      </w:r>
      <w:r w:rsidRPr="00862867">
        <w:rPr>
          <w:rFonts w:ascii="Arial" w:hAnsi="Arial" w:cs="Arial"/>
        </w:rPr>
        <w:t xml:space="preserve"> is a change of 1</w:t>
      </w:r>
      <w:r w:rsidR="008459D1" w:rsidRPr="00862867">
        <w:rPr>
          <w:rFonts w:ascii="Arial" w:hAnsi="Arial" w:cs="Arial"/>
        </w:rPr>
        <w:t xml:space="preserve">, while going from </w:t>
      </w:r>
      <w:r w:rsidRPr="00862867">
        <w:rPr>
          <w:rFonts w:ascii="Arial" w:hAnsi="Arial" w:cs="Arial"/>
        </w:rPr>
        <w:t xml:space="preserve">flipping from long to short </w:t>
      </w:r>
      <w:r w:rsidR="008459D1" w:rsidRPr="00862867">
        <w:rPr>
          <w:rFonts w:ascii="Arial" w:hAnsi="Arial" w:cs="Arial"/>
        </w:rPr>
        <w:t xml:space="preserve">or vice versa </w:t>
      </w:r>
      <w:r w:rsidRPr="00862867">
        <w:rPr>
          <w:rFonts w:ascii="Arial" w:hAnsi="Arial" w:cs="Arial"/>
        </w:rPr>
        <w:t>is a change of</w:t>
      </w:r>
      <w:r w:rsidR="008459D1" w:rsidRPr="00862867">
        <w:rPr>
          <w:rFonts w:ascii="Arial" w:hAnsi="Arial" w:cs="Arial"/>
        </w:rPr>
        <w:t xml:space="preserve"> 2</w:t>
      </w:r>
      <w:r w:rsidRPr="00862867">
        <w:rPr>
          <w:rFonts w:ascii="Arial" w:hAnsi="Arial" w:cs="Arial"/>
        </w:rPr>
        <w:t xml:space="preserve">. </w:t>
      </w:r>
      <w:r w:rsidR="008459D1" w:rsidRPr="00862867">
        <w:rPr>
          <w:rFonts w:ascii="Arial" w:hAnsi="Arial" w:cs="Arial"/>
        </w:rPr>
        <w:t>Ultimately, t</w:t>
      </w:r>
      <w:r w:rsidR="008459D1" w:rsidRPr="00862867">
        <w:rPr>
          <w:rFonts w:ascii="Arial" w:hAnsi="Arial" w:cs="Arial"/>
        </w:rPr>
        <w:t>he portfolio’s weekly return is the sum of the three currencies’ net returns.</w:t>
      </w:r>
    </w:p>
    <w:p w14:paraId="23E2DBD2" w14:textId="2EDCDD2D" w:rsidR="000A21C6" w:rsidRPr="00862867" w:rsidRDefault="000A21C6" w:rsidP="000A21C6">
      <w:pPr>
        <w:rPr>
          <w:rFonts w:ascii="Arial" w:hAnsi="Arial" w:cs="Arial"/>
        </w:rPr>
      </w:pPr>
      <w:r w:rsidRPr="00862867">
        <w:rPr>
          <w:rFonts w:ascii="Arial" w:hAnsi="Arial" w:cs="Arial"/>
          <w:b/>
        </w:rPr>
        <w:t xml:space="preserve">Step 6: </w:t>
      </w:r>
      <w:r w:rsidR="008459D1" w:rsidRPr="00862867">
        <w:rPr>
          <w:rFonts w:ascii="Arial" w:hAnsi="Arial" w:cs="Arial"/>
          <w:b/>
        </w:rPr>
        <w:t>determining winning configuration then applying out-of-sample</w:t>
      </w:r>
      <w:r w:rsidRPr="00862867">
        <w:rPr>
          <w:rFonts w:ascii="Arial" w:hAnsi="Arial" w:cs="Arial"/>
          <w:b/>
        </w:rPr>
        <w:t xml:space="preserve">. </w:t>
      </w:r>
      <w:r w:rsidR="008459D1" w:rsidRPr="00862867">
        <w:rPr>
          <w:rFonts w:ascii="Arial" w:hAnsi="Arial" w:cs="Arial"/>
        </w:rPr>
        <w:t>All 9 possible configurations</w:t>
      </w:r>
      <w:r w:rsidRPr="00862867">
        <w:rPr>
          <w:rFonts w:ascii="Arial" w:hAnsi="Arial" w:cs="Arial"/>
        </w:rPr>
        <w:t xml:space="preserve"> were </w:t>
      </w:r>
      <w:r w:rsidR="008459D1" w:rsidRPr="00862867">
        <w:rPr>
          <w:rFonts w:ascii="Arial" w:hAnsi="Arial" w:cs="Arial"/>
        </w:rPr>
        <w:t>back tested</w:t>
      </w:r>
      <w:r w:rsidRPr="00862867">
        <w:rPr>
          <w:rFonts w:ascii="Arial" w:hAnsi="Arial" w:cs="Arial"/>
        </w:rPr>
        <w:t xml:space="preserve"> on the in-sample period, 2011–2018 (408 weeks</w:t>
      </w:r>
      <w:r w:rsidR="008459D1" w:rsidRPr="00862867">
        <w:rPr>
          <w:rFonts w:ascii="Arial" w:hAnsi="Arial" w:cs="Arial"/>
        </w:rPr>
        <w:t>) and</w:t>
      </w:r>
      <w:r w:rsidRPr="00862867">
        <w:rPr>
          <w:rFonts w:ascii="Arial" w:hAnsi="Arial" w:cs="Arial"/>
        </w:rPr>
        <w:t xml:space="preserve"> ranked by Sharpe ratio after costs. </w:t>
      </w:r>
      <w:r w:rsidR="008459D1" w:rsidRPr="00862867">
        <w:rPr>
          <w:rFonts w:ascii="Arial" w:hAnsi="Arial" w:cs="Arial"/>
        </w:rPr>
        <w:t>Ultimately, a</w:t>
      </w:r>
      <w:r w:rsidRPr="00862867">
        <w:rPr>
          <w:rFonts w:ascii="Arial" w:hAnsi="Arial" w:cs="Arial"/>
        </w:rPr>
        <w:t xml:space="preserve"> 40-day lookback with a 1.0 threshold</w:t>
      </w:r>
      <w:r w:rsidR="008459D1" w:rsidRPr="00862867">
        <w:rPr>
          <w:rFonts w:ascii="Arial" w:hAnsi="Arial" w:cs="Arial"/>
        </w:rPr>
        <w:t xml:space="preserve"> had the best </w:t>
      </w:r>
      <w:r w:rsidR="00466BFF" w:rsidRPr="00862867">
        <w:rPr>
          <w:rFonts w:ascii="Arial" w:hAnsi="Arial" w:cs="Arial"/>
        </w:rPr>
        <w:t>Sharpe</w:t>
      </w:r>
      <w:r w:rsidR="008459D1" w:rsidRPr="00862867">
        <w:rPr>
          <w:rFonts w:ascii="Arial" w:hAnsi="Arial" w:cs="Arial"/>
        </w:rPr>
        <w:t xml:space="preserve"> ratio after costs. We then applied this configuration </w:t>
      </w:r>
      <w:r w:rsidRPr="00862867">
        <w:rPr>
          <w:rFonts w:ascii="Arial" w:hAnsi="Arial" w:cs="Arial"/>
        </w:rPr>
        <w:t>on the out-of-sample period</w:t>
      </w:r>
      <w:r w:rsidR="008459D1" w:rsidRPr="00862867">
        <w:rPr>
          <w:rFonts w:ascii="Arial" w:hAnsi="Arial" w:cs="Arial"/>
        </w:rPr>
        <w:t xml:space="preserve"> (</w:t>
      </w:r>
      <w:r w:rsidRPr="00862867">
        <w:rPr>
          <w:rFonts w:ascii="Arial" w:hAnsi="Arial" w:cs="Arial"/>
        </w:rPr>
        <w:t>2019</w:t>
      </w:r>
      <w:r w:rsidR="008459D1" w:rsidRPr="00862867">
        <w:rPr>
          <w:rFonts w:ascii="Arial" w:hAnsi="Arial" w:cs="Arial"/>
        </w:rPr>
        <w:t xml:space="preserve"> to </w:t>
      </w:r>
      <w:r w:rsidRPr="00862867">
        <w:rPr>
          <w:rFonts w:ascii="Arial" w:hAnsi="Arial" w:cs="Arial"/>
        </w:rPr>
        <w:t>2026</w:t>
      </w:r>
      <w:r w:rsidR="008459D1" w:rsidRPr="00862867">
        <w:rPr>
          <w:rFonts w:ascii="Arial" w:hAnsi="Arial" w:cs="Arial"/>
        </w:rPr>
        <w:t xml:space="preserve">, </w:t>
      </w:r>
      <w:r w:rsidRPr="00862867">
        <w:rPr>
          <w:rFonts w:ascii="Arial" w:hAnsi="Arial" w:cs="Arial"/>
        </w:rPr>
        <w:t>403 weeks</w:t>
      </w:r>
      <w:r w:rsidR="008459D1" w:rsidRPr="00862867">
        <w:rPr>
          <w:rFonts w:ascii="Arial" w:hAnsi="Arial" w:cs="Arial"/>
        </w:rPr>
        <w:t>), which the results that we are looking for</w:t>
      </w:r>
      <w:r w:rsidRPr="00862867">
        <w:rPr>
          <w:rFonts w:ascii="Arial" w:hAnsi="Arial" w:cs="Arial"/>
        </w:rPr>
        <w:t>.</w:t>
      </w:r>
    </w:p>
    <w:p w14:paraId="792DA856" w14:textId="1CF7DA67" w:rsidR="00AD5AE4" w:rsidRPr="00862867" w:rsidRDefault="000A21C6" w:rsidP="000A21C6">
      <w:pPr>
        <w:rPr>
          <w:rFonts w:ascii="Arial" w:hAnsi="Arial" w:cs="Arial"/>
        </w:rPr>
      </w:pPr>
      <w:r w:rsidRPr="00862867">
        <w:rPr>
          <w:rFonts w:ascii="Arial" w:hAnsi="Arial" w:cs="Arial"/>
          <w:b/>
        </w:rPr>
        <w:t xml:space="preserve">Step 7: measure performance. </w:t>
      </w:r>
      <w:r w:rsidR="00AD5AE4" w:rsidRPr="00862867">
        <w:rPr>
          <w:rFonts w:ascii="Arial" w:hAnsi="Arial" w:cs="Arial"/>
          <w:bCs/>
        </w:rPr>
        <w:t>We visualised the returns through an equity curve that starts at $1 and shows the compounded portfolio returns. Then we minus 1 from the final value to see the total return, and the annualised return. To find we</w:t>
      </w:r>
      <w:r w:rsidR="00AD5AE4" w:rsidRPr="00862867">
        <w:rPr>
          <w:rFonts w:ascii="Arial" w:hAnsi="Arial" w:cs="Arial"/>
        </w:rPr>
        <w:t xml:space="preserve"> look at the</w:t>
      </w:r>
      <w:r w:rsidRPr="00862867">
        <w:rPr>
          <w:rFonts w:ascii="Arial" w:hAnsi="Arial" w:cs="Arial"/>
        </w:rPr>
        <w:t xml:space="preserve"> standard deviation of weekly returns × √52</w:t>
      </w:r>
      <w:r w:rsidR="00AD5AE4" w:rsidRPr="00862867">
        <w:rPr>
          <w:rFonts w:ascii="Arial" w:hAnsi="Arial" w:cs="Arial"/>
        </w:rPr>
        <w:t>. Finally,</w:t>
      </w:r>
      <w:r w:rsidRPr="00862867">
        <w:rPr>
          <w:rFonts w:ascii="Arial" w:hAnsi="Arial" w:cs="Arial"/>
        </w:rPr>
        <w:t xml:space="preserve"> the Sharpe ratio is </w:t>
      </w:r>
      <w:r w:rsidR="00AD5AE4" w:rsidRPr="00862867">
        <w:rPr>
          <w:rFonts w:ascii="Arial" w:hAnsi="Arial" w:cs="Arial"/>
        </w:rPr>
        <w:t xml:space="preserve">the </w:t>
      </w:r>
      <w:r w:rsidRPr="00862867">
        <w:rPr>
          <w:rFonts w:ascii="Arial" w:hAnsi="Arial" w:cs="Arial"/>
        </w:rPr>
        <w:t>annualised return ÷ annualised volatility, with no risk-free rate subtracted</w:t>
      </w:r>
      <w:r w:rsidR="00AD5AE4" w:rsidRPr="00862867">
        <w:rPr>
          <w:rFonts w:ascii="Arial" w:hAnsi="Arial" w:cs="Arial"/>
        </w:rPr>
        <w:t>. The usual convention for FX strategies is to disregard the risk-free rat</w:t>
      </w:r>
      <w:r w:rsidR="00D713CE" w:rsidRPr="00862867">
        <w:rPr>
          <w:rFonts w:ascii="Arial" w:hAnsi="Arial" w:cs="Arial"/>
        </w:rPr>
        <w:t>e, ass</w:t>
      </w:r>
      <w:r w:rsidR="00D713CE" w:rsidRPr="00862867">
        <w:rPr>
          <w:rFonts w:ascii="Arial" w:hAnsi="Arial" w:cs="Arial"/>
        </w:rPr>
        <w:t xml:space="preserve"> FX positi</w:t>
      </w:r>
      <w:r w:rsidR="00D713CE" w:rsidRPr="00862867">
        <w:rPr>
          <w:rFonts w:ascii="Arial" w:hAnsi="Arial" w:cs="Arial"/>
        </w:rPr>
        <w:t>o</w:t>
      </w:r>
      <w:r w:rsidR="00D713CE" w:rsidRPr="00862867">
        <w:rPr>
          <w:rFonts w:ascii="Arial" w:hAnsi="Arial" w:cs="Arial"/>
        </w:rPr>
        <w:t>n</w:t>
      </w:r>
      <w:r w:rsidR="00D713CE" w:rsidRPr="00862867">
        <w:rPr>
          <w:rFonts w:ascii="Arial" w:hAnsi="Arial" w:cs="Arial"/>
        </w:rPr>
        <w:t>s</w:t>
      </w:r>
      <w:r w:rsidR="00D713CE" w:rsidRPr="00862867">
        <w:rPr>
          <w:rFonts w:ascii="Arial" w:hAnsi="Arial" w:cs="Arial"/>
        </w:rPr>
        <w:t xml:space="preserve"> </w:t>
      </w:r>
      <w:r w:rsidR="00D713CE" w:rsidRPr="00862867">
        <w:rPr>
          <w:rFonts w:ascii="Arial" w:hAnsi="Arial" w:cs="Arial"/>
        </w:rPr>
        <w:t>are</w:t>
      </w:r>
      <w:r w:rsidR="00D713CE" w:rsidRPr="00862867">
        <w:rPr>
          <w:rFonts w:ascii="Arial" w:hAnsi="Arial" w:cs="Arial"/>
        </w:rPr>
        <w:t xml:space="preserve"> paid for with borrowed money, not your own cash. Your cash can still earn the risk-free rate the whole time</w:t>
      </w:r>
      <w:r w:rsidR="00D713CE" w:rsidRPr="00862867">
        <w:rPr>
          <w:rFonts w:ascii="Arial" w:hAnsi="Arial" w:cs="Arial"/>
        </w:rPr>
        <w:t>.</w:t>
      </w:r>
    </w:p>
    <w:p w14:paraId="6E9229EB" w14:textId="0050EB37" w:rsidR="000A21C6" w:rsidRPr="00862867" w:rsidRDefault="00AD5AE4" w:rsidP="000A21C6">
      <w:pPr>
        <w:rPr>
          <w:rFonts w:ascii="Arial" w:hAnsi="Arial" w:cs="Arial"/>
          <w:bCs/>
        </w:rPr>
      </w:pPr>
      <w:r w:rsidRPr="00862867">
        <w:rPr>
          <w:rFonts w:ascii="Arial" w:hAnsi="Arial" w:cs="Arial"/>
          <w:b/>
          <w:bCs/>
        </w:rPr>
        <w:t>Step 8: testing for significance of results</w:t>
      </w:r>
      <w:r w:rsidRPr="00862867">
        <w:rPr>
          <w:rFonts w:ascii="Arial" w:hAnsi="Arial" w:cs="Arial"/>
        </w:rPr>
        <w:t>. We leveraged a t-test to verify whether there is a meaningful deviation from 0% returns at a 95% confidence level. The</w:t>
      </w:r>
      <w:r w:rsidR="000A21C6" w:rsidRPr="00862867">
        <w:rPr>
          <w:rFonts w:ascii="Arial" w:hAnsi="Arial" w:cs="Arial"/>
        </w:rPr>
        <w:t xml:space="preserve"> t-statistic</w:t>
      </w:r>
      <w:r w:rsidRPr="00862867">
        <w:rPr>
          <w:rFonts w:ascii="Arial" w:hAnsi="Arial" w:cs="Arial"/>
        </w:rPr>
        <w:t xml:space="preserve"> was constructed using the formula:</w:t>
      </w:r>
      <w:r w:rsidR="000A21C6" w:rsidRPr="00862867">
        <w:rPr>
          <w:rFonts w:ascii="Arial" w:hAnsi="Arial" w:cs="Arial"/>
        </w:rPr>
        <w:t xml:space="preserve"> mean weekly return ÷ (standard deviation ÷ √number of weeks)</w:t>
      </w:r>
      <w:r w:rsidRPr="00862867">
        <w:rPr>
          <w:rFonts w:ascii="Arial" w:hAnsi="Arial" w:cs="Arial"/>
        </w:rPr>
        <w:t>.</w:t>
      </w:r>
    </w:p>
    <w:p w14:paraId="443DFB77" w14:textId="77777777" w:rsidR="000A21C6" w:rsidRPr="00862867" w:rsidRDefault="000A21C6" w:rsidP="005315FE">
      <w:pPr>
        <w:tabs>
          <w:tab w:val="center" w:pos="4680"/>
        </w:tabs>
        <w:rPr>
          <w:rFonts w:ascii="Arial" w:hAnsi="Arial" w:cs="Arial"/>
        </w:rPr>
      </w:pPr>
    </w:p>
    <w:p w14:paraId="5CFBF73F" w14:textId="52FDAC39" w:rsidR="008F1412" w:rsidRPr="00862867" w:rsidRDefault="008F1412" w:rsidP="008F1412">
      <w:pPr>
        <w:rPr>
          <w:rFonts w:ascii="Arial" w:hAnsi="Arial" w:cs="Arial"/>
          <w:b/>
          <w:bCs/>
          <w:sz w:val="32"/>
          <w:szCs w:val="32"/>
        </w:rPr>
      </w:pPr>
      <w:r w:rsidRPr="00862867">
        <w:rPr>
          <w:rFonts w:ascii="Arial" w:hAnsi="Arial" w:cs="Arial"/>
          <w:b/>
          <w:bCs/>
          <w:sz w:val="32"/>
          <w:szCs w:val="32"/>
        </w:rPr>
        <w:t xml:space="preserve">4. </w:t>
      </w:r>
      <w:r w:rsidR="008F16ED" w:rsidRPr="00862867">
        <w:rPr>
          <w:rFonts w:ascii="Arial" w:hAnsi="Arial" w:cs="Arial"/>
          <w:b/>
          <w:bCs/>
          <w:sz w:val="32"/>
          <w:szCs w:val="32"/>
        </w:rPr>
        <w:t>Methodology</w:t>
      </w:r>
      <w:r w:rsidRPr="00862867">
        <w:rPr>
          <w:rFonts w:ascii="Arial" w:hAnsi="Arial" w:cs="Arial"/>
          <w:b/>
          <w:bCs/>
          <w:sz w:val="32"/>
          <w:szCs w:val="32"/>
        </w:rPr>
        <w:t xml:space="preserve"> Defence</w:t>
      </w:r>
    </w:p>
    <w:p w14:paraId="2CB36648" w14:textId="5A9498DE" w:rsidR="002E2659" w:rsidRPr="00862867" w:rsidRDefault="002E2659" w:rsidP="008F1412">
      <w:pPr>
        <w:rPr>
          <w:rFonts w:ascii="Arial" w:hAnsi="Arial" w:cs="Arial"/>
          <w:b/>
          <w:bCs/>
        </w:rPr>
      </w:pPr>
      <w:r w:rsidRPr="00862867">
        <w:rPr>
          <w:rFonts w:ascii="Arial" w:hAnsi="Arial" w:cs="Arial"/>
          <w:b/>
          <w:bCs/>
        </w:rPr>
        <w:t>Universe</w:t>
      </w:r>
    </w:p>
    <w:p w14:paraId="398D4147" w14:textId="172C94E9" w:rsidR="008620F8" w:rsidRPr="00862867" w:rsidRDefault="008620F8" w:rsidP="008F1412">
      <w:pPr>
        <w:rPr>
          <w:rFonts w:ascii="Arial" w:hAnsi="Arial" w:cs="Arial"/>
        </w:rPr>
      </w:pPr>
      <w:r w:rsidRPr="00862867">
        <w:rPr>
          <w:rFonts w:ascii="Arial" w:hAnsi="Arial" w:cs="Arial"/>
        </w:rPr>
        <w:t xml:space="preserve">The reason for CAD, NOK and AUD as the currencies in the universe is due to their liquidity as G10 currencies, as well as their well-established single-commodity export link. The commodity link also has a clean price history since 2010 offered on Yahoo Finance API. Although Copper is an imperfect proxy for Australia, whose largest export is iron ore, there are no liquid futures history on </w:t>
      </w:r>
      <w:proofErr w:type="spellStart"/>
      <w:r w:rsidRPr="00862867">
        <w:rPr>
          <w:rFonts w:ascii="Arial" w:hAnsi="Arial" w:cs="Arial"/>
        </w:rPr>
        <w:t>yfinance</w:t>
      </w:r>
      <w:proofErr w:type="spellEnd"/>
      <w:r w:rsidRPr="00862867">
        <w:rPr>
          <w:rFonts w:ascii="Arial" w:hAnsi="Arial" w:cs="Arial"/>
        </w:rPr>
        <w:t xml:space="preserve">. </w:t>
      </w:r>
    </w:p>
    <w:p w14:paraId="0FBD4999" w14:textId="59512099" w:rsidR="002E2659" w:rsidRPr="00862867" w:rsidRDefault="002E2659" w:rsidP="008F1412">
      <w:pPr>
        <w:rPr>
          <w:rFonts w:ascii="Arial" w:hAnsi="Arial" w:cs="Arial"/>
          <w:b/>
          <w:bCs/>
        </w:rPr>
      </w:pPr>
      <w:r w:rsidRPr="00862867">
        <w:rPr>
          <w:rFonts w:ascii="Arial" w:hAnsi="Arial" w:cs="Arial"/>
          <w:b/>
          <w:bCs/>
        </w:rPr>
        <w:t>Train/Test Split</w:t>
      </w:r>
    </w:p>
    <w:p w14:paraId="1560A210" w14:textId="02BD209C" w:rsidR="008620F8" w:rsidRPr="00862867" w:rsidRDefault="008620F8" w:rsidP="008F1412">
      <w:pPr>
        <w:rPr>
          <w:rFonts w:ascii="Arial" w:hAnsi="Arial" w:cs="Arial"/>
        </w:rPr>
      </w:pPr>
      <w:r w:rsidRPr="00862867">
        <w:rPr>
          <w:rFonts w:ascii="Arial" w:hAnsi="Arial" w:cs="Arial"/>
        </w:rPr>
        <w:lastRenderedPageBreak/>
        <w:t xml:space="preserve">Parameters were tuned only </w:t>
      </w:r>
      <w:proofErr w:type="gramStart"/>
      <w:r w:rsidRPr="00862867">
        <w:rPr>
          <w:rFonts w:ascii="Arial" w:hAnsi="Arial" w:cs="Arial"/>
        </w:rPr>
        <w:t>on</w:t>
      </w:r>
      <w:proofErr w:type="gramEnd"/>
      <w:r w:rsidRPr="00862867">
        <w:rPr>
          <w:rFonts w:ascii="Arial" w:hAnsi="Arial" w:cs="Arial"/>
        </w:rPr>
        <w:t xml:space="preserve"> 2011–2018 and evaluated once </w:t>
      </w:r>
      <w:proofErr w:type="gramStart"/>
      <w:r w:rsidRPr="00862867">
        <w:rPr>
          <w:rFonts w:ascii="Arial" w:hAnsi="Arial" w:cs="Arial"/>
        </w:rPr>
        <w:t>on</w:t>
      </w:r>
      <w:proofErr w:type="gramEnd"/>
      <w:r w:rsidRPr="00862867">
        <w:rPr>
          <w:rFonts w:ascii="Arial" w:hAnsi="Arial" w:cs="Arial"/>
        </w:rPr>
        <w:t xml:space="preserve"> 2019–2026 due to being two roughly equal halves. </w:t>
      </w:r>
    </w:p>
    <w:p w14:paraId="2B3D9450" w14:textId="3F45FACF" w:rsidR="002E2659" w:rsidRPr="00862867" w:rsidRDefault="002E2659" w:rsidP="008F1412">
      <w:pPr>
        <w:rPr>
          <w:rFonts w:ascii="Arial" w:hAnsi="Arial" w:cs="Arial"/>
          <w:b/>
          <w:bCs/>
        </w:rPr>
      </w:pPr>
      <w:r w:rsidRPr="00862867">
        <w:rPr>
          <w:rFonts w:ascii="Arial" w:hAnsi="Arial" w:cs="Arial"/>
          <w:b/>
          <w:bCs/>
        </w:rPr>
        <w:t>Transaction Cost Assumptions</w:t>
      </w:r>
    </w:p>
    <w:p w14:paraId="7B6EAE84" w14:textId="551EFCC6" w:rsidR="008620F8" w:rsidRPr="00862867" w:rsidRDefault="008620F8" w:rsidP="008F1412">
      <w:pPr>
        <w:rPr>
          <w:rFonts w:ascii="Arial" w:hAnsi="Arial" w:cs="Arial"/>
        </w:rPr>
      </w:pPr>
      <w:r w:rsidRPr="00862867">
        <w:rPr>
          <w:rFonts w:ascii="Arial" w:hAnsi="Arial" w:cs="Arial"/>
        </w:rPr>
        <w:t>The base case charges 2bps per position change for CAD and AUD and 5bps for NOK, since USD/CAD and AUD/USD are among the most liquid pairs traded while USD/NOK is visibly thinner.</w:t>
      </w:r>
    </w:p>
    <w:p w14:paraId="59FAA58C" w14:textId="18C5D2ED" w:rsidR="002E2659" w:rsidRPr="00862867" w:rsidRDefault="002E2659" w:rsidP="008F1412">
      <w:pPr>
        <w:rPr>
          <w:rFonts w:ascii="Arial" w:hAnsi="Arial" w:cs="Arial"/>
          <w:b/>
          <w:bCs/>
        </w:rPr>
      </w:pPr>
      <w:r w:rsidRPr="00862867">
        <w:rPr>
          <w:rFonts w:ascii="Arial" w:hAnsi="Arial" w:cs="Arial"/>
          <w:b/>
          <w:bCs/>
        </w:rPr>
        <w:t>Signal Construction Reasoning</w:t>
      </w:r>
    </w:p>
    <w:p w14:paraId="0BCE9CF7" w14:textId="253B8ABC" w:rsidR="003138DF" w:rsidRPr="00862867" w:rsidRDefault="008620F8" w:rsidP="008620F8">
      <w:pPr>
        <w:rPr>
          <w:rFonts w:ascii="Arial" w:hAnsi="Arial" w:cs="Arial"/>
        </w:rPr>
      </w:pPr>
      <w:r w:rsidRPr="00862867">
        <w:rPr>
          <w:rFonts w:ascii="Arial" w:hAnsi="Arial" w:cs="Arial"/>
        </w:rPr>
        <w:t xml:space="preserve">Standardising each commodity’s trailing return against its own 252-day history defines a “large” move relative to that commodity’s volatility, so oil and copper are judged on the same </w:t>
      </w:r>
      <w:r w:rsidR="003138DF" w:rsidRPr="00862867">
        <w:rPr>
          <w:rFonts w:ascii="Arial" w:hAnsi="Arial" w:cs="Arial"/>
        </w:rPr>
        <w:t>scale. A one week holding period is chosen for a few reasons: it is implied in the hypothesis of gradual diffusion, shorter periods are too noisy due to frequent FX movements, longer horizons reduce the number of possible observations over the surveyable period on Yahoo Finance, and the data favours this approach due to Yahoo's one-day FX date offset starting in late 2010 that was unmarked (a bonus found through later examination).</w:t>
      </w:r>
    </w:p>
    <w:p w14:paraId="6EEE4DBF" w14:textId="1068604A" w:rsidR="008620F8" w:rsidRPr="00862867" w:rsidRDefault="003138DF" w:rsidP="008620F8">
      <w:pPr>
        <w:rPr>
          <w:rFonts w:ascii="Arial" w:hAnsi="Arial" w:cs="Arial"/>
        </w:rPr>
      </w:pPr>
      <w:r w:rsidRPr="00862867">
        <w:rPr>
          <w:rFonts w:ascii="Arial" w:hAnsi="Arial" w:cs="Arial"/>
        </w:rPr>
        <w:t>The</w:t>
      </w:r>
      <w:r w:rsidR="008620F8" w:rsidRPr="00862867">
        <w:rPr>
          <w:rFonts w:ascii="Arial" w:hAnsi="Arial" w:cs="Arial"/>
        </w:rPr>
        <w:t xml:space="preserve"> </w:t>
      </w:r>
      <w:r w:rsidRPr="00862867">
        <w:rPr>
          <w:rFonts w:ascii="Arial" w:hAnsi="Arial" w:cs="Arial"/>
        </w:rPr>
        <w:t xml:space="preserve">choice for a </w:t>
      </w:r>
      <w:r w:rsidR="008620F8" w:rsidRPr="00862867">
        <w:rPr>
          <w:rFonts w:ascii="Arial" w:hAnsi="Arial" w:cs="Arial"/>
        </w:rPr>
        <w:t>fixed 1/3 weight per currency when a position is active, with no renormalisation and no leverage</w:t>
      </w:r>
      <w:r w:rsidRPr="00862867">
        <w:rPr>
          <w:rFonts w:ascii="Arial" w:hAnsi="Arial" w:cs="Arial"/>
        </w:rPr>
        <w:t>, is because it is unnecessary in</w:t>
      </w:r>
      <w:r w:rsidR="008620F8" w:rsidRPr="00862867">
        <w:rPr>
          <w:rFonts w:ascii="Arial" w:hAnsi="Arial" w:cs="Arial"/>
        </w:rPr>
        <w:t xml:space="preserve"> a three-asset strategy whose risk is driven more by correlated signals than by sizing.</w:t>
      </w:r>
      <w:r w:rsidRPr="00862867">
        <w:rPr>
          <w:rFonts w:ascii="Arial" w:hAnsi="Arial" w:cs="Arial"/>
        </w:rPr>
        <w:t xml:space="preserve"> </w:t>
      </w:r>
    </w:p>
    <w:p w14:paraId="7B30F292" w14:textId="62D34DAF" w:rsidR="008F1412" w:rsidRPr="00862867" w:rsidRDefault="008F1412" w:rsidP="008F1412">
      <w:pPr>
        <w:rPr>
          <w:rFonts w:ascii="Arial" w:hAnsi="Arial" w:cs="Arial"/>
          <w:b/>
          <w:bCs/>
          <w:sz w:val="32"/>
          <w:szCs w:val="32"/>
        </w:rPr>
      </w:pPr>
      <w:r w:rsidRPr="00862867">
        <w:rPr>
          <w:rFonts w:ascii="Arial" w:hAnsi="Arial" w:cs="Arial"/>
          <w:b/>
          <w:bCs/>
          <w:sz w:val="32"/>
          <w:szCs w:val="32"/>
        </w:rPr>
        <w:t>5. Pitfall Checklist</w:t>
      </w:r>
    </w:p>
    <w:p w14:paraId="5320DF92" w14:textId="0C2D05FB" w:rsidR="002E2659" w:rsidRPr="00862867" w:rsidRDefault="002E2659" w:rsidP="008F1412">
      <w:pPr>
        <w:rPr>
          <w:rFonts w:ascii="Arial" w:hAnsi="Arial" w:cs="Arial"/>
          <w:b/>
          <w:bCs/>
        </w:rPr>
      </w:pPr>
      <w:r w:rsidRPr="00862867">
        <w:rPr>
          <w:rFonts w:ascii="Arial" w:hAnsi="Arial" w:cs="Arial"/>
          <w:b/>
          <w:bCs/>
        </w:rPr>
        <w:t>Look-ahead Bias</w:t>
      </w:r>
    </w:p>
    <w:p w14:paraId="6424978C" w14:textId="5F9DFDDA" w:rsidR="000B47FC" w:rsidRPr="00862867" w:rsidRDefault="000B47FC" w:rsidP="008F1412">
      <w:pPr>
        <w:rPr>
          <w:rFonts w:ascii="Arial" w:hAnsi="Arial" w:cs="Arial"/>
        </w:rPr>
      </w:pPr>
      <w:r w:rsidRPr="00862867">
        <w:rPr>
          <w:rFonts w:ascii="Arial" w:hAnsi="Arial" w:cs="Arial"/>
        </w:rPr>
        <w:t xml:space="preserve">To check for look-ahead bias, a </w:t>
      </w:r>
      <w:proofErr w:type="spellStart"/>
      <w:r w:rsidRPr="00862867">
        <w:rPr>
          <w:rFonts w:ascii="Arial" w:hAnsi="Arial" w:cs="Arial"/>
        </w:rPr>
        <w:t>trailing_</w:t>
      </w:r>
      <w:proofErr w:type="gramStart"/>
      <w:r w:rsidRPr="00862867">
        <w:rPr>
          <w:rFonts w:ascii="Arial" w:hAnsi="Arial" w:cs="Arial"/>
        </w:rPr>
        <w:t>return</w:t>
      </w:r>
      <w:proofErr w:type="spellEnd"/>
      <w:r w:rsidRPr="00862867">
        <w:rPr>
          <w:rFonts w:ascii="Arial" w:hAnsi="Arial" w:cs="Arial"/>
        </w:rPr>
        <w:t>(</w:t>
      </w:r>
      <w:proofErr w:type="gramEnd"/>
      <w:r w:rsidRPr="00862867">
        <w:rPr>
          <w:rFonts w:ascii="Arial" w:hAnsi="Arial" w:cs="Arial"/>
        </w:rPr>
        <w:t xml:space="preserve">) function is used to shift the predictor by one day relative to the return it targets. Additionally, this was verified in the pitfall checks section in the notebook with a corruption test. </w:t>
      </w:r>
      <w:r w:rsidR="000B64A2" w:rsidRPr="00862867">
        <w:rPr>
          <w:rFonts w:ascii="Arial" w:hAnsi="Arial" w:cs="Arial"/>
        </w:rPr>
        <w:t xml:space="preserve">The corruption test was as follows: </w:t>
      </w:r>
      <w:r w:rsidR="000B64A2" w:rsidRPr="00862867">
        <w:rPr>
          <w:rFonts w:ascii="Arial" w:hAnsi="Arial" w:cs="Arial"/>
        </w:rPr>
        <w:t xml:space="preserve">every price after 25 June 2021 was replaced with </w:t>
      </w:r>
      <w:proofErr w:type="gramStart"/>
      <w:r w:rsidR="000B64A2" w:rsidRPr="00862867">
        <w:rPr>
          <w:rFonts w:ascii="Arial" w:hAnsi="Arial" w:cs="Arial"/>
        </w:rPr>
        <w:t>a</w:t>
      </w:r>
      <w:proofErr w:type="gramEnd"/>
      <w:r w:rsidR="000B64A2" w:rsidRPr="00862867">
        <w:rPr>
          <w:rFonts w:ascii="Arial" w:hAnsi="Arial" w:cs="Arial"/>
        </w:rPr>
        <w:t xml:space="preserve"> </w:t>
      </w:r>
      <w:r w:rsidR="000B64A2" w:rsidRPr="00862867">
        <w:rPr>
          <w:rFonts w:ascii="Arial" w:hAnsi="Arial" w:cs="Arial"/>
        </w:rPr>
        <w:t xml:space="preserve">incorrect </w:t>
      </w:r>
      <w:r w:rsidR="000B64A2" w:rsidRPr="00862867">
        <w:rPr>
          <w:rFonts w:ascii="Arial" w:hAnsi="Arial" w:cs="Arial"/>
        </w:rPr>
        <w:t>value (999) and the signal for 25 June 2021 recomputed</w:t>
      </w:r>
      <w:r w:rsidR="00B715F7" w:rsidRPr="00862867">
        <w:rPr>
          <w:rFonts w:ascii="Arial" w:hAnsi="Arial" w:cs="Arial"/>
        </w:rPr>
        <w:t>. As</w:t>
      </w:r>
      <w:r w:rsidR="000B64A2" w:rsidRPr="00862867">
        <w:rPr>
          <w:rFonts w:ascii="Arial" w:hAnsi="Arial" w:cs="Arial"/>
        </w:rPr>
        <w:t xml:space="preserve"> it came out unchanged (0.108926)</w:t>
      </w:r>
      <w:r w:rsidR="00B715F7" w:rsidRPr="00862867">
        <w:rPr>
          <w:rFonts w:ascii="Arial" w:hAnsi="Arial" w:cs="Arial"/>
        </w:rPr>
        <w:t>, t</w:t>
      </w:r>
      <w:r w:rsidR="000B64A2" w:rsidRPr="00862867">
        <w:rPr>
          <w:rFonts w:ascii="Arial" w:hAnsi="Arial" w:cs="Arial"/>
        </w:rPr>
        <w:t>his shows t</w:t>
      </w:r>
      <w:r w:rsidR="00B715F7" w:rsidRPr="00862867">
        <w:rPr>
          <w:rFonts w:ascii="Arial" w:hAnsi="Arial" w:cs="Arial"/>
        </w:rPr>
        <w:t xml:space="preserve">hat there is no look ahead bias. Additionally, since the code is </w:t>
      </w:r>
      <w:proofErr w:type="gramStart"/>
      <w:r w:rsidR="00B715F7" w:rsidRPr="00862867">
        <w:rPr>
          <w:rFonts w:ascii="Arial" w:hAnsi="Arial" w:cs="Arial"/>
        </w:rPr>
        <w:t>reused</w:t>
      </w:r>
      <w:proofErr w:type="gramEnd"/>
      <w:r w:rsidR="00B715F7" w:rsidRPr="00862867">
        <w:rPr>
          <w:rFonts w:ascii="Arial" w:hAnsi="Arial" w:cs="Arial"/>
        </w:rPr>
        <w:t xml:space="preserve"> there is no need to test for the other dates.</w:t>
      </w:r>
    </w:p>
    <w:p w14:paraId="06D7430E" w14:textId="31BBCB9F" w:rsidR="002E2659" w:rsidRPr="00862867" w:rsidRDefault="002E2659" w:rsidP="008F1412">
      <w:pPr>
        <w:rPr>
          <w:rFonts w:ascii="Arial" w:hAnsi="Arial" w:cs="Arial"/>
          <w:b/>
          <w:bCs/>
        </w:rPr>
      </w:pPr>
      <w:r w:rsidRPr="00862867">
        <w:rPr>
          <w:rFonts w:ascii="Arial" w:hAnsi="Arial" w:cs="Arial"/>
          <w:b/>
          <w:bCs/>
        </w:rPr>
        <w:t>Survivorship Bias</w:t>
      </w:r>
    </w:p>
    <w:p w14:paraId="36F637C3" w14:textId="20E5A912" w:rsidR="00B715F7" w:rsidRPr="00862867" w:rsidRDefault="00B715F7" w:rsidP="008F1412">
      <w:pPr>
        <w:rPr>
          <w:rFonts w:ascii="Arial" w:hAnsi="Arial" w:cs="Arial"/>
        </w:rPr>
      </w:pPr>
      <w:r w:rsidRPr="00862867">
        <w:rPr>
          <w:rFonts w:ascii="Arial" w:hAnsi="Arial" w:cs="Arial"/>
        </w:rPr>
        <w:t>This is not applicable. Survivorship bias comes from selecting assets that may have later disappeared in the sample. For the universe of currencies and continuous commodity series, this does not happen.</w:t>
      </w:r>
    </w:p>
    <w:p w14:paraId="0D6AF928" w14:textId="2C42F059" w:rsidR="002E2659" w:rsidRPr="00862867" w:rsidRDefault="002E2659" w:rsidP="008F1412">
      <w:pPr>
        <w:rPr>
          <w:rFonts w:ascii="Arial" w:hAnsi="Arial" w:cs="Arial"/>
          <w:b/>
          <w:bCs/>
        </w:rPr>
      </w:pPr>
      <w:r w:rsidRPr="00862867">
        <w:rPr>
          <w:rFonts w:ascii="Arial" w:hAnsi="Arial" w:cs="Arial"/>
          <w:b/>
          <w:bCs/>
        </w:rPr>
        <w:t>Overfitting / Data Snooping</w:t>
      </w:r>
    </w:p>
    <w:p w14:paraId="682390D4" w14:textId="4A8AF480" w:rsidR="00B715F7" w:rsidRPr="00862867" w:rsidRDefault="00862867" w:rsidP="008F1412">
      <w:pPr>
        <w:rPr>
          <w:rFonts w:ascii="Arial" w:hAnsi="Arial" w:cs="Arial"/>
        </w:rPr>
      </w:pPr>
      <w:r w:rsidRPr="00862867">
        <w:rPr>
          <w:rFonts w:ascii="Arial" w:hAnsi="Arial" w:cs="Arial"/>
        </w:rPr>
        <w:t xml:space="preserve">Only </w:t>
      </w:r>
      <w:r w:rsidRPr="00862867">
        <w:rPr>
          <w:rFonts w:ascii="Arial" w:hAnsi="Arial" w:cs="Arial"/>
        </w:rPr>
        <w:t xml:space="preserve">9 combinations of lookback and threshold, picked the best using only 2011–2018 data, then froze it and tested it once </w:t>
      </w:r>
      <w:proofErr w:type="gramStart"/>
      <w:r w:rsidRPr="00862867">
        <w:rPr>
          <w:rFonts w:ascii="Arial" w:hAnsi="Arial" w:cs="Arial"/>
        </w:rPr>
        <w:t>on</w:t>
      </w:r>
      <w:proofErr w:type="gramEnd"/>
      <w:r w:rsidRPr="00862867">
        <w:rPr>
          <w:rFonts w:ascii="Arial" w:hAnsi="Arial" w:cs="Arial"/>
        </w:rPr>
        <w:t xml:space="preserve"> 2019–2026, so the settings were never tuned on </w:t>
      </w:r>
      <w:r w:rsidRPr="00862867">
        <w:rPr>
          <w:rFonts w:ascii="Arial" w:hAnsi="Arial" w:cs="Arial"/>
        </w:rPr>
        <w:lastRenderedPageBreak/>
        <w:t>the data used to judge them. All 9 combinations lost money out-of-sample, and the in-sample ranking barely carried over (rank correlation 0.23), which shows the in-sample winner was mostly luck rather than a real signal. Even in-sample, only the three 40-day combinations made money, so the result was fragile from the start.</w:t>
      </w:r>
    </w:p>
    <w:p w14:paraId="124A429A" w14:textId="4807D46B" w:rsidR="002E2659" w:rsidRPr="00862867" w:rsidRDefault="002E2659" w:rsidP="008F1412">
      <w:pPr>
        <w:rPr>
          <w:rFonts w:ascii="Arial" w:hAnsi="Arial" w:cs="Arial"/>
          <w:b/>
          <w:bCs/>
        </w:rPr>
      </w:pPr>
      <w:r w:rsidRPr="00862867">
        <w:rPr>
          <w:rFonts w:ascii="Arial" w:hAnsi="Arial" w:cs="Arial"/>
          <w:b/>
          <w:bCs/>
        </w:rPr>
        <w:t>Transaction Costs</w:t>
      </w:r>
    </w:p>
    <w:p w14:paraId="5BE90799" w14:textId="20BC8C5F" w:rsidR="00B715F7" w:rsidRPr="00862867" w:rsidRDefault="00B715F7" w:rsidP="008F1412">
      <w:pPr>
        <w:rPr>
          <w:rFonts w:ascii="Arial" w:hAnsi="Arial" w:cs="Arial"/>
          <w:b/>
          <w:bCs/>
        </w:rPr>
      </w:pPr>
      <w:r w:rsidRPr="00862867">
        <w:rPr>
          <w:rFonts w:ascii="Arial" w:hAnsi="Arial" w:cs="Arial"/>
        </w:rPr>
        <w:t>The assumptions for transaction costs</w:t>
      </w:r>
      <w:r w:rsidRPr="00862867">
        <w:rPr>
          <w:rFonts w:ascii="Arial" w:hAnsi="Arial" w:cs="Arial"/>
        </w:rPr>
        <w:t xml:space="preserve"> were 2bps (CAD, AUD) and 5bps (NOK) per position change</w:t>
      </w:r>
      <w:r w:rsidRPr="00862867">
        <w:rPr>
          <w:rFonts w:ascii="Arial" w:hAnsi="Arial" w:cs="Arial"/>
        </w:rPr>
        <w:t>. This is due to</w:t>
      </w:r>
      <w:r w:rsidRPr="00862867">
        <w:rPr>
          <w:rFonts w:ascii="Arial" w:hAnsi="Arial" w:cs="Arial"/>
        </w:rPr>
        <w:t xml:space="preserve"> AUD/USD and USD/CAD </w:t>
      </w:r>
      <w:r w:rsidRPr="00862867">
        <w:rPr>
          <w:rFonts w:ascii="Arial" w:hAnsi="Arial" w:cs="Arial"/>
        </w:rPr>
        <w:t>being significantly more liquid than</w:t>
      </w:r>
      <w:r w:rsidRPr="00862867">
        <w:rPr>
          <w:rFonts w:ascii="Arial" w:hAnsi="Arial" w:cs="Arial"/>
        </w:rPr>
        <w:t xml:space="preserve"> USD/NOK</w:t>
      </w:r>
      <w:r w:rsidRPr="00862867">
        <w:rPr>
          <w:rFonts w:ascii="Arial" w:hAnsi="Arial" w:cs="Arial"/>
        </w:rPr>
        <w:t xml:space="preserve">. The transaction cost sensitivity analysis evaluated zero cost, half the </w:t>
      </w:r>
      <w:r w:rsidR="00862867" w:rsidRPr="00862867">
        <w:rPr>
          <w:rFonts w:ascii="Arial" w:hAnsi="Arial" w:cs="Arial"/>
        </w:rPr>
        <w:t>base case,</w:t>
      </w:r>
      <w:r w:rsidRPr="00862867">
        <w:rPr>
          <w:rFonts w:ascii="Arial" w:hAnsi="Arial" w:cs="Arial"/>
        </w:rPr>
        <w:t xml:space="preserve"> the base case</w:t>
      </w:r>
      <w:r w:rsidR="00862867" w:rsidRPr="00862867">
        <w:rPr>
          <w:rFonts w:ascii="Arial" w:hAnsi="Arial" w:cs="Arial"/>
        </w:rPr>
        <w:t xml:space="preserve">, and three times the base case. The resulting Sharpe </w:t>
      </w:r>
      <w:r w:rsidR="00862867" w:rsidRPr="00862867">
        <w:rPr>
          <w:rFonts w:ascii="Arial" w:hAnsi="Arial" w:cs="Arial"/>
        </w:rPr>
        <w:t>is -0.14 gross (no costs at all), -0.17 at half cost, -0.20 at the base case, and -0.31 at three times the base case.</w:t>
      </w:r>
      <w:r w:rsidRPr="00862867">
        <w:rPr>
          <w:rFonts w:ascii="Arial" w:hAnsi="Arial" w:cs="Arial"/>
        </w:rPr>
        <w:t xml:space="preserve"> </w:t>
      </w:r>
      <w:r w:rsidR="00862867" w:rsidRPr="00862867">
        <w:rPr>
          <w:rFonts w:ascii="Arial" w:hAnsi="Arial" w:cs="Arial"/>
        </w:rPr>
        <w:t>But this simply shows transaction costs aren’t the reason for failed back test, since the strategy would’ve been unprofitable regardless.</w:t>
      </w:r>
    </w:p>
    <w:p w14:paraId="3DCD9D75" w14:textId="7A13DD26" w:rsidR="002E2659" w:rsidRPr="00862867" w:rsidRDefault="002E2659" w:rsidP="008F1412">
      <w:pPr>
        <w:rPr>
          <w:rFonts w:ascii="Arial" w:hAnsi="Arial" w:cs="Arial"/>
          <w:b/>
          <w:bCs/>
        </w:rPr>
      </w:pPr>
      <w:r w:rsidRPr="00862867">
        <w:rPr>
          <w:rFonts w:ascii="Arial" w:hAnsi="Arial" w:cs="Arial"/>
          <w:b/>
          <w:bCs/>
        </w:rPr>
        <w:t>Out-of-sample Validation</w:t>
      </w:r>
    </w:p>
    <w:p w14:paraId="3FC069EC" w14:textId="77777777" w:rsidR="00862867" w:rsidRDefault="00862867" w:rsidP="00862867">
      <w:pPr>
        <w:pStyle w:val="ListParagraph"/>
        <w:numPr>
          <w:ilvl w:val="0"/>
          <w:numId w:val="9"/>
        </w:numPr>
        <w:rPr>
          <w:rFonts w:ascii="Arial" w:hAnsi="Arial" w:cs="Arial"/>
        </w:rPr>
      </w:pPr>
      <w:r w:rsidRPr="00862867">
        <w:rPr>
          <w:rFonts w:ascii="Arial" w:hAnsi="Arial" w:cs="Arial"/>
        </w:rPr>
        <w:t>In-sample period: from the first tradeable week (11 March 2011, after the signal’s warm-up) to 2018-12-31 (408 weeks</w:t>
      </w:r>
    </w:p>
    <w:p w14:paraId="15A4CDDF" w14:textId="77777777" w:rsidR="00862867" w:rsidRDefault="00862867" w:rsidP="00862867">
      <w:pPr>
        <w:pStyle w:val="ListParagraph"/>
        <w:numPr>
          <w:ilvl w:val="0"/>
          <w:numId w:val="9"/>
        </w:numPr>
        <w:rPr>
          <w:rFonts w:ascii="Arial" w:hAnsi="Arial" w:cs="Arial"/>
        </w:rPr>
      </w:pPr>
      <w:r w:rsidRPr="00862867">
        <w:rPr>
          <w:rFonts w:ascii="Arial" w:hAnsi="Arial" w:cs="Arial"/>
        </w:rPr>
        <w:t xml:space="preserve">Out-of-sample period: 2019-01-01 to 2026-09-14 (403 weeks), evaluated once with no re-tuning. </w:t>
      </w:r>
    </w:p>
    <w:p w14:paraId="51AA1A40" w14:textId="382D0900" w:rsidR="00862867" w:rsidRPr="00862867" w:rsidRDefault="00862867" w:rsidP="00862867">
      <w:pPr>
        <w:rPr>
          <w:rFonts w:ascii="Arial" w:hAnsi="Arial" w:cs="Arial"/>
        </w:rPr>
      </w:pPr>
      <w:r>
        <w:rPr>
          <w:rFonts w:ascii="Arial" w:hAnsi="Arial" w:cs="Arial"/>
        </w:rPr>
        <w:t>After testing, the i</w:t>
      </w:r>
      <w:r w:rsidRPr="00862867">
        <w:rPr>
          <w:rFonts w:ascii="Arial" w:hAnsi="Arial" w:cs="Arial"/>
        </w:rPr>
        <w:t xml:space="preserve">n-sample Sharpe was 0.38; out-of-sample Sharpe was -0.20. </w:t>
      </w:r>
      <w:proofErr w:type="spellStart"/>
      <w:r w:rsidR="0093533A">
        <w:rPr>
          <w:rFonts w:ascii="Arial" w:hAnsi="Arial" w:cs="Arial"/>
        </w:rPr>
        <w:t>N</w:t>
      </w:r>
      <w:r w:rsidRPr="00862867">
        <w:rPr>
          <w:rFonts w:ascii="Arial" w:hAnsi="Arial" w:cs="Arial"/>
        </w:rPr>
        <w:t>figure</w:t>
      </w:r>
      <w:proofErr w:type="spellEnd"/>
      <w:r w:rsidRPr="00862867">
        <w:rPr>
          <w:rFonts w:ascii="Arial" w:hAnsi="Arial" w:cs="Arial"/>
        </w:rPr>
        <w:t xml:space="preserve"> is statistically distinguishable from zero (t-statistics 1.12 and -0.48</w:t>
      </w:r>
      <w:r w:rsidR="0093533A">
        <w:rPr>
          <w:rFonts w:ascii="Arial" w:hAnsi="Arial" w:cs="Arial"/>
        </w:rPr>
        <w:t>), so the</w:t>
      </w:r>
      <w:r w:rsidRPr="00862867">
        <w:rPr>
          <w:rFonts w:ascii="Arial" w:hAnsi="Arial" w:cs="Arial"/>
        </w:rPr>
        <w:t xml:space="preserve"> in-sample result </w:t>
      </w:r>
      <w:r w:rsidR="006A5A39">
        <w:rPr>
          <w:rFonts w:ascii="Arial" w:hAnsi="Arial" w:cs="Arial"/>
        </w:rPr>
        <w:t>showed no strong evidence while</w:t>
      </w:r>
      <w:r w:rsidRPr="00862867">
        <w:rPr>
          <w:rFonts w:ascii="Arial" w:hAnsi="Arial" w:cs="Arial"/>
        </w:rPr>
        <w:t xml:space="preserve"> the out-of-sample period shows no predictability. </w:t>
      </w:r>
      <w:r w:rsidR="0093533A">
        <w:rPr>
          <w:rFonts w:ascii="Arial" w:hAnsi="Arial" w:cs="Arial"/>
        </w:rPr>
        <w:t>Therefore, relative to</w:t>
      </w:r>
      <w:r w:rsidRPr="00862867">
        <w:rPr>
          <w:rFonts w:ascii="Arial" w:hAnsi="Arial" w:cs="Arial"/>
        </w:rPr>
        <w:t xml:space="preserve"> the project’s own falsification criteria (“lagged commodity moves don’t predict next-week FX returns out-of-sample” was explicitly listed as a reason to abandon the hypothesis), this result argues against the hypothesis holding at a tradeable level over 2019-2026.</w:t>
      </w:r>
    </w:p>
    <w:p w14:paraId="5F26E718" w14:textId="144A555A" w:rsidR="008F1412" w:rsidRDefault="008F1412" w:rsidP="008F1412">
      <w:pPr>
        <w:rPr>
          <w:rFonts w:ascii="Arial" w:hAnsi="Arial" w:cs="Arial"/>
          <w:b/>
          <w:bCs/>
          <w:sz w:val="32"/>
          <w:szCs w:val="32"/>
        </w:rPr>
      </w:pPr>
      <w:r w:rsidRPr="00862867">
        <w:rPr>
          <w:rFonts w:ascii="Arial" w:hAnsi="Arial" w:cs="Arial"/>
          <w:b/>
          <w:bCs/>
          <w:sz w:val="32"/>
          <w:szCs w:val="32"/>
        </w:rPr>
        <w:t>6. Efficiency Touchpoint</w:t>
      </w:r>
    </w:p>
    <w:p w14:paraId="609525C2" w14:textId="44F3298B" w:rsidR="00790908" w:rsidRPr="00790908" w:rsidRDefault="00790908" w:rsidP="008F1412">
      <w:pPr>
        <w:rPr>
          <w:rFonts w:ascii="Arial" w:hAnsi="Arial" w:cs="Arial"/>
        </w:rPr>
      </w:pPr>
      <w:r w:rsidRPr="00790908">
        <w:rPr>
          <w:rFonts w:ascii="Arial" w:hAnsi="Arial" w:cs="Arial"/>
        </w:rPr>
        <w:t>The most computationally expensive step is the parameter grid search</w:t>
      </w:r>
      <w:r>
        <w:rPr>
          <w:rFonts w:ascii="Arial" w:hAnsi="Arial" w:cs="Arial"/>
        </w:rPr>
        <w:t>. This included</w:t>
      </w:r>
      <w:r w:rsidRPr="00790908">
        <w:rPr>
          <w:rFonts w:ascii="Arial" w:hAnsi="Arial" w:cs="Arial"/>
        </w:rPr>
        <w:t xml:space="preserve"> 9 (lookback × threshold</w:t>
      </w:r>
      <w:r>
        <w:rPr>
          <w:rFonts w:ascii="Arial" w:hAnsi="Arial" w:cs="Arial"/>
        </w:rPr>
        <w:t>, G</w:t>
      </w:r>
      <w:r w:rsidRPr="00790908">
        <w:rPr>
          <w:rFonts w:ascii="Arial" w:hAnsi="Arial" w:cs="Arial"/>
        </w:rPr>
        <w:t xml:space="preserve">) combinations, </w:t>
      </w:r>
      <w:r>
        <w:rPr>
          <w:rFonts w:ascii="Arial" w:hAnsi="Arial" w:cs="Arial"/>
        </w:rPr>
        <w:t xml:space="preserve">being computed for </w:t>
      </w:r>
      <w:r w:rsidRPr="00790908">
        <w:rPr>
          <w:rFonts w:ascii="Arial" w:hAnsi="Arial" w:cs="Arial"/>
        </w:rPr>
        <w:t>3 currencies</w:t>
      </w:r>
      <w:r>
        <w:rPr>
          <w:rFonts w:ascii="Arial" w:hAnsi="Arial" w:cs="Arial"/>
        </w:rPr>
        <w:t xml:space="preserve"> (C)</w:t>
      </w:r>
      <w:r w:rsidRPr="00790908">
        <w:rPr>
          <w:rFonts w:ascii="Arial" w:hAnsi="Arial" w:cs="Arial"/>
        </w:rPr>
        <w:t xml:space="preserve"> </w:t>
      </w:r>
      <w:r>
        <w:rPr>
          <w:rFonts w:ascii="Arial" w:hAnsi="Arial" w:cs="Arial"/>
        </w:rPr>
        <w:t xml:space="preserve">during back tests </w:t>
      </w:r>
      <w:r w:rsidRPr="00790908">
        <w:rPr>
          <w:rFonts w:ascii="Arial" w:hAnsi="Arial" w:cs="Arial"/>
        </w:rPr>
        <w:t xml:space="preserve">over 4,200 </w:t>
      </w:r>
      <w:r>
        <w:rPr>
          <w:rFonts w:ascii="Arial" w:hAnsi="Arial" w:cs="Arial"/>
        </w:rPr>
        <w:t xml:space="preserve">(n) </w:t>
      </w:r>
      <w:r w:rsidRPr="00790908">
        <w:rPr>
          <w:rFonts w:ascii="Arial" w:hAnsi="Arial" w:cs="Arial"/>
        </w:rPr>
        <w:t xml:space="preserve">daily observations, which is </w:t>
      </w:r>
      <w:proofErr w:type="gramStart"/>
      <w:r w:rsidRPr="00790908">
        <w:rPr>
          <w:rFonts w:ascii="Arial" w:hAnsi="Arial" w:cs="Arial"/>
        </w:rPr>
        <w:t>O(</w:t>
      </w:r>
      <w:proofErr w:type="gramEnd"/>
      <w:r w:rsidRPr="00790908">
        <w:rPr>
          <w:rFonts w:ascii="Arial" w:hAnsi="Arial" w:cs="Arial"/>
        </w:rPr>
        <w:t xml:space="preserve">G × C × n). The grid takes about 0.16 seconds (the exact figure varies slightly between runs), which is acceptable at this scale. </w:t>
      </w:r>
    </w:p>
    <w:p w14:paraId="16ADFA28" w14:textId="727FF006" w:rsidR="008F1412" w:rsidRDefault="008F1412" w:rsidP="008F1412">
      <w:pPr>
        <w:rPr>
          <w:rFonts w:ascii="Arial" w:hAnsi="Arial" w:cs="Arial"/>
          <w:b/>
          <w:bCs/>
          <w:sz w:val="32"/>
          <w:szCs w:val="32"/>
        </w:rPr>
      </w:pPr>
      <w:r w:rsidRPr="00862867">
        <w:rPr>
          <w:rFonts w:ascii="Arial" w:hAnsi="Arial" w:cs="Arial"/>
          <w:b/>
          <w:bCs/>
          <w:sz w:val="32"/>
          <w:szCs w:val="32"/>
        </w:rPr>
        <w:t>7. Risk Touchpoint</w:t>
      </w:r>
    </w:p>
    <w:p w14:paraId="349F4452" w14:textId="5739BF16" w:rsidR="00790908" w:rsidRPr="00790908" w:rsidRDefault="00790908" w:rsidP="008F1412">
      <w:pPr>
        <w:rPr>
          <w:rFonts w:ascii="Arial" w:hAnsi="Arial" w:cs="Arial"/>
        </w:rPr>
      </w:pPr>
      <w:r w:rsidRPr="00790908">
        <w:rPr>
          <w:rFonts w:ascii="Arial" w:hAnsi="Arial" w:cs="Arial"/>
        </w:rPr>
        <w:t xml:space="preserve">Leverage is capped at 1x: each currency is a fixed 1/3 weight when active. </w:t>
      </w:r>
      <w:r>
        <w:rPr>
          <w:rFonts w:ascii="Arial" w:hAnsi="Arial" w:cs="Arial"/>
        </w:rPr>
        <w:t>However, looking at CAD and NOK positions reveals that the d</w:t>
      </w:r>
      <w:r w:rsidRPr="00790908">
        <w:rPr>
          <w:rFonts w:ascii="Arial" w:hAnsi="Arial" w:cs="Arial"/>
        </w:rPr>
        <w:t xml:space="preserve">iversification is </w:t>
      </w:r>
      <w:r>
        <w:rPr>
          <w:rFonts w:ascii="Arial" w:hAnsi="Arial" w:cs="Arial"/>
        </w:rPr>
        <w:t xml:space="preserve">much weaker than suggested at 0.82. This is likely because both are oil related bets, which also means </w:t>
      </w:r>
      <w:r>
        <w:rPr>
          <w:rFonts w:ascii="Arial" w:hAnsi="Arial" w:cs="Arial"/>
        </w:rPr>
        <w:lastRenderedPageBreak/>
        <w:t xml:space="preserve">that a broad dollar shock would affect both similarly. </w:t>
      </w:r>
      <w:r w:rsidR="00AB101F">
        <w:rPr>
          <w:rFonts w:ascii="Arial" w:hAnsi="Arial" w:cs="Arial"/>
        </w:rPr>
        <w:t xml:space="preserve">Additionally, only reviewing weekly likely caused the strategy to not be agile enough to adjust for major news changes. </w:t>
      </w:r>
    </w:p>
    <w:p w14:paraId="47D12E13" w14:textId="46992E05" w:rsidR="008F16ED" w:rsidRDefault="008F1412" w:rsidP="008F1412">
      <w:pPr>
        <w:rPr>
          <w:rFonts w:ascii="Arial" w:hAnsi="Arial" w:cs="Arial"/>
          <w:b/>
          <w:bCs/>
          <w:sz w:val="32"/>
          <w:szCs w:val="32"/>
        </w:rPr>
      </w:pPr>
      <w:r w:rsidRPr="00862867">
        <w:rPr>
          <w:rFonts w:ascii="Arial" w:hAnsi="Arial" w:cs="Arial"/>
          <w:b/>
          <w:bCs/>
          <w:sz w:val="32"/>
          <w:szCs w:val="32"/>
        </w:rPr>
        <w:t>8. Reflection</w:t>
      </w:r>
    </w:p>
    <w:p w14:paraId="325FBB23" w14:textId="12BB8BA5" w:rsidR="00790908" w:rsidRPr="00790908" w:rsidRDefault="00790908" w:rsidP="008F1412">
      <w:pPr>
        <w:rPr>
          <w:rFonts w:ascii="Arial" w:hAnsi="Arial" w:cs="Arial"/>
        </w:rPr>
      </w:pPr>
      <w:r>
        <w:rPr>
          <w:rFonts w:ascii="Arial" w:hAnsi="Arial" w:cs="Arial"/>
        </w:rPr>
        <w:t xml:space="preserve">This project was the first time that I had tried to design and implement a quantitative strategy in markets. Although it was plenty challenging, it allowed me to learn more about the markets and </w:t>
      </w:r>
      <w:r w:rsidR="00AB101F">
        <w:rPr>
          <w:rFonts w:ascii="Arial" w:hAnsi="Arial" w:cs="Arial"/>
        </w:rPr>
        <w:t xml:space="preserve">how a strategy is designed. Learning that different type of ways that signals can be built helped me understand how traders could make profits using varying indicators based on their hypothesis. My original assumption showed no real signs of returns, likely because FX is such a closely watched market, but also because FX is motivated by many factors beyond just commodities (largely yield differentials). I believe that improving this strategy likely means detaching from commodity as the signal asset completely, perhaps leaning more into using NLP instead. </w:t>
      </w:r>
    </w:p>
    <w:sectPr w:rsidR="00790908" w:rsidRPr="00790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B2FEE"/>
    <w:multiLevelType w:val="hybridMultilevel"/>
    <w:tmpl w:val="07246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D6255"/>
    <w:multiLevelType w:val="hybridMultilevel"/>
    <w:tmpl w:val="35488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9D6C07"/>
    <w:multiLevelType w:val="hybridMultilevel"/>
    <w:tmpl w:val="79CC2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DA2CE0"/>
    <w:multiLevelType w:val="hybridMultilevel"/>
    <w:tmpl w:val="9B164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C80466"/>
    <w:multiLevelType w:val="hybridMultilevel"/>
    <w:tmpl w:val="458C6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241F48"/>
    <w:multiLevelType w:val="hybridMultilevel"/>
    <w:tmpl w:val="65608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652614"/>
    <w:multiLevelType w:val="hybridMultilevel"/>
    <w:tmpl w:val="F7DA171C"/>
    <w:lvl w:ilvl="0" w:tplc="2EF60688">
      <w:start w:val="1"/>
      <w:numFmt w:val="decimal"/>
      <w:lvlText w:val="%1."/>
      <w:lvlJc w:val="left"/>
      <w:pPr>
        <w:ind w:left="720" w:hanging="360"/>
      </w:pPr>
      <w:rPr>
        <w:rFonts w:ascii="Arial" w:hAnsi="Arial" w:cs="Arial"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577F96"/>
    <w:multiLevelType w:val="hybridMultilevel"/>
    <w:tmpl w:val="3B70C05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57086E"/>
    <w:multiLevelType w:val="hybridMultilevel"/>
    <w:tmpl w:val="8984290E"/>
    <w:lvl w:ilvl="0" w:tplc="2BDE689C">
      <w:start w:val="1"/>
      <w:numFmt w:val="decimal"/>
      <w:lvlText w:val="%1."/>
      <w:lvlJc w:val="left"/>
      <w:pPr>
        <w:ind w:left="720" w:hanging="360"/>
      </w:pPr>
      <w:rPr>
        <w:rFonts w:ascii="Arial" w:hAnsi="Arial" w:cs="Arial"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572152">
    <w:abstractNumId w:val="4"/>
  </w:num>
  <w:num w:numId="2" w16cid:durableId="248972556">
    <w:abstractNumId w:val="2"/>
  </w:num>
  <w:num w:numId="3" w16cid:durableId="1540236807">
    <w:abstractNumId w:val="0"/>
  </w:num>
  <w:num w:numId="4" w16cid:durableId="1363628918">
    <w:abstractNumId w:val="8"/>
  </w:num>
  <w:num w:numId="5" w16cid:durableId="1512184630">
    <w:abstractNumId w:val="6"/>
  </w:num>
  <w:num w:numId="6" w16cid:durableId="1208253819">
    <w:abstractNumId w:val="7"/>
  </w:num>
  <w:num w:numId="7" w16cid:durableId="1531066469">
    <w:abstractNumId w:val="3"/>
  </w:num>
  <w:num w:numId="8" w16cid:durableId="271397403">
    <w:abstractNumId w:val="5"/>
  </w:num>
  <w:num w:numId="9" w16cid:durableId="12231765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826"/>
    <w:rsid w:val="000029C9"/>
    <w:rsid w:val="00015370"/>
    <w:rsid w:val="00027D90"/>
    <w:rsid w:val="00042826"/>
    <w:rsid w:val="000A21C6"/>
    <w:rsid w:val="000B47FC"/>
    <w:rsid w:val="000B64A2"/>
    <w:rsid w:val="00153C53"/>
    <w:rsid w:val="001A1F90"/>
    <w:rsid w:val="0024436D"/>
    <w:rsid w:val="00275A9D"/>
    <w:rsid w:val="002E2659"/>
    <w:rsid w:val="003138DF"/>
    <w:rsid w:val="003A4650"/>
    <w:rsid w:val="003D4FBF"/>
    <w:rsid w:val="004066D9"/>
    <w:rsid w:val="00436DDB"/>
    <w:rsid w:val="00466BFF"/>
    <w:rsid w:val="00487D46"/>
    <w:rsid w:val="004968FF"/>
    <w:rsid w:val="004C30E4"/>
    <w:rsid w:val="005315FE"/>
    <w:rsid w:val="00543BA7"/>
    <w:rsid w:val="00547301"/>
    <w:rsid w:val="00583FDE"/>
    <w:rsid w:val="006A5A39"/>
    <w:rsid w:val="00790908"/>
    <w:rsid w:val="00824997"/>
    <w:rsid w:val="0084146F"/>
    <w:rsid w:val="008459D1"/>
    <w:rsid w:val="008620F8"/>
    <w:rsid w:val="00862867"/>
    <w:rsid w:val="008E7FE0"/>
    <w:rsid w:val="008F1412"/>
    <w:rsid w:val="008F16ED"/>
    <w:rsid w:val="0093533A"/>
    <w:rsid w:val="0094333D"/>
    <w:rsid w:val="00A818F0"/>
    <w:rsid w:val="00AB101F"/>
    <w:rsid w:val="00AD5AE4"/>
    <w:rsid w:val="00B107ED"/>
    <w:rsid w:val="00B715F7"/>
    <w:rsid w:val="00CA6FF4"/>
    <w:rsid w:val="00CD5294"/>
    <w:rsid w:val="00D24440"/>
    <w:rsid w:val="00D713CE"/>
    <w:rsid w:val="00E043F5"/>
    <w:rsid w:val="00E85519"/>
    <w:rsid w:val="00F472F5"/>
    <w:rsid w:val="00F52F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BC154E6"/>
  <w15:chartTrackingRefBased/>
  <w15:docId w15:val="{58108A3B-AED0-DB41-BCDF-D924F757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94"/>
    <w:rPr>
      <w:lang w:val="en-GB"/>
    </w:rPr>
  </w:style>
  <w:style w:type="paragraph" w:styleId="Heading1">
    <w:name w:val="heading 1"/>
    <w:basedOn w:val="Normal"/>
    <w:next w:val="Normal"/>
    <w:link w:val="Heading1Char"/>
    <w:uiPriority w:val="9"/>
    <w:qFormat/>
    <w:rsid w:val="0004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82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4282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4282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4282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4282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4282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4282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4282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4282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4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82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42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82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42826"/>
    <w:pPr>
      <w:spacing w:before="160"/>
      <w:jc w:val="center"/>
    </w:pPr>
    <w:rPr>
      <w:i/>
      <w:iCs/>
      <w:color w:val="404040" w:themeColor="text1" w:themeTint="BF"/>
    </w:rPr>
  </w:style>
  <w:style w:type="character" w:customStyle="1" w:styleId="QuoteChar">
    <w:name w:val="Quote Char"/>
    <w:basedOn w:val="DefaultParagraphFont"/>
    <w:link w:val="Quote"/>
    <w:uiPriority w:val="29"/>
    <w:rsid w:val="00042826"/>
    <w:rPr>
      <w:i/>
      <w:iCs/>
      <w:color w:val="404040" w:themeColor="text1" w:themeTint="BF"/>
      <w:lang w:val="en-GB"/>
    </w:rPr>
  </w:style>
  <w:style w:type="paragraph" w:styleId="ListParagraph">
    <w:name w:val="List Paragraph"/>
    <w:basedOn w:val="Normal"/>
    <w:uiPriority w:val="34"/>
    <w:qFormat/>
    <w:rsid w:val="00042826"/>
    <w:pPr>
      <w:ind w:left="720"/>
      <w:contextualSpacing/>
    </w:pPr>
  </w:style>
  <w:style w:type="character" w:styleId="IntenseEmphasis">
    <w:name w:val="Intense Emphasis"/>
    <w:basedOn w:val="DefaultParagraphFont"/>
    <w:uiPriority w:val="21"/>
    <w:qFormat/>
    <w:rsid w:val="00042826"/>
    <w:rPr>
      <w:i/>
      <w:iCs/>
      <w:color w:val="0F4761" w:themeColor="accent1" w:themeShade="BF"/>
    </w:rPr>
  </w:style>
  <w:style w:type="paragraph" w:styleId="IntenseQuote">
    <w:name w:val="Intense Quote"/>
    <w:basedOn w:val="Normal"/>
    <w:next w:val="Normal"/>
    <w:link w:val="IntenseQuoteChar"/>
    <w:uiPriority w:val="30"/>
    <w:qFormat/>
    <w:rsid w:val="0004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826"/>
    <w:rPr>
      <w:i/>
      <w:iCs/>
      <w:color w:val="0F4761" w:themeColor="accent1" w:themeShade="BF"/>
      <w:lang w:val="en-GB"/>
    </w:rPr>
  </w:style>
  <w:style w:type="character" w:styleId="IntenseReference">
    <w:name w:val="Intense Reference"/>
    <w:basedOn w:val="DefaultParagraphFont"/>
    <w:uiPriority w:val="32"/>
    <w:qFormat/>
    <w:rsid w:val="00042826"/>
    <w:rPr>
      <w:b/>
      <w:bCs/>
      <w:smallCaps/>
      <w:color w:val="0F4761" w:themeColor="accent1" w:themeShade="BF"/>
      <w:spacing w:val="5"/>
    </w:rPr>
  </w:style>
  <w:style w:type="table" w:styleId="TableGrid">
    <w:name w:val="Table Grid"/>
    <w:basedOn w:val="TableNormal"/>
    <w:uiPriority w:val="39"/>
    <w:rsid w:val="00027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8</Pages>
  <Words>2226</Words>
  <Characters>12692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Pierson L</dc:creator>
  <cp:keywords/>
  <dc:description/>
  <cp:lastModifiedBy>Chu, Pierson L</cp:lastModifiedBy>
  <cp:revision>27</cp:revision>
  <dcterms:created xsi:type="dcterms:W3CDTF">2026-10-03T05:34:00Z</dcterms:created>
  <dcterms:modified xsi:type="dcterms:W3CDTF">2026-10-06T14:49:00Z</dcterms:modified>
</cp:coreProperties>
</file>