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C6C0DE" w14:textId="2C05C27E" w:rsidR="0072402D" w:rsidRDefault="00DF4C69" w:rsidP="00704934">
      <w:pPr>
        <w:rPr>
          <w:b/>
          <w:bCs/>
          <w:color w:val="000000" w:themeColor="text1"/>
          <w:sz w:val="36"/>
          <w:szCs w:val="36"/>
        </w:rPr>
      </w:pPr>
      <w:r>
        <w:rPr>
          <w:b/>
          <w:bCs/>
          <w:color w:val="000000" w:themeColor="text1"/>
          <w:sz w:val="36"/>
          <w:szCs w:val="36"/>
        </w:rPr>
        <w:t xml:space="preserve"> </w:t>
      </w:r>
      <w:r w:rsidR="00695322">
        <w:rPr>
          <w:b/>
          <w:bCs/>
          <w:color w:val="000000" w:themeColor="text1"/>
          <w:sz w:val="36"/>
          <w:szCs w:val="36"/>
        </w:rPr>
        <w:t>Commodity-Linked FX Underreaction: Do Large Commodity Moves Predict Next-Week Returns in CAD, NOK and AUD?</w:t>
      </w:r>
    </w:p>
    <w:p w14:paraId="69E1DD5C" w14:textId="77777777" w:rsidR="00FD4775" w:rsidRDefault="00000000">
      <w:r>
        <w:t>Tsz Lok Pierson Chu · Submitted October 23</w:t>
      </w:r>
    </w:p>
    <w:p w14:paraId="18F61506" w14:textId="77777777" w:rsidR="00FD4775" w:rsidRDefault="00000000">
      <w:pPr>
        <w:rPr>
          <w:b/>
          <w:bCs/>
          <w:color w:val="000000" w:themeColor="text1"/>
          <w:sz w:val="36"/>
          <w:szCs w:val="36"/>
        </w:rPr>
      </w:pPr>
      <w:r>
        <w:rPr>
          <w:b/>
          <w:bCs/>
          <w:color w:val="000000" w:themeColor="text1"/>
          <w:sz w:val="36"/>
          <w:szCs w:val="36"/>
        </w:rPr>
        <w:t>1. Hypothesis Pitch</w:t>
      </w:r>
    </w:p>
    <w:p w14:paraId="339151A9" w14:textId="77777777" w:rsidR="00E40EDB" w:rsidRDefault="00CB1B77" w:rsidP="00704934">
      <w:r>
        <w:rPr>
          <w:color w:val="000000" w:themeColor="text1"/>
        </w:rPr>
        <w:t xml:space="preserve">The core hypothesis in this project is that large moves in a commodity-exporting country's key export commodity predict appreciation in that country's currency over the following week, because FX markets incorporate terms-of-trade information gradually rather than instantly. When a commodity spikes, the exporter's export revenue, fiscal outlook, and growth expectations all improve, which should strengthen the currency — but limited attention and confirmation-seeking mean the repricing diffuses over several days, creating a short-horizon predictable drift. Crucially, I believe this underreaction should live only in large commodity moves, not small ones. Some pairings that I plan to examine include CAD–WTI, NOK–Brent, AUD–copper (an imperfect, but more liquid metals proxy). An important caveat is that </w:t>
      </w:r>
      <w:r>
        <w:t>FX and commodities are among the most-watched markets on earth, so my honest expectation is that any edge is small and may not survive trading costs. A weak or null result is a likely and legitimate outcome.</w:t>
      </w:r>
    </w:p>
    <w:p w14:paraId="68F688FF" w14:textId="77777777" w:rsidR="00E40EDB" w:rsidRDefault="00E40EDB" w:rsidP="00704934">
      <w:r>
        <w:t>Below are some factors that can falsify my belief:</w:t>
      </w:r>
    </w:p>
    <w:p w14:paraId="54F29F36" w14:textId="77777777" w:rsidR="00E40EDB" w:rsidRDefault="00E40EDB" w:rsidP="00E40EDB">
      <w:pPr>
        <w:pStyle w:val="ListParagraph"/>
        <w:numPr>
          <w:ilvl w:val="0"/>
          <w:numId w:val="1"/>
        </w:numPr>
      </w:pPr>
      <w:r>
        <w:t>Lagged commodity moves don't predict next-week FX returns out-of-sample.</w:t>
      </w:r>
    </w:p>
    <w:p w14:paraId="7AD2CF21" w14:textId="77777777" w:rsidR="00E40EDB" w:rsidRDefault="00E40EDB" w:rsidP="00E40EDB">
      <w:pPr>
        <w:pStyle w:val="ListParagraph"/>
        <w:numPr>
          <w:ilvl w:val="0"/>
          <w:numId w:val="1"/>
        </w:numPr>
      </w:pPr>
      <w:r>
        <w:t>Any profits disappear after including transaction costs.</w:t>
      </w:r>
    </w:p>
    <w:p w14:paraId="04611024" w14:textId="77777777" w:rsidR="00E40EDB" w:rsidRDefault="00E40EDB" w:rsidP="00704934">
      <w:pPr>
        <w:pStyle w:val="ListParagraph"/>
        <w:numPr>
          <w:ilvl w:val="0"/>
          <w:numId w:val="1"/>
        </w:numPr>
      </w:pPr>
      <w:r>
        <w:t>If the predictability disappears once the commodity signal is dollar-adjusted, the effect was just the USD cycle, not a terms-of-trade story.</w:t>
      </w:r>
    </w:p>
    <w:p w14:paraId="1AB4DED1" w14:textId="77777777" w:rsidR="00FD4775" w:rsidRDefault="00000000">
      <w:pPr>
        <w:rPr>
          <w:b/>
          <w:bCs/>
          <w:color w:val="000000" w:themeColor="text1"/>
          <w:sz w:val="36"/>
          <w:szCs w:val="36"/>
        </w:rPr>
      </w:pPr>
      <w:r>
        <w:rPr>
          <w:b/>
          <w:bCs/>
          <w:color w:val="000000" w:themeColor="text1"/>
          <w:sz w:val="36"/>
          <w:szCs w:val="36"/>
        </w:rPr>
        <w:t>2. Data Pipeline</w:t>
      </w:r>
    </w:p>
    <w:p w14:paraId="27D4B212" w14:textId="77777777" w:rsidR="00FD4775" w:rsidRDefault="00000000">
      <w:r>
        <w:rPr>
          <w:b/>
          <w:sz w:val="26"/>
        </w:rPr>
        <w:t>Universe and sources</w:t>
      </w:r>
    </w:p>
    <w:p w14:paraId="25C03495" w14:textId="77777777" w:rsidR="00FD4775" w:rsidRDefault="00000000">
      <w:r>
        <w:t xml:space="preserve">Three liquid, developed-market commodity currencies, each paired with one commodity future: CAD with WTI crude oil (CL=F), NOK with Brent crude oil (BZ=F) and AUD with copper (HG=F), plus the Invesco DB US Dollar Index Bullish Fund (UUP) as a control for broad dollar moves. All seven series are downloaded with </w:t>
      </w:r>
      <w:proofErr w:type="spellStart"/>
      <w:r>
        <w:t>yfinance</w:t>
      </w:r>
      <w:proofErr w:type="spellEnd"/>
      <w:r>
        <w:t xml:space="preserve"> from 2010 and cached to data/raw/. With USE_SNAPSHOT = True the notebook always reloads those files, so a re-run reproduces every reported number without network access.</w:t>
      </w:r>
    </w:p>
    <w:p w14:paraId="59ADFC03" w14:textId="77777777" w:rsidR="00FD4775" w:rsidRDefault="00000000">
      <w:r>
        <w:lastRenderedPageBreak/>
        <w:t>Sign convention: USDCAD=X and USDNOK=X rise when the US dollar strengthens, while AUDUSD=X rises when the Australian dollar strengthens. CAD and NOK log returns are therefore negated, so a positive return always means the local currency appreciated against the USD.</w:t>
      </w:r>
    </w:p>
    <w:p w14:paraId="02A9EEAA" w14:textId="77777777" w:rsidR="00FD4775" w:rsidRDefault="00000000">
      <w:r>
        <w:t>Outputs: raw snapshots of all seven series in data/raw/, and the cleaned, calendar-aligned price panel in data/processed/aligned_prices.csv.</w:t>
      </w:r>
    </w:p>
    <w:p w14:paraId="4C358EA1" w14:textId="77777777" w:rsidR="00FD4775" w:rsidRDefault="00000000">
      <w:r>
        <w:rPr>
          <w:b/>
          <w:sz w:val="26"/>
        </w:rPr>
        <w:t>Real-world messiness</w:t>
      </w:r>
    </w:p>
    <w:p w14:paraId="3DAD8A09" w14:textId="77777777" w:rsidR="00FD4775" w:rsidRDefault="00000000">
      <w:r>
        <w:t xml:space="preserve">Cleaning and calendar alignment: the panel is anchored to the days on which at least one of the three commodities traded, since a commodity move is only observable on those days; FX rows on other days (weekends, US exchange holidays) are dropped. This leaves between 1 and 8 isolated missing prices per series (32 for Brent, all between 2010 and early 2014). Prices, not returns, are </w:t>
      </w:r>
      <w:proofErr w:type="gramStart"/>
      <w:r>
        <w:t>forward-filled</w:t>
      </w:r>
      <w:proofErr w:type="gramEnd"/>
      <w:r>
        <w:t xml:space="preserve"> for at most 2 trading days, which bridges these gaps without inventing any move. No gap was longer, so no rows were dropped.</w:t>
      </w:r>
    </w:p>
    <w:p w14:paraId="45955A0E" w14:textId="77777777" w:rsidR="00FD4775" w:rsidRDefault="00000000">
      <w:r>
        <w:t>Two USD/NOK prints (20 March 2020 and 27 December 2021) jump far from both neighbours and revert the next day; on the first, the close is even below that day’s reported low. A 3-day centred median filter flags any price more than 5% away from the median of itself and its two neighbours and replaces it with that median. WTI’s −$37.63 settlement on 20 April 2020 makes log returns undefined, so it is masked; because rolling windows need complete data, CAD then has no signal for 59 of the 403 out-of-sample weeks. Bridging the print instead (carrying the previous price forward) leaves the conclusion unchanged: out-of-sample Sharpe −0.17 instead of −0.20, and all 9 configurations still negative.</w:t>
      </w:r>
    </w:p>
    <w:p w14:paraId="0DAC9C50" w14:textId="77777777" w:rsidR="00FD4775" w:rsidRDefault="00000000">
      <w:r>
        <w:t>Futures rolls: the commodity series are Yahoo’s raw front-month futures, not back-adjusted. When one contract expires and the series switches to the next, the price difference between the two (the roll gap) appears as a one-day return that could not have been earned; the −$37.63 WTI print is itself the settlement price of the expiring May 2020 contract. The median filter cannot catch these, because a roll is a permanent step rather than a spike (run on the commodities at a 15% threshold, it flags only one day, WTI on 18 March 2020, which manual inspection shows was a real, non-reverting crisis move). Instead, WTI and Brent are compared: both are crude oil but roll on different schedules, so a roll gap in one shows up as a jump in the gap between their daily returns. 90 days exceed a 3% gap, including Brent falling from about 118 to 101 on 1 April 2026 while WTI barely moved. Re-running with both oil returns zeroed on every flagged day changes the numbers (in-sample Sharpe 0.47, out-of-sample −0.49) but not the conclusion: 0 of 9 configurations are positive out-of-sample. Copper has no twin series to check against, which remains a limitation; a production version should use back-adjusted contracts.</w:t>
      </w:r>
    </w:p>
    <w:p w14:paraId="31F558A5" w14:textId="77777777" w:rsidR="00FD4775" w:rsidRDefault="00000000">
      <w:pPr>
        <w:rPr>
          <w:b/>
          <w:bCs/>
          <w:color w:val="000000" w:themeColor="text1"/>
          <w:sz w:val="36"/>
          <w:szCs w:val="36"/>
        </w:rPr>
      </w:pPr>
      <w:r>
        <w:rPr>
          <w:b/>
          <w:bCs/>
          <w:color w:val="000000" w:themeColor="text1"/>
          <w:sz w:val="36"/>
          <w:szCs w:val="36"/>
        </w:rPr>
        <w:lastRenderedPageBreak/>
        <w:t>3. Strategy and Backtest</w:t>
      </w:r>
    </w:p>
    <w:p w14:paraId="2C567288" w14:textId="77777777" w:rsidR="00FD4775" w:rsidRDefault="00000000">
      <w:r>
        <w:rPr>
          <w:b/>
          <w:sz w:val="26"/>
        </w:rPr>
        <w:t>Strategy</w:t>
      </w:r>
    </w:p>
    <w:p w14:paraId="0B7494EA" w14:textId="77777777" w:rsidR="00FD4775" w:rsidRDefault="00000000">
      <w:r>
        <w:t xml:space="preserve">The strategy turns the hypothesis into one rule, applied separately to each currency: when the currency’s export commodity has made an unusually large move over the past few weeks, trade the currency in the same direction for the next week, on the bet that it has not yet fully caught up. CAD is traded on WTI, NOK on Brent and AUD on copper. An unusually large rise means long the currency against the US dollar, an unusually large fall means short, and anything in between means no position. Each currency carries a fixed 1/3 weight whenever it has a position, so the portfolio is never more than 1x invested, and the three currencies are never ranked against each other (Methodology </w:t>
      </w:r>
      <w:proofErr w:type="spellStart"/>
      <w:r>
        <w:t>Defense</w:t>
      </w:r>
      <w:proofErr w:type="spellEnd"/>
      <w:r>
        <w:t xml:space="preserve"> explains why).</w:t>
      </w:r>
    </w:p>
    <w:p w14:paraId="12818FC1" w14:textId="77777777" w:rsidR="00FD4775" w:rsidRDefault="00000000">
      <w:r>
        <w:rPr>
          <w:b/>
          <w:sz w:val="26"/>
        </w:rPr>
        <w:t>Backtest</w:t>
      </w:r>
    </w:p>
    <w:p w14:paraId="0F74A22D" w14:textId="77777777" w:rsidR="00FD4775" w:rsidRDefault="00000000">
      <w:r>
        <w:t xml:space="preserve">The </w:t>
      </w:r>
      <w:proofErr w:type="spellStart"/>
      <w:r>
        <w:t>backtest</w:t>
      </w:r>
      <w:proofErr w:type="spellEnd"/>
      <w:r>
        <w:t xml:space="preserve"> replays this rule week by week from 2011 to 2026, using at each decision only information that would have been available at the time. It has seven steps.</w:t>
      </w:r>
    </w:p>
    <w:p w14:paraId="087E61A2" w14:textId="77777777" w:rsidR="00FD4775" w:rsidRDefault="00000000">
      <w:r>
        <w:rPr>
          <w:b/>
        </w:rPr>
        <w:t xml:space="preserve">Step 1: measure the recent commodity move. </w:t>
      </w:r>
      <w:r>
        <w:t xml:space="preserve">For each trading day t, add up the commodity’s daily log returns over the previous L trading days, where L, the lookback, is 10, 20 or 40. Log returns are used because they add up over time, so this sum is exactly the total move over the window. The sum stops at day t−1 (it is computed in one place, as </w:t>
      </w:r>
      <w:proofErr w:type="spellStart"/>
      <w:r>
        <w:t>trailing_return</w:t>
      </w:r>
      <w:proofErr w:type="spellEnd"/>
      <w:proofErr w:type="gramStart"/>
      <w:r>
        <w:t>(...).shift</w:t>
      </w:r>
      <w:proofErr w:type="gramEnd"/>
      <w:r>
        <w:t>(1)), so a decision on day t never uses that day’s own price. This is what rules out look-ahead bias.</w:t>
      </w:r>
    </w:p>
    <w:p w14:paraId="737429B0" w14:textId="77777777" w:rsidR="00FD4775" w:rsidRDefault="00000000">
      <w:r>
        <w:rPr>
          <w:b/>
        </w:rPr>
        <w:t xml:space="preserve">Step 2: decide whether the move is large. </w:t>
      </w:r>
      <w:r>
        <w:t>The trailing move is turned into a z-score: z = (today’s L-day move − the average L-day move over the past 252 trading days) ÷ the standard deviation of those moves. 252 trading days is about one year, so z = 1.5 means the move is 1.5 standard deviations larger than a typical move over the past year. This puts oil and copper on the same scale and adjusts for calm and volatile years, so a single threshold can define “large” for all three commodities. The first year of data is used up building this history, so with the 40-day lookback the first tradeable week is 11 March 2011.</w:t>
      </w:r>
    </w:p>
    <w:p w14:paraId="4A703AB9" w14:textId="77777777" w:rsidR="00FD4775" w:rsidRDefault="00000000">
      <w:r>
        <w:rPr>
          <w:b/>
        </w:rPr>
        <w:t xml:space="preserve">Step 3: turn the z-score into a position. </w:t>
      </w:r>
      <w:r>
        <w:t>The position is +1 (long) if z is above the entry threshold k, −1 (short) if z is below −k, and 0 (flat) otherwise. Three thresholds were tried: k = 0, which is always in the market and simply follows the direction of the move, and k = 0.5 and 1.0, which only trade moves at least half or one standard deviation away from normal. The higher thresholds are closer to the hypothesis, which claims the effect lives only in large moves.</w:t>
      </w:r>
    </w:p>
    <w:p w14:paraId="4E89B9BA" w14:textId="77777777" w:rsidR="00FD4775" w:rsidRDefault="00000000">
      <w:r>
        <w:rPr>
          <w:b/>
        </w:rPr>
        <w:lastRenderedPageBreak/>
        <w:t xml:space="preserve">Step 4: trade once a week. </w:t>
      </w:r>
      <w:r>
        <w:t>Every Friday, the position given by that day’s signal (built from data up to Thursday) is put on at Friday’s close and held until the next Friday’s close; if the signal is unchanged, the position simply stays on. The return earned is the currency’s weekly log return against the US dollar, the sum of that week’s daily returns, with CAD and NOK sign-flipped so that a positive number always means the local currency strengthened. Holding for exactly one week tests the hypothesis’s own horizon (“the following week”) instead of a horizon chosen after seeing results, and trading weekly rather than daily keeps turnover and costs down.</w:t>
      </w:r>
    </w:p>
    <w:p w14:paraId="14A6EB57" w14:textId="77777777" w:rsidR="00FD4775" w:rsidRDefault="00000000">
      <w:r>
        <w:rPr>
          <w:b/>
        </w:rPr>
        <w:t xml:space="preserve">Step 5: charge transaction costs. </w:t>
      </w:r>
      <w:r>
        <w:t>Each week, each currency earns position × weekly FX return × 1/3. Whenever its position changes, it pays the size of the change × 1/3 × the one-way cost: 2 basis points for CAD and AUD, and 5 for NOK, which trades less. Going from flat to long is a change of 1; flipping from long to short is a change of 2 and pays twice. The portfolio’s weekly return is the sum of the three currencies’ net returns.</w:t>
      </w:r>
    </w:p>
    <w:p w14:paraId="629F291E" w14:textId="77777777" w:rsidR="00FD4775" w:rsidRDefault="00000000">
      <w:r>
        <w:rPr>
          <w:b/>
        </w:rPr>
        <w:t xml:space="preserve">Step 6: choose the settings on the first half of the data only. </w:t>
      </w:r>
      <w:r>
        <w:t xml:space="preserve">Steps 1 to 5 leave two settings free, the lookback L (10, 20 or 40 days) and the threshold k (0, 0.5 or 1.0), which gives 9 combinations. All 9 were </w:t>
      </w:r>
      <w:proofErr w:type="spellStart"/>
      <w:r>
        <w:t>backtested</w:t>
      </w:r>
      <w:proofErr w:type="spellEnd"/>
      <w:r>
        <w:t xml:space="preserve"> on the in-sample period, 2011–2018 (408 weeks</w:t>
      </w:r>
      <w:proofErr w:type="gramStart"/>
      <w:r>
        <w:t>), and</w:t>
      </w:r>
      <w:proofErr w:type="gramEnd"/>
      <w:r>
        <w:t xml:space="preserve"> ranked by Sharpe ratio after costs; including costs at this stage means a setting that only works before costs cannot be chosen. The best, a 40-day lookback with a 1.0 threshold, was frozen and run once on the out-of-sample period, 2019–2026 (403 weeks), with no further changes. The out-of-sample numbers are the real test, because the in-sample winner is, by construction, the best of 9 tries on the same data.</w:t>
      </w:r>
    </w:p>
    <w:p w14:paraId="0EF94CCD" w14:textId="77777777" w:rsidR="00FD4775" w:rsidRDefault="00000000">
      <w:r>
        <w:t>All 9 combinations, ranked by in-sample Sharpe ratio (the only column used to choose):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50"/>
        <w:gridCol w:w="1276"/>
        <w:gridCol w:w="1307"/>
        <w:gridCol w:w="1241"/>
        <w:gridCol w:w="1448"/>
        <w:gridCol w:w="1274"/>
        <w:gridCol w:w="1454"/>
      </w:tblGrid>
      <w:tr w:rsidR="00FD4775" w14:paraId="26285506" w14:textId="77777777">
        <w:tc>
          <w:tcPr>
            <w:tcW w:w="1400" w:type="dxa"/>
          </w:tcPr>
          <w:p w14:paraId="0D041357" w14:textId="77777777" w:rsidR="00FD4775" w:rsidRDefault="00000000">
            <w:r>
              <w:rPr>
                <w:b/>
              </w:rPr>
              <w:t>Rank</w:t>
            </w:r>
          </w:p>
        </w:tc>
        <w:tc>
          <w:tcPr>
            <w:tcW w:w="1150" w:type="dxa"/>
          </w:tcPr>
          <w:p w14:paraId="7066B34A" w14:textId="77777777" w:rsidR="00FD4775" w:rsidRDefault="00000000">
            <w:r>
              <w:rPr>
                <w:b/>
              </w:rPr>
              <w:t>Lookback (days)</w:t>
            </w:r>
          </w:p>
        </w:tc>
        <w:tc>
          <w:tcPr>
            <w:tcW w:w="1150" w:type="dxa"/>
          </w:tcPr>
          <w:p w14:paraId="2EF9110D" w14:textId="77777777" w:rsidR="00FD4775" w:rsidRDefault="00000000">
            <w:r>
              <w:rPr>
                <w:b/>
              </w:rPr>
              <w:t>Threshold (σ)</w:t>
            </w:r>
          </w:p>
        </w:tc>
        <w:tc>
          <w:tcPr>
            <w:tcW w:w="1350" w:type="dxa"/>
          </w:tcPr>
          <w:p w14:paraId="240FDA3E" w14:textId="77777777" w:rsidR="00FD4775" w:rsidRDefault="00000000">
            <w:r>
              <w:rPr>
                <w:b/>
              </w:rPr>
              <w:t>In-sample Sharpe</w:t>
            </w:r>
          </w:p>
        </w:tc>
        <w:tc>
          <w:tcPr>
            <w:tcW w:w="1450" w:type="dxa"/>
          </w:tcPr>
          <w:p w14:paraId="0F34510C" w14:textId="77777777" w:rsidR="00FD4775" w:rsidRDefault="00000000">
            <w:r>
              <w:rPr>
                <w:b/>
              </w:rPr>
              <w:t>In-sample cumulative return</w:t>
            </w:r>
          </w:p>
        </w:tc>
        <w:tc>
          <w:tcPr>
            <w:tcW w:w="1400" w:type="dxa"/>
          </w:tcPr>
          <w:p w14:paraId="6515E8A3" w14:textId="77777777" w:rsidR="00FD4775" w:rsidRDefault="00000000">
            <w:r>
              <w:rPr>
                <w:b/>
              </w:rPr>
              <w:t>Out-of-sample Sharpe</w:t>
            </w:r>
          </w:p>
        </w:tc>
        <w:tc>
          <w:tcPr>
            <w:tcW w:w="1460" w:type="dxa"/>
          </w:tcPr>
          <w:p w14:paraId="148AA6A9" w14:textId="77777777" w:rsidR="00FD4775" w:rsidRDefault="00000000">
            <w:r>
              <w:rPr>
                <w:b/>
              </w:rPr>
              <w:t>Out-of-sample cumulative return</w:t>
            </w:r>
          </w:p>
        </w:tc>
      </w:tr>
      <w:tr w:rsidR="00FD4775" w14:paraId="741DD377" w14:textId="77777777">
        <w:tc>
          <w:tcPr>
            <w:tcW w:w="1400" w:type="dxa"/>
          </w:tcPr>
          <w:p w14:paraId="7452806C" w14:textId="77777777" w:rsidR="00FD4775" w:rsidRDefault="00000000">
            <w:r>
              <w:t>1 (selected)</w:t>
            </w:r>
          </w:p>
        </w:tc>
        <w:tc>
          <w:tcPr>
            <w:tcW w:w="1150" w:type="dxa"/>
          </w:tcPr>
          <w:p w14:paraId="1C15A6BF" w14:textId="77777777" w:rsidR="00FD4775" w:rsidRDefault="00000000">
            <w:r>
              <w:t>40</w:t>
            </w:r>
          </w:p>
        </w:tc>
        <w:tc>
          <w:tcPr>
            <w:tcW w:w="1150" w:type="dxa"/>
          </w:tcPr>
          <w:p w14:paraId="05AABC71" w14:textId="77777777" w:rsidR="00FD4775" w:rsidRDefault="00000000">
            <w:r>
              <w:t>1.0</w:t>
            </w:r>
          </w:p>
        </w:tc>
        <w:tc>
          <w:tcPr>
            <w:tcW w:w="1350" w:type="dxa"/>
          </w:tcPr>
          <w:p w14:paraId="020BE05F" w14:textId="77777777" w:rsidR="00FD4775" w:rsidRDefault="00000000">
            <w:r>
              <w:t>0.38</w:t>
            </w:r>
          </w:p>
        </w:tc>
        <w:tc>
          <w:tcPr>
            <w:tcW w:w="1450" w:type="dxa"/>
          </w:tcPr>
          <w:p w14:paraId="1CAB3B29" w14:textId="77777777" w:rsidR="00FD4775" w:rsidRDefault="00000000">
            <w:r>
              <w:t>13.8%</w:t>
            </w:r>
          </w:p>
        </w:tc>
        <w:tc>
          <w:tcPr>
            <w:tcW w:w="1400" w:type="dxa"/>
          </w:tcPr>
          <w:p w14:paraId="70095289" w14:textId="77777777" w:rsidR="00FD4775" w:rsidRDefault="00000000">
            <w:r>
              <w:t>-0.20</w:t>
            </w:r>
          </w:p>
        </w:tc>
        <w:tc>
          <w:tcPr>
            <w:tcW w:w="1460" w:type="dxa"/>
          </w:tcPr>
          <w:p w14:paraId="30B03CEB" w14:textId="77777777" w:rsidR="00FD4775" w:rsidRDefault="00000000">
            <w:r>
              <w:t>-7.9%</w:t>
            </w:r>
          </w:p>
        </w:tc>
      </w:tr>
      <w:tr w:rsidR="00FD4775" w14:paraId="3A11C1AB" w14:textId="77777777">
        <w:tc>
          <w:tcPr>
            <w:tcW w:w="1400" w:type="dxa"/>
          </w:tcPr>
          <w:p w14:paraId="3746831A" w14:textId="77777777" w:rsidR="00FD4775" w:rsidRDefault="00000000">
            <w:r>
              <w:t>2</w:t>
            </w:r>
          </w:p>
        </w:tc>
        <w:tc>
          <w:tcPr>
            <w:tcW w:w="1150" w:type="dxa"/>
          </w:tcPr>
          <w:p w14:paraId="2720547D" w14:textId="77777777" w:rsidR="00FD4775" w:rsidRDefault="00000000">
            <w:r>
              <w:t>40</w:t>
            </w:r>
          </w:p>
        </w:tc>
        <w:tc>
          <w:tcPr>
            <w:tcW w:w="1150" w:type="dxa"/>
          </w:tcPr>
          <w:p w14:paraId="1E56034C" w14:textId="77777777" w:rsidR="00FD4775" w:rsidRDefault="00000000">
            <w:r>
              <w:t>0.0</w:t>
            </w:r>
          </w:p>
        </w:tc>
        <w:tc>
          <w:tcPr>
            <w:tcW w:w="1350" w:type="dxa"/>
          </w:tcPr>
          <w:p w14:paraId="64C943D0" w14:textId="77777777" w:rsidR="00FD4775" w:rsidRDefault="00000000">
            <w:r>
              <w:t>0.37</w:t>
            </w:r>
          </w:p>
        </w:tc>
        <w:tc>
          <w:tcPr>
            <w:tcW w:w="1450" w:type="dxa"/>
          </w:tcPr>
          <w:p w14:paraId="183B6E2A" w14:textId="77777777" w:rsidR="00FD4775" w:rsidRDefault="00000000">
            <w:r>
              <w:t>22.0%</w:t>
            </w:r>
          </w:p>
        </w:tc>
        <w:tc>
          <w:tcPr>
            <w:tcW w:w="1400" w:type="dxa"/>
          </w:tcPr>
          <w:p w14:paraId="3AFDEE71" w14:textId="77777777" w:rsidR="00FD4775" w:rsidRDefault="00000000">
            <w:r>
              <w:t>-0.48</w:t>
            </w:r>
          </w:p>
        </w:tc>
        <w:tc>
          <w:tcPr>
            <w:tcW w:w="1460" w:type="dxa"/>
          </w:tcPr>
          <w:p w14:paraId="3AB12CD5" w14:textId="77777777" w:rsidR="00FD4775" w:rsidRDefault="00000000">
            <w:r>
              <w:t>-24.3%</w:t>
            </w:r>
          </w:p>
        </w:tc>
      </w:tr>
      <w:tr w:rsidR="00FD4775" w14:paraId="74E1EB6D" w14:textId="77777777">
        <w:tc>
          <w:tcPr>
            <w:tcW w:w="1400" w:type="dxa"/>
          </w:tcPr>
          <w:p w14:paraId="563F923D" w14:textId="77777777" w:rsidR="00FD4775" w:rsidRDefault="00000000">
            <w:r>
              <w:t>3</w:t>
            </w:r>
          </w:p>
        </w:tc>
        <w:tc>
          <w:tcPr>
            <w:tcW w:w="1150" w:type="dxa"/>
          </w:tcPr>
          <w:p w14:paraId="5FDA152F" w14:textId="77777777" w:rsidR="00FD4775" w:rsidRDefault="00000000">
            <w:r>
              <w:t>40</w:t>
            </w:r>
          </w:p>
        </w:tc>
        <w:tc>
          <w:tcPr>
            <w:tcW w:w="1150" w:type="dxa"/>
          </w:tcPr>
          <w:p w14:paraId="4C6BA2E9" w14:textId="77777777" w:rsidR="00FD4775" w:rsidRDefault="00000000">
            <w:r>
              <w:t>0.5</w:t>
            </w:r>
          </w:p>
        </w:tc>
        <w:tc>
          <w:tcPr>
            <w:tcW w:w="1350" w:type="dxa"/>
          </w:tcPr>
          <w:p w14:paraId="5855A1A1" w14:textId="77777777" w:rsidR="00FD4775" w:rsidRDefault="00000000">
            <w:r>
              <w:t>0.35</w:t>
            </w:r>
          </w:p>
        </w:tc>
        <w:tc>
          <w:tcPr>
            <w:tcW w:w="1450" w:type="dxa"/>
          </w:tcPr>
          <w:p w14:paraId="68268749" w14:textId="77777777" w:rsidR="00FD4775" w:rsidRDefault="00000000">
            <w:r>
              <w:t>17.8%</w:t>
            </w:r>
          </w:p>
        </w:tc>
        <w:tc>
          <w:tcPr>
            <w:tcW w:w="1400" w:type="dxa"/>
          </w:tcPr>
          <w:p w14:paraId="2920E7A5" w14:textId="77777777" w:rsidR="00FD4775" w:rsidRDefault="00000000">
            <w:r>
              <w:t>-0.26</w:t>
            </w:r>
          </w:p>
        </w:tc>
        <w:tc>
          <w:tcPr>
            <w:tcW w:w="1460" w:type="dxa"/>
          </w:tcPr>
          <w:p w14:paraId="6E635C89" w14:textId="77777777" w:rsidR="00FD4775" w:rsidRDefault="00000000">
            <w:r>
              <w:t>-12.0%</w:t>
            </w:r>
          </w:p>
        </w:tc>
      </w:tr>
      <w:tr w:rsidR="00FD4775" w14:paraId="7B566425" w14:textId="77777777">
        <w:tc>
          <w:tcPr>
            <w:tcW w:w="1400" w:type="dxa"/>
          </w:tcPr>
          <w:p w14:paraId="1A11B7F3" w14:textId="77777777" w:rsidR="00FD4775" w:rsidRDefault="00000000">
            <w:r>
              <w:t>4</w:t>
            </w:r>
          </w:p>
        </w:tc>
        <w:tc>
          <w:tcPr>
            <w:tcW w:w="1150" w:type="dxa"/>
          </w:tcPr>
          <w:p w14:paraId="34CAA8CA" w14:textId="77777777" w:rsidR="00FD4775" w:rsidRDefault="00000000">
            <w:r>
              <w:t>10</w:t>
            </w:r>
          </w:p>
        </w:tc>
        <w:tc>
          <w:tcPr>
            <w:tcW w:w="1150" w:type="dxa"/>
          </w:tcPr>
          <w:p w14:paraId="5DBA1A1C" w14:textId="77777777" w:rsidR="00FD4775" w:rsidRDefault="00000000">
            <w:r>
              <w:t>1.0</w:t>
            </w:r>
          </w:p>
        </w:tc>
        <w:tc>
          <w:tcPr>
            <w:tcW w:w="1350" w:type="dxa"/>
          </w:tcPr>
          <w:p w14:paraId="47887E03" w14:textId="77777777" w:rsidR="00FD4775" w:rsidRDefault="00000000">
            <w:r>
              <w:t>-0.02</w:t>
            </w:r>
          </w:p>
        </w:tc>
        <w:tc>
          <w:tcPr>
            <w:tcW w:w="1450" w:type="dxa"/>
          </w:tcPr>
          <w:p w14:paraId="5A570AC3" w14:textId="77777777" w:rsidR="00FD4775" w:rsidRDefault="00000000">
            <w:r>
              <w:t>-0.6%</w:t>
            </w:r>
          </w:p>
        </w:tc>
        <w:tc>
          <w:tcPr>
            <w:tcW w:w="1400" w:type="dxa"/>
          </w:tcPr>
          <w:p w14:paraId="5844B43A" w14:textId="77777777" w:rsidR="00FD4775" w:rsidRDefault="00000000">
            <w:r>
              <w:t>-0.36</w:t>
            </w:r>
          </w:p>
        </w:tc>
        <w:tc>
          <w:tcPr>
            <w:tcW w:w="1460" w:type="dxa"/>
          </w:tcPr>
          <w:p w14:paraId="5EC309A8" w14:textId="77777777" w:rsidR="00FD4775" w:rsidRDefault="00000000">
            <w:r>
              <w:t>-11.2%</w:t>
            </w:r>
          </w:p>
        </w:tc>
      </w:tr>
      <w:tr w:rsidR="00FD4775" w14:paraId="066E7A2C" w14:textId="77777777">
        <w:tc>
          <w:tcPr>
            <w:tcW w:w="1400" w:type="dxa"/>
          </w:tcPr>
          <w:p w14:paraId="3C4CD1C8" w14:textId="77777777" w:rsidR="00FD4775" w:rsidRDefault="00000000">
            <w:r>
              <w:t>5</w:t>
            </w:r>
          </w:p>
        </w:tc>
        <w:tc>
          <w:tcPr>
            <w:tcW w:w="1150" w:type="dxa"/>
          </w:tcPr>
          <w:p w14:paraId="6A18C689" w14:textId="77777777" w:rsidR="00FD4775" w:rsidRDefault="00000000">
            <w:r>
              <w:t>20</w:t>
            </w:r>
          </w:p>
        </w:tc>
        <w:tc>
          <w:tcPr>
            <w:tcW w:w="1150" w:type="dxa"/>
          </w:tcPr>
          <w:p w14:paraId="538570A7" w14:textId="77777777" w:rsidR="00FD4775" w:rsidRDefault="00000000">
            <w:r>
              <w:t>1.0</w:t>
            </w:r>
          </w:p>
        </w:tc>
        <w:tc>
          <w:tcPr>
            <w:tcW w:w="1350" w:type="dxa"/>
          </w:tcPr>
          <w:p w14:paraId="413F8C50" w14:textId="77777777" w:rsidR="00FD4775" w:rsidRDefault="00000000">
            <w:r>
              <w:t>-0.31</w:t>
            </w:r>
          </w:p>
        </w:tc>
        <w:tc>
          <w:tcPr>
            <w:tcW w:w="1450" w:type="dxa"/>
          </w:tcPr>
          <w:p w14:paraId="3DF6A424" w14:textId="77777777" w:rsidR="00FD4775" w:rsidRDefault="00000000">
            <w:r>
              <w:t>-9.5%</w:t>
            </w:r>
          </w:p>
        </w:tc>
        <w:tc>
          <w:tcPr>
            <w:tcW w:w="1400" w:type="dxa"/>
          </w:tcPr>
          <w:p w14:paraId="3A03D311" w14:textId="77777777" w:rsidR="00FD4775" w:rsidRDefault="00000000">
            <w:r>
              <w:t>-0.41</w:t>
            </w:r>
          </w:p>
        </w:tc>
        <w:tc>
          <w:tcPr>
            <w:tcW w:w="1460" w:type="dxa"/>
          </w:tcPr>
          <w:p w14:paraId="3FC512C9" w14:textId="77777777" w:rsidR="00FD4775" w:rsidRDefault="00000000">
            <w:r>
              <w:t>-13.2%</w:t>
            </w:r>
          </w:p>
        </w:tc>
      </w:tr>
      <w:tr w:rsidR="00FD4775" w14:paraId="53A4E070" w14:textId="77777777">
        <w:tc>
          <w:tcPr>
            <w:tcW w:w="1400" w:type="dxa"/>
          </w:tcPr>
          <w:p w14:paraId="57519298" w14:textId="77777777" w:rsidR="00FD4775" w:rsidRDefault="00000000">
            <w:r>
              <w:lastRenderedPageBreak/>
              <w:t>6</w:t>
            </w:r>
          </w:p>
        </w:tc>
        <w:tc>
          <w:tcPr>
            <w:tcW w:w="1150" w:type="dxa"/>
          </w:tcPr>
          <w:p w14:paraId="6F71BC4A" w14:textId="77777777" w:rsidR="00FD4775" w:rsidRDefault="00000000">
            <w:r>
              <w:t>20</w:t>
            </w:r>
          </w:p>
        </w:tc>
        <w:tc>
          <w:tcPr>
            <w:tcW w:w="1150" w:type="dxa"/>
          </w:tcPr>
          <w:p w14:paraId="7951525F" w14:textId="77777777" w:rsidR="00FD4775" w:rsidRDefault="00000000">
            <w:r>
              <w:t>0.0</w:t>
            </w:r>
          </w:p>
        </w:tc>
        <w:tc>
          <w:tcPr>
            <w:tcW w:w="1350" w:type="dxa"/>
          </w:tcPr>
          <w:p w14:paraId="3FD21181" w14:textId="77777777" w:rsidR="00FD4775" w:rsidRDefault="00000000">
            <w:r>
              <w:t>-0.37</w:t>
            </w:r>
          </w:p>
        </w:tc>
        <w:tc>
          <w:tcPr>
            <w:tcW w:w="1450" w:type="dxa"/>
          </w:tcPr>
          <w:p w14:paraId="78F6599A" w14:textId="77777777" w:rsidR="00FD4775" w:rsidRDefault="00000000">
            <w:r>
              <w:t>-17.2%</w:t>
            </w:r>
          </w:p>
        </w:tc>
        <w:tc>
          <w:tcPr>
            <w:tcW w:w="1400" w:type="dxa"/>
          </w:tcPr>
          <w:p w14:paraId="1DD85DB0" w14:textId="77777777" w:rsidR="00FD4775" w:rsidRDefault="00000000">
            <w:r>
              <w:t>-0.34</w:t>
            </w:r>
          </w:p>
        </w:tc>
        <w:tc>
          <w:tcPr>
            <w:tcW w:w="1460" w:type="dxa"/>
          </w:tcPr>
          <w:p w14:paraId="108EDC44" w14:textId="77777777" w:rsidR="00FD4775" w:rsidRDefault="00000000">
            <w:r>
              <w:t>-17.1%</w:t>
            </w:r>
          </w:p>
        </w:tc>
      </w:tr>
      <w:tr w:rsidR="00FD4775" w14:paraId="31154B7C" w14:textId="77777777">
        <w:tc>
          <w:tcPr>
            <w:tcW w:w="1400" w:type="dxa"/>
          </w:tcPr>
          <w:p w14:paraId="77430A51" w14:textId="77777777" w:rsidR="00FD4775" w:rsidRDefault="00000000">
            <w:r>
              <w:t>7</w:t>
            </w:r>
          </w:p>
        </w:tc>
        <w:tc>
          <w:tcPr>
            <w:tcW w:w="1150" w:type="dxa"/>
          </w:tcPr>
          <w:p w14:paraId="61EFB943" w14:textId="77777777" w:rsidR="00FD4775" w:rsidRDefault="00000000">
            <w:r>
              <w:t>20</w:t>
            </w:r>
          </w:p>
        </w:tc>
        <w:tc>
          <w:tcPr>
            <w:tcW w:w="1150" w:type="dxa"/>
          </w:tcPr>
          <w:p w14:paraId="44A33880" w14:textId="77777777" w:rsidR="00FD4775" w:rsidRDefault="00000000">
            <w:r>
              <w:t>0.5</w:t>
            </w:r>
          </w:p>
        </w:tc>
        <w:tc>
          <w:tcPr>
            <w:tcW w:w="1350" w:type="dxa"/>
          </w:tcPr>
          <w:p w14:paraId="44BB5553" w14:textId="77777777" w:rsidR="00FD4775" w:rsidRDefault="00000000">
            <w:r>
              <w:t>-0.47</w:t>
            </w:r>
          </w:p>
        </w:tc>
        <w:tc>
          <w:tcPr>
            <w:tcW w:w="1450" w:type="dxa"/>
          </w:tcPr>
          <w:p w14:paraId="61C52E49" w14:textId="77777777" w:rsidR="00FD4775" w:rsidRDefault="00000000">
            <w:r>
              <w:t>-18.0%</w:t>
            </w:r>
          </w:p>
        </w:tc>
        <w:tc>
          <w:tcPr>
            <w:tcW w:w="1400" w:type="dxa"/>
          </w:tcPr>
          <w:p w14:paraId="648D9E41" w14:textId="77777777" w:rsidR="00FD4775" w:rsidRDefault="00000000">
            <w:r>
              <w:t>-0.41</w:t>
            </w:r>
          </w:p>
        </w:tc>
        <w:tc>
          <w:tcPr>
            <w:tcW w:w="1460" w:type="dxa"/>
          </w:tcPr>
          <w:p w14:paraId="27FD077F" w14:textId="77777777" w:rsidR="00FD4775" w:rsidRDefault="00000000">
            <w:r>
              <w:t>-16.9%</w:t>
            </w:r>
          </w:p>
        </w:tc>
      </w:tr>
      <w:tr w:rsidR="00FD4775" w14:paraId="7F2BFE05" w14:textId="77777777">
        <w:tc>
          <w:tcPr>
            <w:tcW w:w="1400" w:type="dxa"/>
          </w:tcPr>
          <w:p w14:paraId="18FD9E4E" w14:textId="77777777" w:rsidR="00FD4775" w:rsidRDefault="00000000">
            <w:r>
              <w:t>8</w:t>
            </w:r>
          </w:p>
        </w:tc>
        <w:tc>
          <w:tcPr>
            <w:tcW w:w="1150" w:type="dxa"/>
          </w:tcPr>
          <w:p w14:paraId="54AECA09" w14:textId="77777777" w:rsidR="00FD4775" w:rsidRDefault="00000000">
            <w:r>
              <w:t>10</w:t>
            </w:r>
          </w:p>
        </w:tc>
        <w:tc>
          <w:tcPr>
            <w:tcW w:w="1150" w:type="dxa"/>
          </w:tcPr>
          <w:p w14:paraId="5089A1D8" w14:textId="77777777" w:rsidR="00FD4775" w:rsidRDefault="00000000">
            <w:r>
              <w:t>0.5</w:t>
            </w:r>
          </w:p>
        </w:tc>
        <w:tc>
          <w:tcPr>
            <w:tcW w:w="1350" w:type="dxa"/>
          </w:tcPr>
          <w:p w14:paraId="4B12CEDC" w14:textId="77777777" w:rsidR="00FD4775" w:rsidRDefault="00000000">
            <w:r>
              <w:t>-0.49</w:t>
            </w:r>
          </w:p>
        </w:tc>
        <w:tc>
          <w:tcPr>
            <w:tcW w:w="1450" w:type="dxa"/>
          </w:tcPr>
          <w:p w14:paraId="2B969D46" w14:textId="77777777" w:rsidR="00FD4775" w:rsidRDefault="00000000">
            <w:r>
              <w:t>-17.0%</w:t>
            </w:r>
          </w:p>
        </w:tc>
        <w:tc>
          <w:tcPr>
            <w:tcW w:w="1400" w:type="dxa"/>
          </w:tcPr>
          <w:p w14:paraId="4C1C479E" w14:textId="77777777" w:rsidR="00FD4775" w:rsidRDefault="00000000">
            <w:r>
              <w:t>-0.46</w:t>
            </w:r>
          </w:p>
        </w:tc>
        <w:tc>
          <w:tcPr>
            <w:tcW w:w="1460" w:type="dxa"/>
          </w:tcPr>
          <w:p w14:paraId="73F45349" w14:textId="77777777" w:rsidR="00FD4775" w:rsidRDefault="00000000">
            <w:r>
              <w:t>-18.8%</w:t>
            </w:r>
          </w:p>
        </w:tc>
      </w:tr>
      <w:tr w:rsidR="00FD4775" w14:paraId="19B7A346" w14:textId="77777777">
        <w:tc>
          <w:tcPr>
            <w:tcW w:w="1400" w:type="dxa"/>
          </w:tcPr>
          <w:p w14:paraId="55BCF23D" w14:textId="77777777" w:rsidR="00FD4775" w:rsidRDefault="00000000">
            <w:r>
              <w:t>9</w:t>
            </w:r>
          </w:p>
        </w:tc>
        <w:tc>
          <w:tcPr>
            <w:tcW w:w="1150" w:type="dxa"/>
          </w:tcPr>
          <w:p w14:paraId="4CA5E1B4" w14:textId="77777777" w:rsidR="00FD4775" w:rsidRDefault="00000000">
            <w:r>
              <w:t>10</w:t>
            </w:r>
          </w:p>
        </w:tc>
        <w:tc>
          <w:tcPr>
            <w:tcW w:w="1150" w:type="dxa"/>
          </w:tcPr>
          <w:p w14:paraId="12D0A48A" w14:textId="77777777" w:rsidR="00FD4775" w:rsidRDefault="00000000">
            <w:r>
              <w:t>0.0</w:t>
            </w:r>
          </w:p>
        </w:tc>
        <w:tc>
          <w:tcPr>
            <w:tcW w:w="1350" w:type="dxa"/>
          </w:tcPr>
          <w:p w14:paraId="6944F60E" w14:textId="77777777" w:rsidR="00FD4775" w:rsidRDefault="00000000">
            <w:r>
              <w:t>-0.55</w:t>
            </w:r>
          </w:p>
        </w:tc>
        <w:tc>
          <w:tcPr>
            <w:tcW w:w="1450" w:type="dxa"/>
          </w:tcPr>
          <w:p w14:paraId="15A07292" w14:textId="77777777" w:rsidR="00FD4775" w:rsidRDefault="00000000">
            <w:r>
              <w:t>-24.2%</w:t>
            </w:r>
          </w:p>
        </w:tc>
        <w:tc>
          <w:tcPr>
            <w:tcW w:w="1400" w:type="dxa"/>
          </w:tcPr>
          <w:p w14:paraId="47580BB4" w14:textId="77777777" w:rsidR="00FD4775" w:rsidRDefault="00000000">
            <w:r>
              <w:t>-0.28</w:t>
            </w:r>
          </w:p>
        </w:tc>
        <w:tc>
          <w:tcPr>
            <w:tcW w:w="1460" w:type="dxa"/>
          </w:tcPr>
          <w:p w14:paraId="17C5C8DE" w14:textId="77777777" w:rsidR="00FD4775" w:rsidRDefault="00000000">
            <w:r>
              <w:t>-13.5%</w:t>
            </w:r>
          </w:p>
        </w:tc>
      </w:tr>
    </w:tbl>
    <w:p w14:paraId="34FF77DE" w14:textId="77777777" w:rsidR="00FD4775" w:rsidRDefault="00000000">
      <w:r>
        <w:t>The out-of-sample columns come from the same run but were only looked at after the choice was frozen.</w:t>
      </w:r>
    </w:p>
    <w:p w14:paraId="47A64568" w14:textId="77777777" w:rsidR="00FD4775" w:rsidRDefault="00000000">
      <w:r>
        <w:rPr>
          <w:b/>
        </w:rPr>
        <w:t xml:space="preserve">Step 7: measure performance. </w:t>
      </w:r>
      <w:r>
        <w:t>Each week’s portfolio return is compounded into an equity curve that starts at $1. From it: cumulative return is the final value minus 1; annualised return is the same growth expressed per year; annualised volatility is the standard deviation of weekly returns × √52; the Sharpe ratio is annualised return ÷ annualised volatility, with no risk-free rate subtracted, the usual convention for FX strategies whose long and short positions finance each other; max drawdown is the largest fall from a previous peak of the equity curve; and hit rate is the share of weeks with a positive return. Finally, a t-statistic, mean weekly return ÷ (standard deviation ÷ √number of weeks), tests whether the average week is different from zero; an absolute value below about 2 means it is not, at the usual 5% level.</w:t>
      </w:r>
    </w:p>
    <w:p w14:paraId="50C184BE" w14:textId="77777777" w:rsidR="00FD4775" w:rsidRDefault="00000000">
      <w:r>
        <w:rPr>
          <w:b/>
          <w:sz w:val="26"/>
        </w:rPr>
        <w:t>Results</w:t>
      </w:r>
    </w:p>
    <w:p w14:paraId="2B0E3E52" w14:textId="77777777" w:rsidR="00FD4775" w:rsidRDefault="00000000">
      <w:r>
        <w:t>Key results for the frozen configuration (40-day lookback, 1.0 threshold), after costs: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18"/>
        <w:gridCol w:w="3116"/>
        <w:gridCol w:w="3116"/>
      </w:tblGrid>
      <w:tr w:rsidR="00FD4775" w14:paraId="13FF2C10" w14:textId="77777777">
        <w:tc>
          <w:tcPr>
            <w:tcW w:w="3120" w:type="dxa"/>
          </w:tcPr>
          <w:p w14:paraId="5C79ACB3" w14:textId="77777777" w:rsidR="00FD4775" w:rsidRDefault="00000000">
            <w:r>
              <w:rPr>
                <w:b/>
              </w:rPr>
              <w:t>Metric</w:t>
            </w:r>
          </w:p>
        </w:tc>
        <w:tc>
          <w:tcPr>
            <w:tcW w:w="3120" w:type="dxa"/>
          </w:tcPr>
          <w:p w14:paraId="42E331DC" w14:textId="77777777" w:rsidR="00FD4775" w:rsidRDefault="00000000">
            <w:r>
              <w:rPr>
                <w:b/>
              </w:rPr>
              <w:t>In-sample (2011-2018)</w:t>
            </w:r>
          </w:p>
        </w:tc>
        <w:tc>
          <w:tcPr>
            <w:tcW w:w="3120" w:type="dxa"/>
          </w:tcPr>
          <w:p w14:paraId="20FC8ECE" w14:textId="77777777" w:rsidR="00FD4775" w:rsidRDefault="00000000">
            <w:r>
              <w:rPr>
                <w:b/>
              </w:rPr>
              <w:t>Out-of-sample (2019-2026)</w:t>
            </w:r>
          </w:p>
        </w:tc>
      </w:tr>
      <w:tr w:rsidR="00FD4775" w14:paraId="1A467876" w14:textId="77777777">
        <w:tc>
          <w:tcPr>
            <w:tcW w:w="3120" w:type="dxa"/>
          </w:tcPr>
          <w:p w14:paraId="3F4A1045" w14:textId="77777777" w:rsidR="00FD4775" w:rsidRDefault="00000000">
            <w:r>
              <w:t>Cumulative return</w:t>
            </w:r>
          </w:p>
        </w:tc>
        <w:tc>
          <w:tcPr>
            <w:tcW w:w="3120" w:type="dxa"/>
          </w:tcPr>
          <w:p w14:paraId="175EF239" w14:textId="77777777" w:rsidR="00FD4775" w:rsidRDefault="00000000">
            <w:r>
              <w:t>13.8%</w:t>
            </w:r>
          </w:p>
        </w:tc>
        <w:tc>
          <w:tcPr>
            <w:tcW w:w="3120" w:type="dxa"/>
          </w:tcPr>
          <w:p w14:paraId="307F2F4D" w14:textId="77777777" w:rsidR="00FD4775" w:rsidRDefault="00000000">
            <w:r>
              <w:t>-7.9%</w:t>
            </w:r>
          </w:p>
        </w:tc>
      </w:tr>
      <w:tr w:rsidR="00FD4775" w14:paraId="417B80A1" w14:textId="77777777">
        <w:tc>
          <w:tcPr>
            <w:tcW w:w="3120" w:type="dxa"/>
          </w:tcPr>
          <w:p w14:paraId="1C881864" w14:textId="77777777" w:rsidR="00FD4775" w:rsidRDefault="00000000">
            <w:r>
              <w:t>Annualised return</w:t>
            </w:r>
          </w:p>
        </w:tc>
        <w:tc>
          <w:tcPr>
            <w:tcW w:w="3120" w:type="dxa"/>
          </w:tcPr>
          <w:p w14:paraId="2C1C7FC8" w14:textId="77777777" w:rsidR="00FD4775" w:rsidRDefault="00000000">
            <w:r>
              <w:t>1.7%</w:t>
            </w:r>
          </w:p>
        </w:tc>
        <w:tc>
          <w:tcPr>
            <w:tcW w:w="3120" w:type="dxa"/>
          </w:tcPr>
          <w:p w14:paraId="5C5EF21F" w14:textId="77777777" w:rsidR="00FD4775" w:rsidRDefault="00000000">
            <w:r>
              <w:t>-1.1%</w:t>
            </w:r>
          </w:p>
        </w:tc>
      </w:tr>
      <w:tr w:rsidR="00FD4775" w14:paraId="7EE6BCC9" w14:textId="77777777">
        <w:tc>
          <w:tcPr>
            <w:tcW w:w="3120" w:type="dxa"/>
          </w:tcPr>
          <w:p w14:paraId="3A027382" w14:textId="77777777" w:rsidR="00FD4775" w:rsidRDefault="00000000">
            <w:r>
              <w:t>Annualised volatility</w:t>
            </w:r>
          </w:p>
        </w:tc>
        <w:tc>
          <w:tcPr>
            <w:tcW w:w="3120" w:type="dxa"/>
          </w:tcPr>
          <w:p w14:paraId="0B1625F6" w14:textId="77777777" w:rsidR="00FD4775" w:rsidRDefault="00000000">
            <w:r>
              <w:t>4.3%</w:t>
            </w:r>
          </w:p>
        </w:tc>
        <w:tc>
          <w:tcPr>
            <w:tcW w:w="3120" w:type="dxa"/>
          </w:tcPr>
          <w:p w14:paraId="6BBAF8C6" w14:textId="77777777" w:rsidR="00FD4775" w:rsidRDefault="00000000">
            <w:r>
              <w:t>5.3%</w:t>
            </w:r>
          </w:p>
        </w:tc>
      </w:tr>
      <w:tr w:rsidR="00FD4775" w14:paraId="40E74442" w14:textId="77777777">
        <w:tc>
          <w:tcPr>
            <w:tcW w:w="3120" w:type="dxa"/>
          </w:tcPr>
          <w:p w14:paraId="74E56AC5" w14:textId="77777777" w:rsidR="00FD4775" w:rsidRDefault="00000000">
            <w:r>
              <w:t>Sharpe ratio</w:t>
            </w:r>
          </w:p>
        </w:tc>
        <w:tc>
          <w:tcPr>
            <w:tcW w:w="3120" w:type="dxa"/>
          </w:tcPr>
          <w:p w14:paraId="203DFC3B" w14:textId="77777777" w:rsidR="00FD4775" w:rsidRDefault="00000000">
            <w:r>
              <w:t>0.38</w:t>
            </w:r>
          </w:p>
        </w:tc>
        <w:tc>
          <w:tcPr>
            <w:tcW w:w="3120" w:type="dxa"/>
          </w:tcPr>
          <w:p w14:paraId="0502363C" w14:textId="77777777" w:rsidR="00FD4775" w:rsidRDefault="00000000">
            <w:r>
              <w:t>-0.20</w:t>
            </w:r>
          </w:p>
        </w:tc>
      </w:tr>
      <w:tr w:rsidR="00FD4775" w14:paraId="7B759C9B" w14:textId="77777777">
        <w:tc>
          <w:tcPr>
            <w:tcW w:w="3120" w:type="dxa"/>
          </w:tcPr>
          <w:p w14:paraId="0332751E" w14:textId="77777777" w:rsidR="00FD4775" w:rsidRDefault="00000000">
            <w:r>
              <w:t>t-statistic (mean weekly return)</w:t>
            </w:r>
          </w:p>
        </w:tc>
        <w:tc>
          <w:tcPr>
            <w:tcW w:w="3120" w:type="dxa"/>
          </w:tcPr>
          <w:p w14:paraId="41C3AAE8" w14:textId="77777777" w:rsidR="00FD4775" w:rsidRDefault="00000000">
            <w:r>
              <w:t>1.12</w:t>
            </w:r>
          </w:p>
        </w:tc>
        <w:tc>
          <w:tcPr>
            <w:tcW w:w="3120" w:type="dxa"/>
          </w:tcPr>
          <w:p w14:paraId="0A806A2B" w14:textId="77777777" w:rsidR="00FD4775" w:rsidRDefault="00000000">
            <w:r>
              <w:t>-0.48</w:t>
            </w:r>
          </w:p>
        </w:tc>
      </w:tr>
      <w:tr w:rsidR="00FD4775" w14:paraId="69470172" w14:textId="77777777">
        <w:tc>
          <w:tcPr>
            <w:tcW w:w="3120" w:type="dxa"/>
          </w:tcPr>
          <w:p w14:paraId="6A05CDDB" w14:textId="77777777" w:rsidR="00FD4775" w:rsidRDefault="00000000">
            <w:r>
              <w:t>Max drawdown</w:t>
            </w:r>
          </w:p>
        </w:tc>
        <w:tc>
          <w:tcPr>
            <w:tcW w:w="3120" w:type="dxa"/>
          </w:tcPr>
          <w:p w14:paraId="7BB74BCE" w14:textId="77777777" w:rsidR="00FD4775" w:rsidRDefault="00000000">
            <w:r>
              <w:t>-9.3%</w:t>
            </w:r>
          </w:p>
        </w:tc>
        <w:tc>
          <w:tcPr>
            <w:tcW w:w="3120" w:type="dxa"/>
          </w:tcPr>
          <w:p w14:paraId="41E42AB4" w14:textId="77777777" w:rsidR="00FD4775" w:rsidRDefault="00000000">
            <w:r>
              <w:t>-20.1%</w:t>
            </w:r>
          </w:p>
        </w:tc>
      </w:tr>
      <w:tr w:rsidR="00FD4775" w14:paraId="23E94774" w14:textId="77777777">
        <w:tc>
          <w:tcPr>
            <w:tcW w:w="3120" w:type="dxa"/>
          </w:tcPr>
          <w:p w14:paraId="640F6C3F" w14:textId="77777777" w:rsidR="00FD4775" w:rsidRDefault="00000000">
            <w:r>
              <w:t>Hit rate (weekly)</w:t>
            </w:r>
          </w:p>
        </w:tc>
        <w:tc>
          <w:tcPr>
            <w:tcW w:w="3120" w:type="dxa"/>
          </w:tcPr>
          <w:p w14:paraId="3EB89410" w14:textId="77777777" w:rsidR="00FD4775" w:rsidRDefault="00000000">
            <w:r>
              <w:t>37.7%</w:t>
            </w:r>
          </w:p>
        </w:tc>
        <w:tc>
          <w:tcPr>
            <w:tcW w:w="3120" w:type="dxa"/>
          </w:tcPr>
          <w:p w14:paraId="4A150839" w14:textId="77777777" w:rsidR="00FD4775" w:rsidRDefault="00000000">
            <w:r>
              <w:t>30.3%</w:t>
            </w:r>
          </w:p>
        </w:tc>
      </w:tr>
      <w:tr w:rsidR="00FD4775" w14:paraId="045EEBE8" w14:textId="77777777">
        <w:tc>
          <w:tcPr>
            <w:tcW w:w="3120" w:type="dxa"/>
          </w:tcPr>
          <w:p w14:paraId="4766F153" w14:textId="77777777" w:rsidR="00FD4775" w:rsidRDefault="00000000">
            <w:r>
              <w:t>Hit rate (weeks with a position open)</w:t>
            </w:r>
          </w:p>
        </w:tc>
        <w:tc>
          <w:tcPr>
            <w:tcW w:w="3120" w:type="dxa"/>
          </w:tcPr>
          <w:p w14:paraId="5344E23B" w14:textId="77777777" w:rsidR="00FD4775" w:rsidRDefault="00000000">
            <w:r>
              <w:t>57.2%</w:t>
            </w:r>
          </w:p>
        </w:tc>
        <w:tc>
          <w:tcPr>
            <w:tcW w:w="3120" w:type="dxa"/>
          </w:tcPr>
          <w:p w14:paraId="14A7CC8D" w14:textId="77777777" w:rsidR="00FD4775" w:rsidRDefault="00000000">
            <w:r>
              <w:t>51.9%</w:t>
            </w:r>
          </w:p>
        </w:tc>
      </w:tr>
      <w:tr w:rsidR="00FD4775" w14:paraId="7458FE37" w14:textId="77777777">
        <w:tc>
          <w:tcPr>
            <w:tcW w:w="3120" w:type="dxa"/>
          </w:tcPr>
          <w:p w14:paraId="488CDCFA" w14:textId="77777777" w:rsidR="00FD4775" w:rsidRDefault="00000000">
            <w:r>
              <w:lastRenderedPageBreak/>
              <w:t>Weeks with no position</w:t>
            </w:r>
          </w:p>
        </w:tc>
        <w:tc>
          <w:tcPr>
            <w:tcW w:w="3120" w:type="dxa"/>
          </w:tcPr>
          <w:p w14:paraId="5F06376A" w14:textId="77777777" w:rsidR="00FD4775" w:rsidRDefault="00000000">
            <w:r>
              <w:t>34.1%</w:t>
            </w:r>
          </w:p>
        </w:tc>
        <w:tc>
          <w:tcPr>
            <w:tcW w:w="3120" w:type="dxa"/>
          </w:tcPr>
          <w:p w14:paraId="0C88BA1F" w14:textId="77777777" w:rsidR="00FD4775" w:rsidRDefault="00000000">
            <w:r>
              <w:t>41.7%</w:t>
            </w:r>
          </w:p>
        </w:tc>
      </w:tr>
    </w:tbl>
    <w:p w14:paraId="151D84B6" w14:textId="77777777" w:rsidR="00FD4775" w:rsidRDefault="00000000">
      <w:r>
        <w:t>In-sample, $1 grew to $1.14 (Sharpe 0.38). Out-of-sample it fell to $0.92 (Sharpe −0.20), and the worst drawdown doubled to −20.1%. The low headline hit rates come from the many weeks with no position, which return exactly zero and count as misses. In weeks with at least one position open, the strategy was right 57% of the time in-sample and 52% out-of-sample, little better than a coin flip.</w:t>
      </w:r>
    </w:p>
    <w:p w14:paraId="2878EFD8" w14:textId="77777777" w:rsidR="00FD4775" w:rsidRDefault="00000000">
      <w:r>
        <w:t>The more important finding is that neither period gives statistically reliable evidence. The in-sample t-statistic is 1.12 (p ≈ 0.26) and the out-of-sample one −0.48, both well below 2, and the drop between the two periods is itself only about one standard error (t = 1.08). Weekly FX returns are noisy enough that even a true Sharpe of 0.38 would need about 28 years of data to reach t = 2. The honest summary is therefore not “a real in-sample edge that collapsed” but “no reliable evidence of predictability in either period”.</w:t>
      </w:r>
    </w:p>
    <w:p w14:paraId="4295EE03" w14:textId="77777777" w:rsidR="00FD4775" w:rsidRDefault="00000000">
      <w:r>
        <w:t>The grid points the same way. Only the three 40-day combinations made money in-sample; all six 10- and 20-day combinations lost money, even though shorter windows are closer to the pitch’s mechanism of news being priced in over a few days. Out-of-sample, all 9 combinations lost money, and the in-sample ranking barely carried over (the rank correlation between in-sample and out-of-sample Sharpe is 0.23). A real effect should show up across neighbouring settings, not in one corner of the grid.</w:t>
      </w:r>
    </w:p>
    <w:p w14:paraId="0CD8B9F1" w14:textId="77777777" w:rsidR="00FD4775" w:rsidRDefault="00000000">
      <w:r>
        <w:rPr>
          <w:b/>
        </w:rPr>
        <w:t xml:space="preserve">Where the P&amp;L came from: </w:t>
      </w:r>
      <w:r>
        <w:t>the result comes from one or two macro episodes rather than a steady weekly drift. In-sample, 57% of the profit was earned in a single year, July 2014 to June 2015, during the oil-price crash. Out-of-sample, 2020 (the COVID shock) returned +13.3%, while the other out-of-sample years combined lost 20.5%. All three currencies made money in-sample (CAD +5.0%, NOK +7.2%, AUD +1.4%) and all three lost out-of-sample (CAD −2.4%, NOK −3.8%, AUD −0.9%), so no single currency drives the result.</w:t>
      </w:r>
    </w:p>
    <w:p w14:paraId="716205A6" w14:textId="77777777" w:rsidR="00FD4775" w:rsidRDefault="00000000">
      <w:r>
        <w:rPr>
          <w:b/>
          <w:sz w:val="26"/>
        </w:rPr>
        <w:t>Benchmarks and falsification checks</w:t>
      </w:r>
    </w:p>
    <w:p w14:paraId="587FACDC" w14:textId="77777777" w:rsidR="00FD4775" w:rsidRDefault="00000000">
      <w:r>
        <w:rPr>
          <w:b/>
        </w:rPr>
        <w:t xml:space="preserve">Benchmarks: </w:t>
      </w:r>
      <w:r>
        <w:t xml:space="preserve">two benchmarks ask whether the commodity signal adds anything. Buy-and-hold (always long all three currencies at 1/3 each) asks whether the signal beats simply holding the currencies: out-of-sample it returned −4.9%, Sharpe −0.07. FX momentum (steps 1 to 6 with the same frozen </w:t>
      </w:r>
      <w:proofErr w:type="gramStart"/>
      <w:r>
        <w:t>settings, but</w:t>
      </w:r>
      <w:proofErr w:type="gramEnd"/>
      <w:r>
        <w:t xml:space="preserve"> signalled by each currency’s own past return instead of its commodity) asks whether any edge comes from commodities specifically or just from following trends in FX: it returned −9.8%, Sharpe −0.24. The strategy’s −0.20 sits between the two, worse than holding the currencies and barely better than plain FX momentum, so there is no sign that commodity information adds value. The comparison uses Sharpe rather than cumulative return or drawdown, because buy-and-hold is fully invested every week while the strategy has no position in 42% of out-of-sample </w:t>
      </w:r>
      <w:r>
        <w:lastRenderedPageBreak/>
        <w:t xml:space="preserve">weeks. All returns are spot returns without carry, which affects the always-long buy-and-hold more than the strategy (see Methodology </w:t>
      </w:r>
      <w:proofErr w:type="spellStart"/>
      <w:r>
        <w:t>Defense</w:t>
      </w:r>
      <w:proofErr w:type="spellEnd"/>
      <w:r>
        <w:t>).</w:t>
      </w:r>
    </w:p>
    <w:p w14:paraId="351761FE" w14:textId="77777777" w:rsidR="00FD4775" w:rsidRDefault="00000000">
      <w:r>
        <w:rPr>
          <w:b/>
        </w:rPr>
        <w:t xml:space="preserve">Transaction costs (falsification criterion 2): </w:t>
      </w:r>
      <w:r>
        <w:t>out-of-sample Sharpe is −0.14 with no costs at all, −0.17 at half the base-</w:t>
      </w:r>
      <w:proofErr w:type="spellStart"/>
      <w:r>
        <w:t>case</w:t>
      </w:r>
      <w:proofErr w:type="spellEnd"/>
      <w:r>
        <w:t xml:space="preserve"> costs, −0.20 at the base case and −0.31 at three times the base case. The strategy loses money even when trading is free, so costs are not why it fails: out-of-sample there was no profit for costs to remove.</w:t>
      </w:r>
    </w:p>
    <w:p w14:paraId="5D172098" w14:textId="77777777" w:rsidR="00FD4775" w:rsidRDefault="00000000">
      <w:r>
        <w:rPr>
          <w:b/>
        </w:rPr>
        <w:t xml:space="preserve">Dollar cycle (falsification criterion 3): </w:t>
      </w:r>
      <w:r>
        <w:t xml:space="preserve">commodity rallies often coincide with a weak US dollar, so the signal might only be picking up the dollar cycle. To test this, each commodity return had its dollar component removed: the part explained by the UUP dollar index, using a sensitivity (beta) estimated over the previous 252 days. The whole </w:t>
      </w:r>
      <w:proofErr w:type="spellStart"/>
      <w:r>
        <w:t>backtest</w:t>
      </w:r>
      <w:proofErr w:type="spellEnd"/>
      <w:r>
        <w:t xml:space="preserve"> was then re-run on these dollar-adjusted returns. Over the 785 weeks where both versions exist, in-sample Sharpe is 0.38 for the adjusted signal against 0.46 for the raw one on the same weeks, and out-of-sample −0.27 against −0.20, with 0 of 9 combinations positive. Because the in-sample result was not significant to begin with, this cannot tell whether that result was a dollar effect; what it does show is that removing the dollar does not rescue the strategy.</w:t>
      </w:r>
    </w:p>
    <w:p w14:paraId="5B4A4075" w14:textId="77777777" w:rsidR="00FD4775" w:rsidRDefault="00000000">
      <w:r>
        <w:rPr>
          <w:b/>
        </w:rPr>
        <w:t xml:space="preserve">Verdict against the falsification criteria: </w:t>
      </w:r>
      <w:r>
        <w:t>criterion 1 is met, because lagged commodity moves do not predict next-week FX returns out-of-sample. Criterion 2 does not come into play out-of-sample, because there were no profits before costs for costs to remove. Criterion 3 is inconclusive. Taken together, the hypothesis is not supported at a tradeable level over 2019–2026.</w:t>
      </w:r>
    </w:p>
    <w:p w14:paraId="4A97AF28" w14:textId="77777777" w:rsidR="00FD4775" w:rsidRDefault="00000000">
      <w:pPr>
        <w:rPr>
          <w:b/>
          <w:bCs/>
          <w:color w:val="000000" w:themeColor="text1"/>
          <w:sz w:val="36"/>
          <w:szCs w:val="36"/>
        </w:rPr>
      </w:pPr>
      <w:r>
        <w:rPr>
          <w:b/>
          <w:bCs/>
          <w:color w:val="000000" w:themeColor="text1"/>
          <w:sz w:val="36"/>
          <w:szCs w:val="36"/>
        </w:rPr>
        <w:t xml:space="preserve">4. Methodology </w:t>
      </w:r>
      <w:proofErr w:type="spellStart"/>
      <w:r>
        <w:rPr>
          <w:b/>
          <w:bCs/>
          <w:color w:val="000000" w:themeColor="text1"/>
          <w:sz w:val="36"/>
          <w:szCs w:val="36"/>
        </w:rPr>
        <w:t>Defense</w:t>
      </w:r>
      <w:proofErr w:type="spellEnd"/>
    </w:p>
    <w:p w14:paraId="38276587" w14:textId="77777777" w:rsidR="00FD4775" w:rsidRDefault="00000000">
      <w:r>
        <w:rPr>
          <w:b/>
          <w:sz w:val="26"/>
        </w:rPr>
        <w:t>Universe</w:t>
      </w:r>
    </w:p>
    <w:p w14:paraId="5A6EB745" w14:textId="77777777" w:rsidR="00FD4775" w:rsidRDefault="00000000">
      <w:r>
        <w:t xml:space="preserve">CAD, NOK and AUD are liquid G10 currencies, each with a well-known single-commodity export link and clean price history from 2010. Copper is an imperfect proxy for Australia, whose largest export is iron ore, but iron ore has no liquid futures history on </w:t>
      </w:r>
      <w:proofErr w:type="spellStart"/>
      <w:r>
        <w:t>yfinance</w:t>
      </w:r>
      <w:proofErr w:type="spellEnd"/>
      <w:r>
        <w:t>. Alternative considered: a wider set of exporters (NZD, ZAR, BRL, CLP), rejected because it brings in thinner liquidity and messier data, while three currencies are already enough to check that no single one drives the result.</w:t>
      </w:r>
    </w:p>
    <w:p w14:paraId="6479B9FD" w14:textId="77777777" w:rsidR="00FD4775" w:rsidRDefault="00000000">
      <w:r>
        <w:rPr>
          <w:b/>
          <w:sz w:val="26"/>
        </w:rPr>
        <w:t>Train/Test Split</w:t>
      </w:r>
    </w:p>
    <w:p w14:paraId="2CE11CA4" w14:textId="77777777" w:rsidR="00FD4775" w:rsidRDefault="00000000">
      <w:r>
        <w:t xml:space="preserve">Parameters were tuned only </w:t>
      </w:r>
      <w:proofErr w:type="gramStart"/>
      <w:r>
        <w:t>on</w:t>
      </w:r>
      <w:proofErr w:type="gramEnd"/>
      <w:r>
        <w:t xml:space="preserve"> 2011–2018 and evaluated once </w:t>
      </w:r>
      <w:proofErr w:type="gramStart"/>
      <w:r>
        <w:t>on</w:t>
      </w:r>
      <w:proofErr w:type="gramEnd"/>
      <w:r>
        <w:t xml:space="preserve"> 2019–2026, two roughly equal halves. The test period was not chosen for its events, but it contains the COVID shock and the </w:t>
      </w:r>
      <w:proofErr w:type="gramStart"/>
      <w:r>
        <w:t>2022 dollar</w:t>
      </w:r>
      <w:proofErr w:type="gramEnd"/>
      <w:r>
        <w:t xml:space="preserve"> surge, which makes it a demanding test. Alternative considered: </w:t>
      </w:r>
      <w:r>
        <w:lastRenderedPageBreak/>
        <w:t>walk-forward validation, which gives more out-of-sample data but re-runs the selection at every refit, making the number of variations tried harder to report honestly. Rejected in favour of one declared, single-use test.</w:t>
      </w:r>
    </w:p>
    <w:p w14:paraId="53149179" w14:textId="77777777" w:rsidR="00FD4775" w:rsidRDefault="00000000">
      <w:r>
        <w:rPr>
          <w:b/>
          <w:sz w:val="26"/>
        </w:rPr>
        <w:t>Transaction Cost Assumptions</w:t>
      </w:r>
    </w:p>
    <w:p w14:paraId="571DBD40" w14:textId="77777777" w:rsidR="00FD4775" w:rsidRDefault="00000000">
      <w:r>
        <w:t>The base case charges 2bps per position change for CAD and AUD and 5bps for NOK, since USD/CAD and AUD/USD are among the most liquid pairs traded while USD/NOK is visibly thinner. Alternative considered: one uniform cost, rejected because it would understate NOK’s cost. The conclusion holds from zero cost to three times the base case.</w:t>
      </w:r>
    </w:p>
    <w:p w14:paraId="2AF2287A" w14:textId="77777777" w:rsidR="00FD4775" w:rsidRDefault="00000000">
      <w:r>
        <w:t xml:space="preserve">Why spot returns, without carry: the </w:t>
      </w:r>
      <w:proofErr w:type="spellStart"/>
      <w:r>
        <w:t>backtest</w:t>
      </w:r>
      <w:proofErr w:type="spellEnd"/>
      <w:r>
        <w:t xml:space="preserve"> earns changes in the spot rate only, while a real FX position also earns or pays the interest-rate difference between the two currencies. Alternative considered: adding carry from short-term interest rates, rejected because it needs a second data source with its own alignment issues and matters little here: the strategy is long and short about equally often, so carry largely nets out. It matters more for the always-long buy-and-hold benchmark, which it would most likely make look worse.</w:t>
      </w:r>
    </w:p>
    <w:p w14:paraId="27079D33" w14:textId="77777777" w:rsidR="00FD4775" w:rsidRDefault="00000000">
      <w:r>
        <w:rPr>
          <w:b/>
          <w:sz w:val="26"/>
        </w:rPr>
        <w:t>Signal Construction Reasoning</w:t>
      </w:r>
    </w:p>
    <w:p w14:paraId="6A266EF0" w14:textId="77777777" w:rsidR="00FD4775" w:rsidRDefault="00000000">
      <w:r>
        <w:t>Standardising each commodity’s trailing return against its own 252-day history defines a “large” move relative to that commodity’s volatility, so oil and copper are judged on the same scale. Alternative considered: ranking the three currencies and going long the top and short the bottom. Rejected because with three assets that becomes a relative-value bet between two currencies, which is not what the hypothesis claims: that each currency underreacts to its own commodity.</w:t>
      </w:r>
    </w:p>
    <w:p w14:paraId="5F7ADCFB" w14:textId="77777777" w:rsidR="00FD4775" w:rsidRDefault="00000000">
      <w:r>
        <w:t>Why a one-week holding period: the hypothesis commits to “the following week”, so the horizon was fixed rather than searched; searching it and keeping the best would itself be data-snooping. A different horizon might have looked better, and that is the price of the result meaning anything.</w:t>
      </w:r>
    </w:p>
    <w:p w14:paraId="077C6353" w14:textId="77777777" w:rsidR="00FD4775" w:rsidRDefault="00000000">
      <w:r>
        <w:t>Why this position sizing: a fixed 1/3 weight per currency when a position is active, with no renormalisation and no leverage. Alternative considered: inverse-volatility scaling, rejected as an extra moving part needing its own justification, in a three-asset strategy whose risk is driven more by correlated signals than by sizing.</w:t>
      </w:r>
    </w:p>
    <w:p w14:paraId="49FB2E55" w14:textId="77777777" w:rsidR="00FD4775" w:rsidRDefault="00000000">
      <w:r>
        <w:t xml:space="preserve">What would break if a key assumption were wrong: the pipeline assumes that rows with the same date describe the same moment, so a one-row shift is a genuine one-day lag. This does not quite </w:t>
      </w:r>
      <w:proofErr w:type="gramStart"/>
      <w:r>
        <w:t>hold:</w:t>
      </w:r>
      <w:proofErr w:type="gramEnd"/>
      <w:r>
        <w:t xml:space="preserve"> from late 2010, Yahoo’s FX row dated t reflects roughly the US session of t−1. The weekly design survives it, because the Friday signal uses commodity data only through Thursday and the FX row that lines up with Thursday is never traded. Adding one or </w:t>
      </w:r>
      <w:r>
        <w:lastRenderedPageBreak/>
        <w:t>two further days of lag leaves the conclusion unchanged (out-of-sample Sharpe −0.27 and −0.11).</w:t>
      </w:r>
    </w:p>
    <w:p w14:paraId="442D6226" w14:textId="77777777" w:rsidR="00FD4775" w:rsidRDefault="00000000">
      <w:pPr>
        <w:rPr>
          <w:b/>
          <w:bCs/>
          <w:color w:val="000000" w:themeColor="text1"/>
          <w:sz w:val="36"/>
          <w:szCs w:val="36"/>
        </w:rPr>
      </w:pPr>
      <w:r>
        <w:rPr>
          <w:b/>
          <w:bCs/>
          <w:color w:val="000000" w:themeColor="text1"/>
          <w:sz w:val="36"/>
          <w:szCs w:val="36"/>
        </w:rPr>
        <w:t>5. Pitfall Checklist</w:t>
      </w:r>
    </w:p>
    <w:p w14:paraId="1C1B1B88" w14:textId="77777777" w:rsidR="00FD4775" w:rsidRDefault="00000000">
      <w:r>
        <w:rPr>
          <w:b/>
          <w:sz w:val="26"/>
        </w:rPr>
        <w:t>Look-ahead bias</w:t>
      </w:r>
    </w:p>
    <w:p w14:paraId="56FBEE12" w14:textId="5CC52C0C" w:rsidR="00FD4775" w:rsidRDefault="00000000">
      <w:r>
        <w:t xml:space="preserve">How checked: every predictor is deliberately shifted by one day relative to the return it targets, and that lag is implemented in exactly one place — </w:t>
      </w:r>
      <w:proofErr w:type="spellStart"/>
      <w:r>
        <w:t>trailing_return</w:t>
      </w:r>
      <w:proofErr w:type="spellEnd"/>
      <w:proofErr w:type="gramStart"/>
      <w:r>
        <w:t>(...).shift</w:t>
      </w:r>
      <w:proofErr w:type="gramEnd"/>
      <w:r>
        <w:t xml:space="preserve">(1), defined in the notebook's Data Cleaning and Alignment section and used by every downstream consumer, with a second one-week shift applied when the daily signal is collapsed to a weekly decision in the Signal Construction section. It was verified in the notebook's Pitfall Checks section with a corruption test rather than by inspection: every commodity-return observation strictly after a chosen mid-sample decision date is overwritten with a nonsense value, and the signal computed as of that date is confirmed unchanged to six decimal places. This is a property test — it would fail for any off-by-one anywhere in the chain from the rolling window through the z-score standardisation, regardless of how the lag is written, which is why it replaced the pair of weaker inspection-style checks used in an earlier version. What was found: it passed; no look-ahead leakage detected. Because that test cannot check the vendor’s timestamps, the alignment was also measured directly: Yahoo’s FX data is dated about one day late from late 2010, which the weekly design absorbs (see Methodology </w:t>
      </w:r>
      <w:proofErr w:type="spellStart"/>
      <w:r>
        <w:t>Defense</w:t>
      </w:r>
      <w:proofErr w:type="spellEnd"/>
      <w:r>
        <w:t>, “What would break”).</w:t>
      </w:r>
    </w:p>
    <w:p w14:paraId="19E91530" w14:textId="77777777" w:rsidR="00FD4775" w:rsidRDefault="00000000">
      <w:r>
        <w:rPr>
          <w:b/>
          <w:sz w:val="26"/>
        </w:rPr>
        <w:t>Survivorship bias</w:t>
      </w:r>
    </w:p>
    <w:p w14:paraId="1DDE9474" w14:textId="77777777" w:rsidR="00FD4775" w:rsidRDefault="00000000">
      <w:r>
        <w:t>Not applicable, argued rather than asserted: survivorship bias comes from a hindsight-selected list of assets that leaves out those that disappeared during the sample, such as delisted or bankrupt stocks. This universe is three currencies that existed throughout 2010–2026 (none was created, abolished or redenominated) and three continuous commodity futures series, which never stop trading, so nothing could have dropped out of the sample and there are no missing “dead” assets whose inclusion would change the results. The continuity of the futures series themselves (contract rolls) is a data-quality issue, addressed under Futures rolls in the Data Pipeline section.</w:t>
      </w:r>
    </w:p>
    <w:p w14:paraId="7EF1DA96" w14:textId="77777777" w:rsidR="00FD4775" w:rsidRDefault="00000000">
      <w:r>
        <w:rPr>
          <w:b/>
          <w:sz w:val="26"/>
        </w:rPr>
        <w:t>Overfitting/data-snooping</w:t>
      </w:r>
    </w:p>
    <w:p w14:paraId="1F5BB264" w14:textId="77777777" w:rsidR="00FD4775" w:rsidRDefault="00000000">
      <w:r>
        <w:t>9 (lookback × threshold) combinations were tried in total — every one reported in the notebook's Pitfall Checks section, not just the winner — and all 9 were ranked purely on in-sample, net-of-cost Sharpe ratio, with the winning configuration (40-day lookback, 1.0 z-score threshold) frozen before its out-of-sample result was ever consulted. The grid is executed once and its results stored, so the in-sample selection table and the out-of-</w:t>
      </w:r>
      <w:r>
        <w:lastRenderedPageBreak/>
        <w:t>sample diagnostic table are two views of the same computation rather than two separate runs that could drift apart. What was found, and it matters: 0 of 9 combinations have a positive out-of-sample Sharpe ratio, and the rank correlation between in-sample and out-of-sample Sharpe across the grid is just 0.23 — in-sample ranking carries almost no information about out-of-sample ranking. That is informative in the analysis's favour on this specific question: the null result is not an artefact of one unlucky configuration among several good ones — the entire neighbourhood of reasonable parameter choices fails out-of-sample together, which is more consistent with there being no genuine exploitable signal than with a fragile, overfit lucky pick. The grid also says something about the in-sample result itself: only the three 40-day configurations were profitable in-sample, and all six 10- and 20-day configurations lost money, so the relationship was already unstable across reasonable parameter choices before the out-of-sample period was consulted.</w:t>
      </w:r>
    </w:p>
    <w:p w14:paraId="1BD77096" w14:textId="77777777" w:rsidR="00FD4775" w:rsidRDefault="00000000">
      <w:r>
        <w:rPr>
          <w:b/>
          <w:sz w:val="26"/>
        </w:rPr>
        <w:t>Transaction costs and slippage</w:t>
      </w:r>
    </w:p>
    <w:p w14:paraId="3306DE32" w14:textId="77777777" w:rsidR="00FD4775" w:rsidRDefault="00000000">
      <w:r>
        <w:t>Base-case one-way cost assumptions were 2bps (CAD, AUD) and 5bps (NOK) per position change, reflecting AUD/USD and USD/CAD’s status as some of the most liquid FX pairs traded globally, against USD/NOK’s comparative thinness. The notebook's Benchmarks and Transaction Cost Sensitivity section evaluated the frozen strategy out-of-sample at zero cost, half the base case, the base case, and three times the base case: Sharpe is -0.14 gross (no costs at all), -0.17 at half cost, -0.20 at the base case, and -0.31 at three times the base case. What was found: costs make the result meaningfully worse, but they are not the reason the strategy fails — it is already unprofitable out-of-sample before any transaction cost is applied at all, which is a more damaging finding for the hypothesis than “it worked but costs ate the edge.”</w:t>
      </w:r>
    </w:p>
    <w:p w14:paraId="2986E461" w14:textId="77777777" w:rsidR="00FD4775" w:rsidRDefault="00000000">
      <w:r>
        <w:rPr>
          <w:b/>
          <w:sz w:val="26"/>
        </w:rPr>
        <w:t>Out-of-sample validation</w:t>
      </w:r>
    </w:p>
    <w:p w14:paraId="36F42A44" w14:textId="77777777" w:rsidR="00FD4775" w:rsidRDefault="00000000">
      <w:r>
        <w:t>In-sample period: from the first tradeable week (11 March 2011, after the signal’s warm-up) to 2018-12-31 (408 weeks), used only for the 9-point grid search. Out-of-sample period: 2019-01-01 to 2026-09-14 (403 weeks), evaluated once with no re-tuning. In-sample Sharpe was 0.38; out-of-sample Sharpe was -0.20, a change of -0.58. That looks like a collapse, but neither figure is statistically distinguishable from zero (t-statistics 1.12 and -0.48), and the difference between them is itself only about one standard error. The right reading is therefore not that a real in-sample edge disappeared, but that the in-sample result was never strong evidence and the out-of-sample period shows no predictability at all. Per the project’s own falsification criteria (“lagged commodity moves don’t predict next-week FX returns out-of-sample” was explicitly listed as a reason to abandon the hypothesis), this result argues against the hypothesis holding at a tradeable level over 2019-2026.</w:t>
      </w:r>
    </w:p>
    <w:p w14:paraId="5006420D" w14:textId="77777777" w:rsidR="00FD4775" w:rsidRDefault="00000000">
      <w:pPr>
        <w:rPr>
          <w:b/>
          <w:bCs/>
          <w:color w:val="000000" w:themeColor="text1"/>
          <w:sz w:val="36"/>
          <w:szCs w:val="36"/>
        </w:rPr>
      </w:pPr>
      <w:r>
        <w:rPr>
          <w:b/>
          <w:bCs/>
          <w:color w:val="000000" w:themeColor="text1"/>
          <w:sz w:val="36"/>
          <w:szCs w:val="36"/>
        </w:rPr>
        <w:lastRenderedPageBreak/>
        <w:t>6. Efficiency Touchpoint</w:t>
      </w:r>
    </w:p>
    <w:p w14:paraId="1B20D447" w14:textId="77777777" w:rsidR="00FD4775" w:rsidRDefault="00000000">
      <w:r>
        <w:t xml:space="preserve">The most computationally expensive step is the parameter grid search: G = 9 (lookback × threshold) combinations, each recomputing the signal and weekly </w:t>
      </w:r>
      <w:proofErr w:type="spellStart"/>
      <w:r>
        <w:t>backtest</w:t>
      </w:r>
      <w:proofErr w:type="spellEnd"/>
      <w:r>
        <w:t xml:space="preserve"> for C = 3 currencies over n ≈ 4,200 daily observations, which is </w:t>
      </w:r>
      <w:proofErr w:type="gramStart"/>
      <w:r>
        <w:t>O(</w:t>
      </w:r>
      <w:proofErr w:type="gramEnd"/>
      <w:r>
        <w:t xml:space="preserve">G × C × n). Every other step is O(n) per series, because </w:t>
      </w:r>
      <w:proofErr w:type="gramStart"/>
      <w:r>
        <w:t>pandas</w:t>
      </w:r>
      <w:proofErr w:type="gramEnd"/>
      <w:r>
        <w:t xml:space="preserve"> updates rolling windows incrementally, and data loading is cached file I/O. The grid takes about 0.16 seconds (the exact figure varies slightly between runs), which is acceptable at this scale. It runs once and stores its results, which both the in-sample selection and the out-of-sample overfitting table read; the cost-sensitivity and robustness checks are separate passes of similar cost on different inputs. Even walk-forward validation, </w:t>
      </w:r>
      <w:proofErr w:type="gramStart"/>
      <w:r>
        <w:t>O(</w:t>
      </w:r>
      <w:proofErr w:type="gramEnd"/>
      <w:r>
        <w:t>G × C × n × R) for R refits, would take only about a second.</w:t>
      </w:r>
    </w:p>
    <w:p w14:paraId="557C5C51" w14:textId="77777777" w:rsidR="00FD4775" w:rsidRDefault="00000000">
      <w:pPr>
        <w:rPr>
          <w:b/>
          <w:bCs/>
          <w:color w:val="000000" w:themeColor="text1"/>
          <w:sz w:val="36"/>
          <w:szCs w:val="36"/>
        </w:rPr>
      </w:pPr>
      <w:r>
        <w:rPr>
          <w:b/>
          <w:bCs/>
          <w:color w:val="000000" w:themeColor="text1"/>
          <w:sz w:val="36"/>
          <w:szCs w:val="36"/>
        </w:rPr>
        <w:t>7. Risk Touchpoint</w:t>
      </w:r>
    </w:p>
    <w:p w14:paraId="1EEE75EE" w14:textId="77777777" w:rsidR="00FD4775" w:rsidRDefault="00000000">
      <w:r>
        <w:t>Leverage is capped at 1x: each currency is a fixed 1/3 weight when active. Diversification is weaker than three currencies suggest: CAD and NOK positions are 0.82 correlated because both are oil bets, and in about a third of weeks two or more positions point the same way, so a broad dollar shock in such a week would hit them all at once. The worst out-of-sample drawdown (−20.1%, August 2021 to April 2026) was not that scenario: the strategy was long and short about equally often and lost money on both, so the signal was wrong rather than exposed to the dollar. Operationally, one bad print (WTI’s negative price) silently took CAD out of the strategy for 59 weeks.</w:t>
      </w:r>
    </w:p>
    <w:p w14:paraId="3D2EF185" w14:textId="77777777" w:rsidR="00FD4775" w:rsidRDefault="00000000">
      <w:pPr>
        <w:rPr>
          <w:b/>
          <w:bCs/>
          <w:color w:val="000000" w:themeColor="text1"/>
          <w:sz w:val="36"/>
          <w:szCs w:val="36"/>
        </w:rPr>
      </w:pPr>
      <w:r>
        <w:rPr>
          <w:b/>
          <w:bCs/>
          <w:color w:val="000000" w:themeColor="text1"/>
          <w:sz w:val="36"/>
          <w:szCs w:val="36"/>
        </w:rPr>
        <w:t>8. Reflection</w:t>
      </w:r>
    </w:p>
    <w:sectPr w:rsidR="00FD4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6C4E1F"/>
    <w:multiLevelType w:val="hybridMultilevel"/>
    <w:tmpl w:val="83829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6699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B4"/>
    <w:rsid w:val="001A1F90"/>
    <w:rsid w:val="003674BC"/>
    <w:rsid w:val="003A4650"/>
    <w:rsid w:val="00423539"/>
    <w:rsid w:val="00436DDB"/>
    <w:rsid w:val="004E79AB"/>
    <w:rsid w:val="005C60B4"/>
    <w:rsid w:val="00695322"/>
    <w:rsid w:val="00704934"/>
    <w:rsid w:val="0072402D"/>
    <w:rsid w:val="00A2568D"/>
    <w:rsid w:val="00A818F0"/>
    <w:rsid w:val="00B513CE"/>
    <w:rsid w:val="00C03CC6"/>
    <w:rsid w:val="00C75684"/>
    <w:rsid w:val="00CA37DF"/>
    <w:rsid w:val="00CB1B77"/>
    <w:rsid w:val="00DF4C69"/>
    <w:rsid w:val="00E40EDB"/>
    <w:rsid w:val="00F23A29"/>
    <w:rsid w:val="00F52FDB"/>
    <w:rsid w:val="00F863C7"/>
    <w:rsid w:val="00FD47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953F3FE"/>
  <w15:chartTrackingRefBased/>
  <w15:docId w15:val="{8C3ED54C-0D97-CB4A-9279-6F9C2583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C6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0B4"/>
    <w:rPr>
      <w:rFonts w:eastAsiaTheme="majorEastAsia" w:cstheme="majorBidi"/>
      <w:color w:val="272727" w:themeColor="text1" w:themeTint="D8"/>
    </w:rPr>
  </w:style>
  <w:style w:type="paragraph" w:styleId="Title">
    <w:name w:val="Title"/>
    <w:basedOn w:val="Normal"/>
    <w:next w:val="Normal"/>
    <w:link w:val="TitleChar"/>
    <w:uiPriority w:val="10"/>
    <w:qFormat/>
    <w:rsid w:val="005C6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0B4"/>
    <w:pPr>
      <w:spacing w:before="160"/>
      <w:jc w:val="center"/>
    </w:pPr>
    <w:rPr>
      <w:i/>
      <w:iCs/>
      <w:color w:val="404040" w:themeColor="text1" w:themeTint="BF"/>
    </w:rPr>
  </w:style>
  <w:style w:type="character" w:customStyle="1" w:styleId="QuoteChar">
    <w:name w:val="Quote Char"/>
    <w:basedOn w:val="DefaultParagraphFont"/>
    <w:link w:val="Quote"/>
    <w:uiPriority w:val="29"/>
    <w:rsid w:val="005C60B4"/>
    <w:rPr>
      <w:i/>
      <w:iCs/>
      <w:color w:val="404040" w:themeColor="text1" w:themeTint="BF"/>
    </w:rPr>
  </w:style>
  <w:style w:type="paragraph" w:styleId="ListParagraph">
    <w:name w:val="List Paragraph"/>
    <w:basedOn w:val="Normal"/>
    <w:uiPriority w:val="34"/>
    <w:qFormat/>
    <w:rsid w:val="005C60B4"/>
    <w:pPr>
      <w:ind w:left="720"/>
      <w:contextualSpacing/>
    </w:pPr>
  </w:style>
  <w:style w:type="character" w:styleId="IntenseEmphasis">
    <w:name w:val="Intense Emphasis"/>
    <w:basedOn w:val="DefaultParagraphFont"/>
    <w:uiPriority w:val="21"/>
    <w:qFormat/>
    <w:rsid w:val="005C60B4"/>
    <w:rPr>
      <w:i/>
      <w:iCs/>
      <w:color w:val="0F4761" w:themeColor="accent1" w:themeShade="BF"/>
    </w:rPr>
  </w:style>
  <w:style w:type="paragraph" w:styleId="IntenseQuote">
    <w:name w:val="Intense Quote"/>
    <w:basedOn w:val="Normal"/>
    <w:next w:val="Normal"/>
    <w:link w:val="IntenseQuoteChar"/>
    <w:uiPriority w:val="30"/>
    <w:qFormat/>
    <w:rsid w:val="005C6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0B4"/>
    <w:rPr>
      <w:i/>
      <w:iCs/>
      <w:color w:val="0F4761" w:themeColor="accent1" w:themeShade="BF"/>
    </w:rPr>
  </w:style>
  <w:style w:type="character" w:styleId="IntenseReference">
    <w:name w:val="Intense Reference"/>
    <w:basedOn w:val="DefaultParagraphFont"/>
    <w:uiPriority w:val="32"/>
    <w:qFormat/>
    <w:rsid w:val="005C60B4"/>
    <w:rPr>
      <w:b/>
      <w:bCs/>
      <w:smallCaps/>
      <w:color w:val="0F4761" w:themeColor="accent1" w:themeShade="BF"/>
      <w:spacing w:val="5"/>
    </w:rPr>
  </w:style>
  <w:style w:type="character" w:styleId="PlaceholderText">
    <w:name w:val="Placeholder Text"/>
    <w:basedOn w:val="DefaultParagraphFont"/>
    <w:uiPriority w:val="99"/>
    <w:semiHidden/>
    <w:rsid w:val="004E79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3907</Words>
  <Characters>22274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Pierson L</dc:creator>
  <cp:keywords/>
  <dc:description/>
  <cp:lastModifiedBy>Chu, Pierson L</cp:lastModifiedBy>
  <cp:revision>8</cp:revision>
  <dcterms:created xsi:type="dcterms:W3CDTF">2026-09-01T09:47:00Z</dcterms:created>
  <dcterms:modified xsi:type="dcterms:W3CDTF">2026-10-06T14:47:00Z</dcterms:modified>
</cp:coreProperties>
</file>