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761" w:rsidRPr="009E669E" w:rsidRDefault="00530AB9" w:rsidP="00A3695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t>CHAPTER I</w:t>
      </w:r>
    </w:p>
    <w:p w:rsidR="00616761" w:rsidRPr="009E669E" w:rsidRDefault="00530AB9" w:rsidP="00A3695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t>Introduction</w:t>
      </w:r>
    </w:p>
    <w:p w:rsidR="00616761" w:rsidRPr="009E669E" w:rsidRDefault="00616761" w:rsidP="00A3695E">
      <w:pPr>
        <w:pStyle w:val="BodyText"/>
        <w:spacing w:line="360" w:lineRule="auto"/>
        <w:jc w:val="both"/>
        <w:rPr>
          <w:rFonts w:ascii="Times New Roman" w:hAnsi="Times New Roman" w:cs="Times New Roman"/>
        </w:rPr>
      </w:pP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0" w:name="background"/>
      <w:r w:rsidRPr="009E669E">
        <w:rPr>
          <w:rFonts w:ascii="Times New Roman" w:hAnsi="Times New Roman" w:cs="Times New Roman"/>
          <w:b/>
          <w:color w:val="auto"/>
          <w:sz w:val="24"/>
        </w:rPr>
        <w:t>1.1 Background</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Breast cancer represents a profoundly complex and heterogeneous malignancy that constitutes a major public health crisis globally. Its multifaceted etiology, unpredictable clinical trajectory, and progressive dynamic nature necessitate the development of advanced analytical frameworks to decipher its underlying mechanisms. As a leading cause of oncological mortality among women worldwide, breast carcinoma exhibits an extensive spectrum of morphological, clinical, and molecular variations. This profound heterogeneity significantly complicates therapeutic interventions, prognostic evaluations, and the development of universally effective treatment paradigms [27].</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Historically, the clinical management of breast cancer relied predominantly on single-modality pathological assessments, classical histological grading, and limited biomarker profiling (such as estrogen receptor, progesterone receptor, and HER2 status). While these traditional methodologies provided a foundational understanding of the disease, they inherently hindered the realization of truly personalized oncological care. This historical limitation has catalyzed a necessary paradigm shift towards comprehensive, multidimensional molecular characterization. The advent of high-throughput sequencing technologies, coupled with sophisticated bioinformatics, has driven a profound transformation in oncological research. These technological leaps facilitate the exhaustive profiling of tumors across multiple biological scales and dimensions, moving the field from a reductionist view to a systems-biology perspective.</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extensive molecular heterogeneity inherent in breast cancer demands a rigorous, multidimensional approach to tumor subtyping. It is increasingly evident that classical stratifications must evolve into integrated omics analyses. The pioneering and monumental work of the The Cancer Genome Atlas (TCGA) network has fundamentally reshaped the scientific community’s understanding of breast cancer biology. The TCGA initiative illuminated the </w:t>
      </w:r>
      <w:r w:rsidRPr="009E669E">
        <w:rPr>
          <w:rFonts w:ascii="Times New Roman" w:hAnsi="Times New Roman" w:cs="Times New Roman"/>
        </w:rPr>
        <w:lastRenderedPageBreak/>
        <w:t>profound genomic, transcriptomic, epigenomic, and proteomic alterations that collaboratively drive tumorigenesis, govern metastatic dissemination, and dictate therapeutic resistance [27].</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By systematically cataloging these molecular aberrations across thousands of patient samples, the TCGA initiative provided the empirical foundation required for reclassifying breast tumors into distinct intrinsic subtypes based on comprehensive molecular portraits. This reclassification has been the cornerstone of advancing precision oncology [9]. Furthermore, seminal investigations into gene expression patterns have conclusively demonstrated that breast cancer is not a singular disease entity. Rather, it is a constellation of distinct molecular subclasses, each characterized by: * Unique transcriptional signatures * Divergent clinical trajectories * Highly variable responses to targeted therapies and systemic treatments [30].</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This evolving understanding highlights the absolute inadequacy of relying exclusively on isolated clinical parameters or singular molecular markers for diagnosis and treatment planning. It underscores the imperative for sophisticated computational methodologies capable of integrating diverse, high-dimensional datasets. The convergence of computational biology, advanced machine learning algorithms, and multi-omics data integration offers unparalleled opportunities to unravel the intricate biological networks governing tumor behavior. Ultimately, this integration facilitates the discovery of robust prognostic signatures and the identification of novel therapeutic targets that would remain obscured in single-modality analyses.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Consequently, the contemporary oncology landscape is increasingly characterized by a transition from reductionist investigative models to holistic, systems-level paradigms. These modern paradigms attempt to capture the dynamic, non-linear interplay of varied molecular factors driving oncogenesis and tumor progression. The integration of advanced data-driven modeling techniques into the clinical decision-making process holds immense potential to refine risk stratification, optimize complex treatment regimens, and significantly improve overall patient survival rates in the face of this formidable disease. However, the systematic interrogation of these complex biological datasets requires innovative computational frameworks that can successfully navigate the profound dimensionality and inherent statistical noise characteristic of high-throughput omics platforms. Thus, the present research endeavors to leverage the expansive potential of machine learning and multi-omics integration to address critical diagnostic and prognostic challenges in breast cancer oncology, with a specific focus on distinguishing </w:t>
      </w:r>
      <w:r w:rsidRPr="009E669E">
        <w:rPr>
          <w:rFonts w:ascii="Times New Roman" w:hAnsi="Times New Roman" w:cs="Times New Roman"/>
        </w:rPr>
        <w:lastRenderedPageBreak/>
        <w:t>challenging histological subtypes through robust, explainable, and interpretable analytical pipelines.</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 w:name="idc-and-ilc-histological-subtypes"/>
      <w:bookmarkEnd w:id="0"/>
      <w:r w:rsidRPr="009E669E">
        <w:rPr>
          <w:rFonts w:ascii="Times New Roman" w:hAnsi="Times New Roman" w:cs="Times New Roman"/>
          <w:b/>
          <w:color w:val="auto"/>
          <w:sz w:val="24"/>
        </w:rPr>
        <w:t>1.2 IDC and ILC: Histological Subtypes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morphological and histological classification of breast carcinoma remains paramount in delineating the clinical trajectory, assessing metastatic potential, and guiding the therapeutic management of the disease. Within the broad spectrum of breast malignancies, Invasive Ductal Carcinoma (IDC) and Invasive Lobular Carcinoma (ILC) represent the two most predominant and clinically distinct histological subtypes, each presenting unique challenges to pathologists and oncologists.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Invasive Ductal Carcinoma constitutes the vast majority of breast cancer diagnoses, accounting for approximately 70% to 80% of all invasive breast lesions. Pathologically, IDC is characterized by the formation of cohesive, tubule-forming epithelial cell clusters that aggressively invade the surrounding stromal tissue. This invasion frequently provokes a pronounced desmoplastic reaction—a dense, fibrous stromal response that often makes the tumor palpable during clinical examination and highly visible on conventional mammography.</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Conversely, Invasive Lobular Carcinoma, which accounts for approximately 10% to 15% of cases, exhibits a markedly distinct pathobiology and clinical presentation. Morphologically, ILC typically presents as discohesive, single-file cellular infiltrates that insidiously invade the mammary stroma. Unlike IDC, ILC generally incites minimal architectural distortion or desmoplasia. This lack of a pronounced stromal reaction renders ILC notoriously difficult to detect via conventional mammographic screening modalities, often resulting in delayed diagnoses and larger primary tumor sizes at the time of clinical presentation.</w:t>
      </w:r>
    </w:p>
    <w:tbl>
      <w:tblPr>
        <w:tblStyle w:val="Table"/>
        <w:tblW w:w="5000" w:type="pct"/>
        <w:tblLayout w:type="fixed"/>
        <w:tblLook w:val="0020" w:firstRow="1" w:lastRow="0" w:firstColumn="0" w:lastColumn="0" w:noHBand="0" w:noVBand="0"/>
      </w:tblPr>
      <w:tblGrid>
        <w:gridCol w:w="3192"/>
        <w:gridCol w:w="3192"/>
        <w:gridCol w:w="3192"/>
      </w:tblGrid>
      <w:tr w:rsidR="00616761" w:rsidRPr="009E669E" w:rsidTr="00530AB9">
        <w:trPr>
          <w:cnfStyle w:val="100000000000" w:firstRow="1" w:lastRow="0" w:firstColumn="0" w:lastColumn="0" w:oddVBand="0" w:evenVBand="0" w:oddHBand="0" w:evenHBand="0" w:firstRowFirstColumn="0" w:firstRowLastColumn="0" w:lastRowFirstColumn="0" w:lastRowLastColumn="0"/>
          <w:tblHeader/>
        </w:trPr>
        <w:tc>
          <w:tcPr>
            <w:tcW w:w="3192" w:type="dxa"/>
          </w:tcPr>
          <w:p w:rsidR="00616761" w:rsidRPr="009E669E" w:rsidRDefault="00530AB9" w:rsidP="00A3695E">
            <w:pPr>
              <w:pStyle w:val="Compact"/>
              <w:spacing w:line="360" w:lineRule="auto"/>
              <w:jc w:val="center"/>
              <w:rPr>
                <w:rFonts w:ascii="Times New Roman" w:hAnsi="Times New Roman" w:cs="Times New Roman"/>
                <w:b/>
              </w:rPr>
            </w:pPr>
            <w:r w:rsidRPr="009E669E">
              <w:rPr>
                <w:rFonts w:ascii="Times New Roman" w:hAnsi="Times New Roman" w:cs="Times New Roman"/>
                <w:b/>
              </w:rPr>
              <w:t>Feature/Characteristic</w:t>
            </w:r>
          </w:p>
        </w:tc>
        <w:tc>
          <w:tcPr>
            <w:tcW w:w="3192" w:type="dxa"/>
          </w:tcPr>
          <w:p w:rsidR="00616761" w:rsidRPr="009E669E" w:rsidRDefault="00530AB9" w:rsidP="00A3695E">
            <w:pPr>
              <w:pStyle w:val="Compact"/>
              <w:spacing w:line="360" w:lineRule="auto"/>
              <w:jc w:val="center"/>
              <w:rPr>
                <w:rFonts w:ascii="Times New Roman" w:hAnsi="Times New Roman" w:cs="Times New Roman"/>
                <w:b/>
              </w:rPr>
            </w:pPr>
            <w:r w:rsidRPr="009E669E">
              <w:rPr>
                <w:rFonts w:ascii="Times New Roman" w:hAnsi="Times New Roman" w:cs="Times New Roman"/>
                <w:b/>
              </w:rPr>
              <w:t>Invasive Ductal Carcinoma (IDC)</w:t>
            </w:r>
          </w:p>
        </w:tc>
        <w:tc>
          <w:tcPr>
            <w:tcW w:w="3192" w:type="dxa"/>
          </w:tcPr>
          <w:p w:rsidR="00616761" w:rsidRPr="009E669E" w:rsidRDefault="00530AB9" w:rsidP="00A3695E">
            <w:pPr>
              <w:pStyle w:val="Compact"/>
              <w:spacing w:line="360" w:lineRule="auto"/>
              <w:jc w:val="center"/>
              <w:rPr>
                <w:rFonts w:ascii="Times New Roman" w:hAnsi="Times New Roman" w:cs="Times New Roman"/>
                <w:b/>
              </w:rPr>
            </w:pPr>
            <w:r w:rsidRPr="009E669E">
              <w:rPr>
                <w:rFonts w:ascii="Times New Roman" w:hAnsi="Times New Roman" w:cs="Times New Roman"/>
                <w:b/>
              </w:rPr>
              <w:t>Invasive Lobular Carcinoma (ILC)</w:t>
            </w:r>
          </w:p>
        </w:tc>
      </w:tr>
      <w:tr w:rsidR="00616761" w:rsidRPr="009E669E" w:rsidTr="00530AB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Cs/>
              </w:rPr>
              <w:t>Epidemiological Prevalence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~70-80% of all invasive breast cancers</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~10-15% of all invasive breast cancers</w:t>
            </w:r>
          </w:p>
        </w:tc>
      </w:tr>
      <w:tr w:rsidR="00616761" w:rsidRPr="009E669E" w:rsidTr="00530AB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Cs/>
              </w:rPr>
              <w:t>Cellular Morphology</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Cohesive clusters, tubule or duct-like formations</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Discohesive, single-file linear cords of cells</w:t>
            </w:r>
          </w:p>
        </w:tc>
      </w:tr>
      <w:tr w:rsidR="00616761" w:rsidRPr="009E669E" w:rsidTr="00530AB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Cs/>
              </w:rPr>
              <w:lastRenderedPageBreak/>
              <w:t>Stromal Reaction</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Pronounced desmoplasia (dense fibrous response)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Minimal architectural distortion or desmoplasia</w:t>
            </w:r>
          </w:p>
        </w:tc>
      </w:tr>
      <w:tr w:rsidR="00616761" w:rsidRPr="009E669E" w:rsidTr="00530AB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Cs/>
              </w:rPr>
              <w:t>Clinical Detection</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Often palpable; distinct mass on mammography</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Insidious growth; often mammographically occult</w:t>
            </w:r>
          </w:p>
        </w:tc>
      </w:tr>
      <w:tr w:rsidR="00616761" w:rsidRPr="009E669E" w:rsidTr="00530AB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Cs/>
              </w:rPr>
              <w:t>Primary Molecular Driver</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Highly heterogeneous genomic landscape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Consistent loss/inactivation of E-cadherin protein [2]</w:t>
            </w:r>
          </w:p>
        </w:tc>
      </w:tr>
      <w:tr w:rsidR="00616761" w:rsidRPr="009E669E" w:rsidTr="00530AB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Cs/>
              </w:rPr>
              <w:t>Genetic Alterations</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Varied mutations across multiple pathways</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Functional abrogation of the </w:t>
            </w:r>
            <w:r w:rsidRPr="009E669E">
              <w:rPr>
                <w:rFonts w:ascii="Times New Roman" w:hAnsi="Times New Roman" w:cs="Times New Roman"/>
                <w:i/>
                <w:iCs/>
              </w:rPr>
              <w:t>CDH1</w:t>
            </w:r>
            <w:r w:rsidRPr="009E669E">
              <w:rPr>
                <w:rFonts w:ascii="Times New Roman" w:hAnsi="Times New Roman" w:cs="Times New Roman"/>
              </w:rPr>
              <w:t xml:space="preserve"> gene locus [21]</w:t>
            </w:r>
          </w:p>
        </w:tc>
      </w:tr>
      <w:tr w:rsidR="00616761" w:rsidRPr="009E669E" w:rsidTr="00530AB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Cs/>
              </w:rPr>
              <w:t>Metastatic Pattern</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Lungs, liver, brain, bone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Gastrointestinal tract, peritoneum, ovaries, bone</w:t>
            </w:r>
          </w:p>
        </w:tc>
      </w:tr>
    </w:tbl>
    <w:p w:rsidR="00530AB9" w:rsidRPr="009E669E" w:rsidRDefault="00530AB9" w:rsidP="00A3695E">
      <w:pPr>
        <w:pStyle w:val="BodyText"/>
        <w:spacing w:line="360" w:lineRule="auto"/>
        <w:jc w:val="center"/>
        <w:rPr>
          <w:rFonts w:ascii="Times New Roman" w:hAnsi="Times New Roman" w:cs="Times New Roman"/>
        </w:rPr>
      </w:pPr>
      <w:r w:rsidRPr="009E669E">
        <w:rPr>
          <w:rFonts w:ascii="Times New Roman" w:hAnsi="Times New Roman" w:cs="Times New Roman"/>
          <w:bCs/>
        </w:rPr>
        <w:t>Table 1.1: Comprehensive Comparison of IDC and ILC Pathobiology</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profound biological divergence between IDC and ILC extends far beyond their morphological appearance under a microscope. This divergence roots itself deeply in fundamentally different molecular drivers, genomic alterations, and signaling pathway dependencies that dictate their respective clinical behaviors and evolutionary trajectories. Comprehensive molecular characterizations have unequivocally elucidated that ILC is characterized by a unique constellation of genomic and transcriptomic features, distinctly separating it from the more heterogeneous and varied IDC classification [6].</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A hallmark molecular characteristic defining the ILC phenotype is the pervasive loss or functional inactivation of E-cadherin. E-cadherin is a crucial transmembrane glycoprotein responsible for mediating calcium-dependent intercellular adhesion and maintaining the structural integrity of epithelial tissues [20]. The functional abrogation of the </w:t>
      </w:r>
      <w:r w:rsidRPr="009E669E">
        <w:rPr>
          <w:rFonts w:ascii="Times New Roman" w:hAnsi="Times New Roman" w:cs="Times New Roman"/>
          <w:i/>
          <w:iCs/>
        </w:rPr>
        <w:t>CDH1</w:t>
      </w:r>
      <w:r w:rsidRPr="009E669E">
        <w:rPr>
          <w:rFonts w:ascii="Times New Roman" w:hAnsi="Times New Roman" w:cs="Times New Roman"/>
        </w:rPr>
        <w:t xml:space="preserve"> gene, which encodes the E-cadherin protein, occurs either through somatic mutation, loss of heterozygosity (LOH), or complex epigenetic silencing mechanisms. This molecular event is unequivocally considered the defining pathogenic step in the development of ILC, driving its characteristic discohesive morphological phenotype and facilitating its unique, diffuse pattern of metastatic dissemination [21].</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This profound dependency on altered cellular adhesion mechanisms differentiates ILC fundamentally from IDC, establishing a clear imperative for differential therapeutic strategies and highly tailored clinical management protocols. Despite the clear histological and molecular dichotomies distinguishing these major subtypes, significant clinical challenges remain in the accurate classification and differential diagnosis of specific borderline, mixed-phenotype, or pleomorphic cases. These edge cases highlight the inherent limitations of relying solely on traditional histopathological evaluations by human pathologists.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nuanced biological distinctions between IDC and ILC necessitate the implementation of advanced, multidimensional molecular profiling frameworks capable of capturing the comprehensive spectrum of their respective pathogenic drivers. By systematically comparing the integrated multi-omics landscapes of IDC and ILC, researchers can uncover novel, previously uncharacterized molecular signatures that govern their distinct clinical behaviors. Ultimately, decoding these multi-omics signatures paves the way for the development of highly specific, rationally designed targeted therapies. Therefore, the accurate computational differentiation between IDC and ILC serves as a critical model for demonstrating the profound clinical utility of advanced multi-omics integration and machine learning in refining cancer classification and guiding precision oncology paradigms.</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2" w:name="the-multi-omics-paradigm"/>
      <w:bookmarkEnd w:id="1"/>
      <w:r w:rsidRPr="009E669E">
        <w:rPr>
          <w:rFonts w:ascii="Times New Roman" w:hAnsi="Times New Roman" w:cs="Times New Roman"/>
          <w:b/>
          <w:color w:val="auto"/>
          <w:sz w:val="24"/>
        </w:rPr>
        <w:t>1.3 The Multi-Omics Paradigm</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transition from conventional, single-modality biological investigations to the comprehensive integration of varied multi-omics datasets represents a revolutionary advancement in the computational modeling of complex biological systems. This is particularly relevant within the challenging and highly dynamic domain of cancer biology. Biological organisms function as extraordinarily intricate, multi-layered networks where the flow of biological information—from structural genomic DNA variations, through regulatory epigenetic modulations, to dynamic transcriptomic expression, and ultimate proteomic execution—must be analyzed holistically to fully comprehend complex disease mechanisms.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Single-omics approaches, while historically informative and foundational to modern biology, inherently provide a constrained, unidimensional perspective of cellular physiology. By observing only one layer of information (e.g., only gene expression or only DNA mutations), </w:t>
      </w:r>
      <w:r w:rsidRPr="009E669E">
        <w:rPr>
          <w:rFonts w:ascii="Times New Roman" w:hAnsi="Times New Roman" w:cs="Times New Roman"/>
        </w:rPr>
        <w:lastRenderedPageBreak/>
        <w:t>single-omics studies frequently fail to capture the complex, non-linear interdependencies, feedback loops, and compensatory signaling cascades characteristic of malignant transformation.</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multi-omics paradigm systematically addresses these profound limitations by simultaneously integrating distinct molecular layers. This includes: * </w:t>
      </w:r>
      <w:r w:rsidRPr="009E669E">
        <w:rPr>
          <w:rFonts w:ascii="Times New Roman" w:hAnsi="Times New Roman" w:cs="Times New Roman"/>
          <w:b/>
          <w:bCs/>
        </w:rPr>
        <w:t>Genomics (CNV):</w:t>
      </w:r>
      <w:r w:rsidRPr="009E669E">
        <w:rPr>
          <w:rFonts w:ascii="Times New Roman" w:hAnsi="Times New Roman" w:cs="Times New Roman"/>
        </w:rPr>
        <w:t xml:space="preserve"> Structural variations, amplifications, and deletions driving chromosomal instability. * </w:t>
      </w:r>
      <w:r w:rsidRPr="009E669E">
        <w:rPr>
          <w:rFonts w:ascii="Times New Roman" w:hAnsi="Times New Roman" w:cs="Times New Roman"/>
          <w:b/>
          <w:bCs/>
        </w:rPr>
        <w:t>Epigenomics (Methylation):</w:t>
      </w:r>
      <w:r w:rsidRPr="009E669E">
        <w:rPr>
          <w:rFonts w:ascii="Times New Roman" w:hAnsi="Times New Roman" w:cs="Times New Roman"/>
        </w:rPr>
        <w:t xml:space="preserve"> Chemical modifications regulating gene expression without altering the DNA sequence, often silencing tumor suppressors. * </w:t>
      </w:r>
      <w:r w:rsidRPr="009E669E">
        <w:rPr>
          <w:rFonts w:ascii="Times New Roman" w:hAnsi="Times New Roman" w:cs="Times New Roman"/>
          <w:b/>
          <w:bCs/>
        </w:rPr>
        <w:t>Transcriptomics (mRNA):</w:t>
      </w:r>
      <w:r w:rsidRPr="009E669E">
        <w:rPr>
          <w:rFonts w:ascii="Times New Roman" w:hAnsi="Times New Roman" w:cs="Times New Roman"/>
        </w:rPr>
        <w:t xml:space="preserve"> Dynamic measurement of gene expression, reflecting the active transcriptional programs of the cell. * </w:t>
      </w:r>
      <w:r w:rsidRPr="009E669E">
        <w:rPr>
          <w:rFonts w:ascii="Times New Roman" w:hAnsi="Times New Roman" w:cs="Times New Roman"/>
          <w:b/>
          <w:bCs/>
        </w:rPr>
        <w:t>Proteomics (RPPA):</w:t>
      </w:r>
      <w:r w:rsidRPr="009E669E">
        <w:rPr>
          <w:rFonts w:ascii="Times New Roman" w:hAnsi="Times New Roman" w:cs="Times New Roman"/>
        </w:rPr>
        <w:t xml:space="preserve"> Functional execution layer, detailing the abundance and post-translational modification of critical signaling proteins.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By synthesizing these diverse datasets, the multi-omics paradigm generates a high-resolution, multi-dimensional portrait of the tumor microenvironment and cellular functional state. This multidimensional analytical strategy empowers researchers to trace the functional consequences of specific genetic aberrations across interconnected biological networks, elucidating the complex pathways through which genomic mutations ultimately translate into altered protein function and aberrant, malignant cellular phenotypes.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rigorous evaluation and benchmarking of multi-omics integration strategies are absolutely essential to fully harness their predictive power and ensure the reproducibility of the resulting computational models across diverse biological contexts and independent patient cohorts [28]. By capitalizing on the complementary nature of distinct omics platforms, integrated computational models can significantly mitigate the statistical noise and technical variance inherent in individual high-throughput assays. This synergy ultimately produces more robust, reliable, and biologically meaningful predictive signatures than could be achieved through isolated analyses.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However, the successful implementation of the multi-omics paradigm is inherently fraught with formidable computational and statistical challenges. These challenges primarily stem from the extraordinarily high dimensionality of the data, profound data heterogeneity across different platforms, and the complex, multi-collinear correlation structures intrinsic to such integrated datasets [19].</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To overcome these barriers, advanced statistical techniques and innovative feature selection algorithms must be strategically deployed. These methodologies are required to effectively navigate the vast data landscape, prioritizing the identification of highly informative, non-redundant molecular features that directly contribute to predictive accuracy and biological interpretability. The strategic utilization of robust feature selection methodologies, such as those relying on L1 regularization (LASSO), is crucial for refining these massive datasets into compact, highly predictive molecular signatures while systematically eliminating irrelevant or confounding noise [22]. Furthermore, the application of sophisticated, multivariate feature selection approaches ensures that the selected subset of omics features maximizes relevant predictive information while minimizing redundancy, thereby optimizing the efficiency and accuracy of subsequent machine learning models [36].</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Through the rigorous application of advanced computational integration frameworks, the multi-omics paradigm promises to uncover novel, synergistic biological interactions that remain completely undetectable through isolated, single-omics analyses. This approach significantly advances our molecular understanding of breast cancer heterogeneity and defines vital new frontiers in precision oncological research.</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3" w:name="problem-statement-and-motivation"/>
      <w:bookmarkEnd w:id="2"/>
      <w:r w:rsidRPr="009E669E">
        <w:rPr>
          <w:rFonts w:ascii="Times New Roman" w:hAnsi="Times New Roman" w:cs="Times New Roman"/>
          <w:b/>
          <w:color w:val="auto"/>
          <w:sz w:val="24"/>
        </w:rPr>
        <w:t>1.4 Problem Statement and Motivation</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Despite substantial and rapid advancements in high-throughput molecular profiling and computational biology, the accurate, robust, and biologically interpretable classification of breast cancer histological subtypes using multidimensional omics data remains a formidable and unresolved challenge. The translation of massive biological datasets into clinically actionable insights is obstructed by several significant statistical and algorithmic hurdles that this research fundamentally aims to overcome.</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A primary obstacle is the profound disparity in the epidemiological prevalence of Invasive Ductal Carcinoma compared to Invasive Lobular Carcinoma, which naturally yields highly skewed clinical datasets. This extreme class imbalance severely complicates the training and evaluation of conventional machine learning classification algorithms. Traditional statistical models and standard predictive algorithms (which are typically optimized for overall accuracy) are inherently susceptible to severe performance degradation when exposed to significant class </w:t>
      </w:r>
      <w:r w:rsidRPr="009E669E">
        <w:rPr>
          <w:rFonts w:ascii="Times New Roman" w:hAnsi="Times New Roman" w:cs="Times New Roman"/>
        </w:rPr>
        <w:lastRenderedPageBreak/>
        <w:t>imbalance. This degradation typically manifests as a pronounced bias towards the majority class (IDC), resulting in unacceptably high misclassification rates for the minority, yet clinically critical, ILC subtype. Furthermore, the evaluation of model accuracy in such imbalanced contexts requires profound scrutiny, as conventional performance metrics can obscure true algorithmic efficacy and present misleadingly optimistic estimations of predictive reliability [40].</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To address the profound challenges associated with imbalanced learning environments, sophisticated synthetic data generation techniques and strategic oversampling methodologies must be rigorously implemented to ensure equitable algorithmic training and robust generalization capabilities [3]. The implementation of advanced sampling frameworks ensures that machine learning models are adequately exposed to the unique molecular characteristics of the minority class, fostering the development of unbiased, highly discriminative predictive rules [42].</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Another monumental challenge arises from the “curse of dimensionality.” The extraordinarily high dimensionality of integrated multi-omics datasets (often comprising tens of thousands of features), combined with the relatively constrained number of available patient samples in clinical cohorts, intrinsically predisposes complex computational models to severe overfitting. Models that overfit memorize the training data rather than learning underlying biological rules, severely jeopardizing their clinical applicability and out-of-sample generalization. Navigating this immense, high-dimensional feature space necessitates the deployment of extremely robust, logically structured feature engineering pipelines. These pipelines must be capable of systematically identifying critical molecular determinants while rigorously discarding confounding noise and redundant information [22].</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Finally, the increasing reliance on complex, “black-box” machine learning models poses a profound barrier to clinical adoption. Medical practitioners and regulatory bodies require transparent, understandable, and biologically plausible rationales for algorithmic predictions in order to justify critical clinical decisions, surgical planning, and therapeutic interventions. The intrinsic opacity of complex ensemble models (such as deep neural networks or extreme gradient boosting machines) necessitates the integration of advanced Explainable Artificial Intelligence (XAI) and model interpretability frameworks. These frameworks systematically elucidate the precise contributions of distinct molecular features, rendering the underlying computational </w:t>
      </w:r>
      <w:r w:rsidRPr="009E669E">
        <w:rPr>
          <w:rFonts w:ascii="Times New Roman" w:hAnsi="Times New Roman" w:cs="Times New Roman"/>
        </w:rPr>
        <w:lastRenderedPageBreak/>
        <w:t>decision-making processes transparent and ensuring they align with established biological knowledge [17].</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Therefore, this research is fundamentally motivated by the imperative to construct an advanced, transparent, and highly robust multi-omics classification framework. This framework must effectively overcome the statistical hurdles of severe class imbalance and profound dimensionality, delivering accurate, clinically actionable, and biologically interpretable insights into the complex histological dichotomies of breast cancer.</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4" w:name="research-objectives"/>
      <w:bookmarkEnd w:id="3"/>
      <w:r w:rsidRPr="009E669E">
        <w:rPr>
          <w:rFonts w:ascii="Times New Roman" w:hAnsi="Times New Roman" w:cs="Times New Roman"/>
          <w:b/>
          <w:color w:val="auto"/>
          <w:sz w:val="24"/>
        </w:rPr>
        <w:t>1.5 Research Objectives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principal aim of this thesis is to engineer, comprehensively evaluate, and rigorously validate an advanced, explainable multi-omics machine learning framework explicitly designed for the robust classification of primary breast cancer histological subtypes. To accomplish this overarching and complex goal, a series of specific, scientifically rigorous objectives have been meticulously defined and systematically pursued throughout the course of this extensive research endeavor:</w:t>
      </w:r>
    </w:p>
    <w:p w:rsidR="00616761" w:rsidRPr="009E669E" w:rsidRDefault="00530AB9" w:rsidP="00A3695E">
      <w:pPr>
        <w:pStyle w:val="Compact"/>
        <w:numPr>
          <w:ilvl w:val="0"/>
          <w:numId w:val="3"/>
        </w:numPr>
        <w:spacing w:line="360" w:lineRule="auto"/>
        <w:jc w:val="both"/>
        <w:rPr>
          <w:rFonts w:ascii="Times New Roman" w:hAnsi="Times New Roman" w:cs="Times New Roman"/>
        </w:rPr>
      </w:pPr>
      <w:r w:rsidRPr="009E669E">
        <w:rPr>
          <w:rFonts w:ascii="Times New Roman" w:hAnsi="Times New Roman" w:cs="Times New Roman"/>
          <w:b/>
          <w:bCs/>
        </w:rPr>
        <w:t>Comprehensive Data Integration:</w:t>
      </w:r>
      <w:r w:rsidRPr="009E669E">
        <w:rPr>
          <w:rFonts w:ascii="Times New Roman" w:hAnsi="Times New Roman" w:cs="Times New Roman"/>
        </w:rPr>
        <w:t xml:space="preserve"> To systematically acquire, perform complex preprocessing, and execute the meticulous integration of a highly complex multi-omics dataset. This dataset encompasses distinct mRNA transcriptomics, Reverse Phase Protein Array (RPPA) proteomics, DNA methylation profiles, and Copy Number Variation (CNV) data, sourced from a large, highly characterized patient cohort (TCGA-BRCA).</w:t>
      </w:r>
    </w:p>
    <w:p w:rsidR="00616761" w:rsidRPr="009E669E" w:rsidRDefault="00530AB9" w:rsidP="00A3695E">
      <w:pPr>
        <w:pStyle w:val="Compact"/>
        <w:numPr>
          <w:ilvl w:val="0"/>
          <w:numId w:val="3"/>
        </w:numPr>
        <w:spacing w:line="360" w:lineRule="auto"/>
        <w:jc w:val="both"/>
        <w:rPr>
          <w:rFonts w:ascii="Times New Roman" w:hAnsi="Times New Roman" w:cs="Times New Roman"/>
        </w:rPr>
      </w:pPr>
      <w:r w:rsidRPr="009E669E">
        <w:rPr>
          <w:rFonts w:ascii="Times New Roman" w:hAnsi="Times New Roman" w:cs="Times New Roman"/>
          <w:b/>
          <w:bCs/>
        </w:rPr>
        <w:t>Robust Dimensionality Reduction:</w:t>
      </w:r>
      <w:r w:rsidRPr="009E669E">
        <w:rPr>
          <w:rFonts w:ascii="Times New Roman" w:hAnsi="Times New Roman" w:cs="Times New Roman"/>
        </w:rPr>
        <w:t xml:space="preserve"> To design and implement a highly sophisticated, multi-stage consensus feature selection pipeline (the 3-Stage Consensus Funnel). This pipeline is purposefully engineered to drastically reduce the vast computational dimensionality of the integrated dataset while rigorously preserving the most potent, biologically relevant, and predictive molecular features, thereby mitigating the risk of algorithmic overfitting.</w:t>
      </w:r>
    </w:p>
    <w:p w:rsidR="00616761" w:rsidRPr="009E669E" w:rsidRDefault="00530AB9" w:rsidP="00A3695E">
      <w:pPr>
        <w:pStyle w:val="Compact"/>
        <w:numPr>
          <w:ilvl w:val="0"/>
          <w:numId w:val="3"/>
        </w:numPr>
        <w:spacing w:line="360" w:lineRule="auto"/>
        <w:jc w:val="both"/>
        <w:rPr>
          <w:rFonts w:ascii="Times New Roman" w:hAnsi="Times New Roman" w:cs="Times New Roman"/>
        </w:rPr>
      </w:pPr>
      <w:r w:rsidRPr="009E669E">
        <w:rPr>
          <w:rFonts w:ascii="Times New Roman" w:hAnsi="Times New Roman" w:cs="Times New Roman"/>
          <w:b/>
          <w:bCs/>
        </w:rPr>
        <w:t>Algorithmic Benchmarking and Optimization:</w:t>
      </w:r>
      <w:r w:rsidRPr="009E669E">
        <w:rPr>
          <w:rFonts w:ascii="Times New Roman" w:hAnsi="Times New Roman" w:cs="Times New Roman"/>
        </w:rPr>
        <w:t xml:space="preserve"> To rigorously evaluate and systematically compare advanced, state-of-the-art predictive algorithms. This specifically includes evaluating high-performance ensemble learning models, support vector machines, and robust tree-based classification frameworks, determining the optimal </w:t>
      </w:r>
      <w:r w:rsidRPr="009E669E">
        <w:rPr>
          <w:rFonts w:ascii="Times New Roman" w:hAnsi="Times New Roman" w:cs="Times New Roman"/>
        </w:rPr>
        <w:lastRenderedPageBreak/>
        <w:t>mathematical approach for accurately resolving complex, non-linear multi-omics data structures [23].</w:t>
      </w:r>
    </w:p>
    <w:p w:rsidR="00616761" w:rsidRPr="009E669E" w:rsidRDefault="00530AB9" w:rsidP="00A3695E">
      <w:pPr>
        <w:pStyle w:val="Compact"/>
        <w:numPr>
          <w:ilvl w:val="0"/>
          <w:numId w:val="3"/>
        </w:numPr>
        <w:spacing w:line="360" w:lineRule="auto"/>
        <w:jc w:val="both"/>
        <w:rPr>
          <w:rFonts w:ascii="Times New Roman" w:hAnsi="Times New Roman" w:cs="Times New Roman"/>
        </w:rPr>
      </w:pPr>
      <w:r w:rsidRPr="009E669E">
        <w:rPr>
          <w:rFonts w:ascii="Times New Roman" w:hAnsi="Times New Roman" w:cs="Times New Roman"/>
          <w:b/>
          <w:bCs/>
        </w:rPr>
        <w:t>Advanced Ensemble Modeling:</w:t>
      </w:r>
      <w:r w:rsidRPr="009E669E">
        <w:rPr>
          <w:rFonts w:ascii="Times New Roman" w:hAnsi="Times New Roman" w:cs="Times New Roman"/>
        </w:rPr>
        <w:t xml:space="preserve"> To investigate and optimize highly efficient gradient boosting frameworks (such as LightGBM and XGBoost), leveraging their profound capacity for handling complex, heterogeneous data structures and extracting subtle predictive signals from noisy biological datasets [18, 34].</w:t>
      </w:r>
    </w:p>
    <w:p w:rsidR="00616761" w:rsidRPr="009E669E" w:rsidRDefault="00530AB9" w:rsidP="00A3695E">
      <w:pPr>
        <w:pStyle w:val="Compact"/>
        <w:numPr>
          <w:ilvl w:val="0"/>
          <w:numId w:val="3"/>
        </w:numPr>
        <w:spacing w:line="360" w:lineRule="auto"/>
        <w:jc w:val="both"/>
        <w:rPr>
          <w:rFonts w:ascii="Times New Roman" w:hAnsi="Times New Roman" w:cs="Times New Roman"/>
        </w:rPr>
      </w:pPr>
      <w:r w:rsidRPr="009E669E">
        <w:rPr>
          <w:rFonts w:ascii="Times New Roman" w:hAnsi="Times New Roman" w:cs="Times New Roman"/>
          <w:b/>
          <w:bCs/>
        </w:rPr>
        <w:t>Multi-Omics Fusion Synthesis:</w:t>
      </w:r>
      <w:r w:rsidRPr="009E669E">
        <w:rPr>
          <w:rFonts w:ascii="Times New Roman" w:hAnsi="Times New Roman" w:cs="Times New Roman"/>
        </w:rPr>
        <w:t xml:space="preserve"> To design and execute advanced, late-fusion ensemble strategies. These strategies are strategically designed to synthesize the independent predictive probabilities derived from distinct omics modalities, thereby creating a unified, synergistic classification model that surpasses the predictive capabilities of any individual omics layer [23].</w:t>
      </w:r>
    </w:p>
    <w:p w:rsidR="00616761" w:rsidRPr="009E669E" w:rsidRDefault="00530AB9" w:rsidP="00A3695E">
      <w:pPr>
        <w:pStyle w:val="Compact"/>
        <w:numPr>
          <w:ilvl w:val="0"/>
          <w:numId w:val="3"/>
        </w:numPr>
        <w:spacing w:line="360" w:lineRule="auto"/>
        <w:jc w:val="both"/>
        <w:rPr>
          <w:rFonts w:ascii="Times New Roman" w:hAnsi="Times New Roman" w:cs="Times New Roman"/>
        </w:rPr>
      </w:pPr>
      <w:r w:rsidRPr="009E669E">
        <w:rPr>
          <w:rFonts w:ascii="Times New Roman" w:hAnsi="Times New Roman" w:cs="Times New Roman"/>
          <w:b/>
          <w:bCs/>
        </w:rPr>
        <w:t>Explainable AI Integration:</w:t>
      </w:r>
      <w:r w:rsidRPr="009E669E">
        <w:rPr>
          <w:rFonts w:ascii="Times New Roman" w:hAnsi="Times New Roman" w:cs="Times New Roman"/>
        </w:rPr>
        <w:t xml:space="preserve"> To systematically apply advanced, state-of-the-art model explainability techniques (specifically SHAP-based attributions) to rigorously deconstruct the predictive mechanisms of the optimal classification framework. This ensures total transparency, elucidates precise feature contributions across different biological layers, and directly validates the algorithmic conclusions against established, peer-reviewed biological principles [17].</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By systematically addressing these comprehensive and interrelated objectives, the research endeavors to deliver a highly robust, transparent, and clinically relevant computational tool tailored for the rigorous demands of modern precision oncology.</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5" w:name="research-contributions"/>
      <w:bookmarkEnd w:id="4"/>
      <w:r w:rsidRPr="009E669E">
        <w:rPr>
          <w:rFonts w:ascii="Times New Roman" w:hAnsi="Times New Roman" w:cs="Times New Roman"/>
          <w:b/>
          <w:color w:val="auto"/>
          <w:sz w:val="24"/>
        </w:rPr>
        <w:t>1.6 Research Contributions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This comprehensive academic investigation presents several significant, original, and rigorously validated contributions to the highly specialized fields of computational oncology, advanced bioinformatics, and applied machine learning. The research fundamentally tackles the intersection of complex biological data and advanced algorithmic interpretation.</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t>Core Contributions:</w:t>
      </w:r>
    </w:p>
    <w:p w:rsidR="00616761" w:rsidRPr="009E669E" w:rsidRDefault="00530AB9" w:rsidP="00A3695E">
      <w:pPr>
        <w:pStyle w:val="Compact"/>
        <w:numPr>
          <w:ilvl w:val="0"/>
          <w:numId w:val="4"/>
        </w:numPr>
        <w:spacing w:line="360" w:lineRule="auto"/>
        <w:jc w:val="both"/>
        <w:rPr>
          <w:rFonts w:ascii="Times New Roman" w:hAnsi="Times New Roman" w:cs="Times New Roman"/>
        </w:rPr>
      </w:pPr>
      <w:r w:rsidRPr="009E669E">
        <w:rPr>
          <w:rFonts w:ascii="Times New Roman" w:hAnsi="Times New Roman" w:cs="Times New Roman"/>
          <w:b/>
          <w:bCs/>
        </w:rPr>
        <w:t>Multidimensional Cohort Analysis:</w:t>
      </w:r>
      <w:r w:rsidRPr="009E669E">
        <w:rPr>
          <w:rFonts w:ascii="Times New Roman" w:hAnsi="Times New Roman" w:cs="Times New Roman"/>
        </w:rPr>
        <w:t xml:space="preserve"> The research utilized a meticulously curated and comprehensively integrated dataset derived from the TCGA-BRCA cohort, precisely encompassing 705 distinct patient profiles deeply characterized across 4 disparate omics </w:t>
      </w:r>
      <w:r w:rsidRPr="009E669E">
        <w:rPr>
          <w:rFonts w:ascii="Times New Roman" w:hAnsi="Times New Roman" w:cs="Times New Roman"/>
        </w:rPr>
        <w:lastRenderedPageBreak/>
        <w:t>layers. The underlying clinical dataset was characterized by a profound, statistically challenging class split: 577 cases of Invasive Ductal Carcinoma (81.8%) and 128 cases of Invasive Lobular Carcinoma (18.2%), resulting in a formidable diagnostic ratio of 4.51:1.</w:t>
      </w:r>
    </w:p>
    <w:p w:rsidR="00616761" w:rsidRPr="009E669E" w:rsidRDefault="00530AB9" w:rsidP="00A3695E">
      <w:pPr>
        <w:pStyle w:val="Compact"/>
        <w:numPr>
          <w:ilvl w:val="0"/>
          <w:numId w:val="4"/>
        </w:numPr>
        <w:spacing w:line="360" w:lineRule="auto"/>
        <w:jc w:val="both"/>
        <w:rPr>
          <w:rFonts w:ascii="Times New Roman" w:hAnsi="Times New Roman" w:cs="Times New Roman"/>
        </w:rPr>
      </w:pPr>
      <w:r w:rsidRPr="009E669E">
        <w:rPr>
          <w:rFonts w:ascii="Times New Roman" w:hAnsi="Times New Roman" w:cs="Times New Roman"/>
          <w:b/>
          <w:bCs/>
        </w:rPr>
        <w:t>Novel Dimensionality Reduction Architecture:</w:t>
      </w:r>
      <w:r w:rsidRPr="009E669E">
        <w:rPr>
          <w:rFonts w:ascii="Times New Roman" w:hAnsi="Times New Roman" w:cs="Times New Roman"/>
        </w:rPr>
        <w:t xml:space="preserve"> A highly significant methodological contribution is the rigorous development and successful implementation of an innovative 3-Stage Consensus Funnel feature selection architecture. This pipeline systematically and drastically reduced an initial, highly complex feature space of 1,837 variables down to a highly optimized, robust, and predictive set of exactly 75 core molecular features.</w:t>
      </w:r>
    </w:p>
    <w:p w:rsidR="00616761" w:rsidRPr="009E669E" w:rsidRDefault="00530AB9" w:rsidP="00A3695E">
      <w:pPr>
        <w:pStyle w:val="Compact"/>
        <w:numPr>
          <w:ilvl w:val="0"/>
          <w:numId w:val="4"/>
        </w:numPr>
        <w:spacing w:line="360" w:lineRule="auto"/>
        <w:jc w:val="both"/>
        <w:rPr>
          <w:rFonts w:ascii="Times New Roman" w:hAnsi="Times New Roman" w:cs="Times New Roman"/>
        </w:rPr>
      </w:pPr>
      <w:r w:rsidRPr="009E669E">
        <w:rPr>
          <w:rFonts w:ascii="Times New Roman" w:hAnsi="Times New Roman" w:cs="Times New Roman"/>
          <w:b/>
          <w:bCs/>
        </w:rPr>
        <w:t>State-of-the-Art Predictive Performance:</w:t>
      </w:r>
      <w:r w:rsidRPr="009E669E">
        <w:rPr>
          <w:rFonts w:ascii="Times New Roman" w:hAnsi="Times New Roman" w:cs="Times New Roman"/>
        </w:rPr>
        <w:t xml:space="preserve"> Through rigorous computational experimentation and exhaustive hyperparameter optimization within a leak-free evaluation environment, the study conclusively established that a finely tuned LightGBM architecture functioned as the optimal base model. It achieved an exceptional F1-Macro score of 0.9054, a highly discriminative AUC-ROC of 0.9602, and a remarkably robust Matthews Correlation Coefficient (MCC) of 0.8140.</w:t>
      </w:r>
    </w:p>
    <w:p w:rsidR="00616761" w:rsidRPr="009E669E" w:rsidRDefault="00530AB9" w:rsidP="00A3695E">
      <w:pPr>
        <w:pStyle w:val="Compact"/>
        <w:numPr>
          <w:ilvl w:val="0"/>
          <w:numId w:val="4"/>
        </w:numPr>
        <w:spacing w:line="360" w:lineRule="auto"/>
        <w:jc w:val="both"/>
        <w:rPr>
          <w:rFonts w:ascii="Times New Roman" w:hAnsi="Times New Roman" w:cs="Times New Roman"/>
        </w:rPr>
      </w:pPr>
      <w:r w:rsidRPr="009E669E">
        <w:rPr>
          <w:rFonts w:ascii="Times New Roman" w:hAnsi="Times New Roman" w:cs="Times New Roman"/>
          <w:b/>
          <w:bCs/>
        </w:rPr>
        <w:t>Late Fusion Synergy:</w:t>
      </w:r>
      <w:r w:rsidRPr="009E669E">
        <w:rPr>
          <w:rFonts w:ascii="Times New Roman" w:hAnsi="Times New Roman" w:cs="Times New Roman"/>
        </w:rPr>
        <w:t xml:space="preserve"> The systematic implementation of an advanced Late Fusion ensemble methodology demonstrated profound synergistic benefits, elevating the overall predictive performance to an outstanding F1-Macro score of 0.9247 and a near-perfect AUC-ROC of 0.9839. This unequivocally demonstrates the immense diagnostic power of multidimensional data integration over single-modality approaches.</w:t>
      </w:r>
    </w:p>
    <w:p w:rsidR="00616761" w:rsidRPr="009E669E" w:rsidRDefault="00530AB9" w:rsidP="00A3695E">
      <w:pPr>
        <w:pStyle w:val="Compact"/>
        <w:numPr>
          <w:ilvl w:val="0"/>
          <w:numId w:val="4"/>
        </w:numPr>
        <w:spacing w:line="360" w:lineRule="auto"/>
        <w:jc w:val="both"/>
        <w:rPr>
          <w:rFonts w:ascii="Times New Roman" w:hAnsi="Times New Roman" w:cs="Times New Roman"/>
        </w:rPr>
      </w:pPr>
      <w:r w:rsidRPr="009E669E">
        <w:rPr>
          <w:rFonts w:ascii="Times New Roman" w:hAnsi="Times New Roman" w:cs="Times New Roman"/>
          <w:b/>
          <w:bCs/>
        </w:rPr>
        <w:t>Rigorous Leakage Prevention:</w:t>
      </w:r>
      <w:r w:rsidRPr="009E669E">
        <w:rPr>
          <w:rFonts w:ascii="Times New Roman" w:hAnsi="Times New Roman" w:cs="Times New Roman"/>
        </w:rPr>
        <w:t xml:space="preserve"> To guarantee the statistical reliability and profound generalizability of these exceptional findings, the research meticulously implemented a highly constrained, strictly isolated nested cross-validation protocol. This conclusively documented an exceptionally low nested CV bias of precisely 0.0213, fundamentally satisfying the strict predefined theoretical threshold of remaining strictly less than 0.03 for establishing model robustness [38].</w:t>
      </w:r>
    </w:p>
    <w:p w:rsidR="00616761" w:rsidRPr="009E669E" w:rsidRDefault="00530AB9" w:rsidP="00A3695E">
      <w:pPr>
        <w:pStyle w:val="Compact"/>
        <w:numPr>
          <w:ilvl w:val="0"/>
          <w:numId w:val="4"/>
        </w:numPr>
        <w:spacing w:line="360" w:lineRule="auto"/>
        <w:jc w:val="both"/>
        <w:rPr>
          <w:rFonts w:ascii="Times New Roman" w:hAnsi="Times New Roman" w:cs="Times New Roman"/>
        </w:rPr>
      </w:pPr>
      <w:r w:rsidRPr="009E669E">
        <w:rPr>
          <w:rFonts w:ascii="Times New Roman" w:hAnsi="Times New Roman" w:cs="Times New Roman"/>
          <w:b/>
          <w:bCs/>
        </w:rPr>
        <w:t>Cross-Omics Interpretability:</w:t>
      </w:r>
      <w:r w:rsidRPr="009E669E">
        <w:rPr>
          <w:rFonts w:ascii="Times New Roman" w:hAnsi="Times New Roman" w:cs="Times New Roman"/>
        </w:rPr>
        <w:t xml:space="preserve"> A defining contribution of this work is the comprehensive, highly transparent elucidation of the model’s complex decision-making processes through exhaustive SHAP Attribution analysis. This explicitly quantified the predictive influence of distinct omics modalities, revealing an mRNA contribution of 54.95%, a Proteomic attribution of 40.26%, a Methylation impact of 4.75%, and a minimal CNV involvement of 0.04%.</w:t>
      </w:r>
    </w:p>
    <w:p w:rsidR="00616761" w:rsidRPr="009E669E" w:rsidRDefault="00530AB9" w:rsidP="00A3695E">
      <w:pPr>
        <w:pStyle w:val="Compact"/>
        <w:numPr>
          <w:ilvl w:val="0"/>
          <w:numId w:val="4"/>
        </w:numPr>
        <w:spacing w:line="360" w:lineRule="auto"/>
        <w:jc w:val="both"/>
        <w:rPr>
          <w:rFonts w:ascii="Times New Roman" w:hAnsi="Times New Roman" w:cs="Times New Roman"/>
        </w:rPr>
      </w:pPr>
      <w:r w:rsidRPr="009E669E">
        <w:rPr>
          <w:rFonts w:ascii="Times New Roman" w:hAnsi="Times New Roman" w:cs="Times New Roman"/>
          <w:b/>
          <w:bCs/>
        </w:rPr>
        <w:lastRenderedPageBreak/>
        <w:t>Biological Biomarker Validation:</w:t>
      </w:r>
      <w:r w:rsidRPr="009E669E">
        <w:rPr>
          <w:rFonts w:ascii="Times New Roman" w:hAnsi="Times New Roman" w:cs="Times New Roman"/>
        </w:rPr>
        <w:t xml:space="preserve"> Ensuring the profound biological validity and clinical relevance of the computational framework, the rigorous explainability analysis conclusively identified E-Cadherin (</w:t>
      </w:r>
      <w:r w:rsidRPr="009E669E">
        <w:rPr>
          <w:rStyle w:val="VerbatimChar"/>
          <w:rFonts w:ascii="Times New Roman" w:hAnsi="Times New Roman" w:cs="Times New Roman"/>
        </w:rPr>
        <w:t>pp_E.Cadherin</w:t>
      </w:r>
      <w:r w:rsidRPr="009E669E">
        <w:rPr>
          <w:rFonts w:ascii="Times New Roman" w:hAnsi="Times New Roman" w:cs="Times New Roman"/>
        </w:rPr>
        <w:t>) as the unequivocally dominant predictive biomarker. It achieved Rank #1 status in precisely 5 out of 5 independent cross-validation splits, perfectly aligning the autonomous machine learning algorithm with established oncological consensus regarding lobular carcinoma pathobiology.</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6" w:name="organization-of-the-thesis"/>
      <w:bookmarkEnd w:id="5"/>
      <w:r w:rsidRPr="009E669E">
        <w:rPr>
          <w:rFonts w:ascii="Times New Roman" w:hAnsi="Times New Roman" w:cs="Times New Roman"/>
          <w:b/>
          <w:color w:val="auto"/>
          <w:sz w:val="24"/>
        </w:rPr>
        <w:t>1.7 Organization of the Thesis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remaining chapters of this comprehensive academic manuscript are systematically structured and logically organized to facilitate a rigorous, highly detailed exposition of the underlying methodologies, robust empirical findings, and broad scientific implications of the proposed multi-omics classification framework:</w:t>
      </w:r>
    </w:p>
    <w:p w:rsidR="00616761" w:rsidRPr="009E669E" w:rsidRDefault="00530AB9" w:rsidP="00A3695E">
      <w:pPr>
        <w:pStyle w:val="Compact"/>
        <w:numPr>
          <w:ilvl w:val="0"/>
          <w:numId w:val="5"/>
        </w:numPr>
        <w:spacing w:line="360" w:lineRule="auto"/>
        <w:jc w:val="both"/>
        <w:rPr>
          <w:rFonts w:ascii="Times New Roman" w:hAnsi="Times New Roman" w:cs="Times New Roman"/>
        </w:rPr>
      </w:pPr>
      <w:r w:rsidRPr="009E669E">
        <w:rPr>
          <w:rFonts w:ascii="Times New Roman" w:hAnsi="Times New Roman" w:cs="Times New Roman"/>
          <w:b/>
          <w:bCs/>
        </w:rPr>
        <w:t>Chapter II: Literature Review and Related Works:</w:t>
      </w:r>
      <w:r w:rsidRPr="009E669E">
        <w:rPr>
          <w:rFonts w:ascii="Times New Roman" w:hAnsi="Times New Roman" w:cs="Times New Roman"/>
        </w:rPr>
        <w:t xml:space="preserve"> Provides a profound, exhaustive review of the relevant contemporary literature, critically examining the evolutionary trajectory of breast cancer classification systems, meticulously analyzing prior methodological attempts at multi-omics integration, and clearly delineating the specific technological and statistical gaps that this novel research endeavor purposefully aims to bridge.</w:t>
      </w:r>
    </w:p>
    <w:p w:rsidR="00616761" w:rsidRPr="009E669E" w:rsidRDefault="00530AB9" w:rsidP="00A3695E">
      <w:pPr>
        <w:pStyle w:val="Compact"/>
        <w:numPr>
          <w:ilvl w:val="0"/>
          <w:numId w:val="5"/>
        </w:numPr>
        <w:spacing w:line="360" w:lineRule="auto"/>
        <w:jc w:val="both"/>
        <w:rPr>
          <w:rFonts w:ascii="Times New Roman" w:hAnsi="Times New Roman" w:cs="Times New Roman"/>
        </w:rPr>
      </w:pPr>
      <w:r w:rsidRPr="009E669E">
        <w:rPr>
          <w:rFonts w:ascii="Times New Roman" w:hAnsi="Times New Roman" w:cs="Times New Roman"/>
          <w:b/>
          <w:bCs/>
        </w:rPr>
        <w:t>Chapter III: Methodology:</w:t>
      </w:r>
      <w:r w:rsidRPr="009E669E">
        <w:rPr>
          <w:rFonts w:ascii="Times New Roman" w:hAnsi="Times New Roman" w:cs="Times New Roman"/>
        </w:rPr>
        <w:t xml:space="preserve"> Comprehensively delineates the rigorous computational methodology and experimental design. It provides an exhaustive, granular description of the complex dataset acquisition procedures, the highly sophisticated preprocessing pipelines, the strategic implementation of the advanced 3-Stage Consensus Funnel feature selection architecture, and the precise mathematical configuration of the deployed machine learning and ensemble algorithms, ensuring reproducibility.</w:t>
      </w:r>
    </w:p>
    <w:p w:rsidR="00616761" w:rsidRPr="009E669E" w:rsidRDefault="00530AB9" w:rsidP="00A3695E">
      <w:pPr>
        <w:pStyle w:val="Compact"/>
        <w:numPr>
          <w:ilvl w:val="0"/>
          <w:numId w:val="5"/>
        </w:numPr>
        <w:spacing w:line="360" w:lineRule="auto"/>
        <w:jc w:val="both"/>
        <w:rPr>
          <w:rFonts w:ascii="Times New Roman" w:hAnsi="Times New Roman" w:cs="Times New Roman"/>
        </w:rPr>
      </w:pPr>
      <w:r w:rsidRPr="009E669E">
        <w:rPr>
          <w:rFonts w:ascii="Times New Roman" w:hAnsi="Times New Roman" w:cs="Times New Roman"/>
          <w:b/>
          <w:bCs/>
        </w:rPr>
        <w:t>Chapter IV: Results and Evaluation:</w:t>
      </w:r>
      <w:r w:rsidRPr="009E669E">
        <w:rPr>
          <w:rFonts w:ascii="Times New Roman" w:hAnsi="Times New Roman" w:cs="Times New Roman"/>
        </w:rPr>
        <w:t xml:space="preserve"> Presents a meticulous, highly detailed exposition of the robust experimental results. It rigorously documents the extensive comparative performance analysis of various predictive models, statistically validates the profound efficacy of the implemented Late Fusion strategy through significance testing, and comprehensively analyzes the critical findings derived from the exhaustive, cross-omics SHAP-based model interpretability frameworks.</w:t>
      </w:r>
    </w:p>
    <w:p w:rsidR="00616761" w:rsidRPr="009E669E" w:rsidRDefault="00530AB9" w:rsidP="00A3695E">
      <w:pPr>
        <w:pStyle w:val="Compact"/>
        <w:numPr>
          <w:ilvl w:val="0"/>
          <w:numId w:val="5"/>
        </w:numPr>
        <w:spacing w:line="360" w:lineRule="auto"/>
        <w:jc w:val="both"/>
        <w:rPr>
          <w:rFonts w:ascii="Times New Roman" w:hAnsi="Times New Roman" w:cs="Times New Roman"/>
        </w:rPr>
      </w:pPr>
      <w:r w:rsidRPr="009E669E">
        <w:rPr>
          <w:rFonts w:ascii="Times New Roman" w:hAnsi="Times New Roman" w:cs="Times New Roman"/>
          <w:b/>
          <w:bCs/>
        </w:rPr>
        <w:lastRenderedPageBreak/>
        <w:t>Chapter V: Biological Validation and Pathway Analysis:</w:t>
      </w:r>
      <w:r w:rsidRPr="009E669E">
        <w:rPr>
          <w:rFonts w:ascii="Times New Roman" w:hAnsi="Times New Roman" w:cs="Times New Roman"/>
        </w:rPr>
        <w:t xml:space="preserve"> Offers a profound, nuanced biological and clinical discussion of the synthesized empirical results, directly contextualizing the computationally identified molecular signatures within the broader framework of established oncological knowledge and mapping them to actionable metabolic and signaling pathways.</w:t>
      </w:r>
    </w:p>
    <w:p w:rsidR="00616761" w:rsidRPr="009E669E" w:rsidRDefault="00530AB9" w:rsidP="00A3695E">
      <w:pPr>
        <w:pStyle w:val="Compact"/>
        <w:numPr>
          <w:ilvl w:val="0"/>
          <w:numId w:val="5"/>
        </w:numPr>
        <w:spacing w:line="360" w:lineRule="auto"/>
        <w:jc w:val="both"/>
        <w:rPr>
          <w:rFonts w:ascii="Times New Roman" w:hAnsi="Times New Roman" w:cs="Times New Roman"/>
        </w:rPr>
      </w:pPr>
      <w:r w:rsidRPr="009E669E">
        <w:rPr>
          <w:rFonts w:ascii="Times New Roman" w:hAnsi="Times New Roman" w:cs="Times New Roman"/>
          <w:b/>
          <w:bCs/>
        </w:rPr>
        <w:t>Chapter VI: Conclusion and Future Directions:</w:t>
      </w:r>
      <w:r w:rsidRPr="009E669E">
        <w:rPr>
          <w:rFonts w:ascii="Times New Roman" w:hAnsi="Times New Roman" w:cs="Times New Roman"/>
        </w:rPr>
        <w:t xml:space="preserve"> Serves as the definitive conclusion of the thesis, systematically summarizing the most critical research contributions, explicitly addressing the inherent limitations of the current computational study, powerfully reiterating the profound diagnostic potential of the developed explainable artificial intelligence framework, and proposing concrete, highly actionable directions for future scientific exploration in the realm of precision oncology. </w:t>
      </w: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530AB9" w:rsidRPr="009E669E" w:rsidRDefault="00530AB9" w:rsidP="00A3695E">
      <w:pPr>
        <w:pStyle w:val="Compact"/>
        <w:numPr>
          <w:ilvl w:val="0"/>
          <w:numId w:val="2"/>
        </w:numPr>
        <w:spacing w:line="360" w:lineRule="auto"/>
        <w:jc w:val="both"/>
        <w:rPr>
          <w:rFonts w:ascii="Times New Roman" w:hAnsi="Times New Roman" w:cs="Times New Roman"/>
        </w:rPr>
      </w:pPr>
    </w:p>
    <w:p w:rsidR="00616761" w:rsidRPr="009E669E" w:rsidRDefault="00530AB9" w:rsidP="00A3695E">
      <w:pPr>
        <w:pStyle w:val="Compact"/>
        <w:numPr>
          <w:ilvl w:val="0"/>
          <w:numId w:val="2"/>
        </w:numPr>
        <w:spacing w:line="360" w:lineRule="auto"/>
        <w:jc w:val="center"/>
        <w:rPr>
          <w:rFonts w:ascii="Times New Roman" w:hAnsi="Times New Roman" w:cs="Times New Roman"/>
          <w:b/>
          <w:sz w:val="28"/>
        </w:rPr>
      </w:pPr>
      <w:r w:rsidRPr="009E669E">
        <w:rPr>
          <w:rFonts w:ascii="Times New Roman" w:hAnsi="Times New Roman" w:cs="Times New Roman"/>
          <w:b/>
          <w:sz w:val="28"/>
        </w:rPr>
        <w:lastRenderedPageBreak/>
        <w:t>CHAPTER II</w:t>
      </w:r>
    </w:p>
    <w:p w:rsidR="00616761" w:rsidRPr="009E669E" w:rsidRDefault="00530AB9" w:rsidP="00A3695E">
      <w:pPr>
        <w:pStyle w:val="Compact"/>
        <w:numPr>
          <w:ilvl w:val="0"/>
          <w:numId w:val="2"/>
        </w:numPr>
        <w:spacing w:line="360" w:lineRule="auto"/>
        <w:jc w:val="center"/>
        <w:rPr>
          <w:rFonts w:ascii="Times New Roman" w:hAnsi="Times New Roman" w:cs="Times New Roman"/>
          <w:b/>
          <w:sz w:val="28"/>
        </w:rPr>
      </w:pPr>
      <w:r w:rsidRPr="009E669E">
        <w:rPr>
          <w:rFonts w:ascii="Times New Roman" w:hAnsi="Times New Roman" w:cs="Times New Roman"/>
          <w:b/>
          <w:sz w:val="28"/>
        </w:rPr>
        <w:t>Literature Review and Related Works</w:t>
      </w:r>
    </w:p>
    <w:p w:rsidR="00616761" w:rsidRPr="009E669E" w:rsidRDefault="00616761" w:rsidP="00A3695E">
      <w:pPr>
        <w:pStyle w:val="Compact"/>
        <w:numPr>
          <w:ilvl w:val="0"/>
          <w:numId w:val="2"/>
        </w:numPr>
        <w:spacing w:line="360" w:lineRule="auto"/>
        <w:jc w:val="both"/>
        <w:rPr>
          <w:rFonts w:ascii="Times New Roman" w:hAnsi="Times New Roman" w:cs="Times New Roman"/>
        </w:rPr>
      </w:pPr>
    </w:p>
    <w:p w:rsidR="00616761" w:rsidRPr="009E669E" w:rsidRDefault="00530AB9" w:rsidP="00A3695E">
      <w:pPr>
        <w:pStyle w:val="Heading2"/>
        <w:spacing w:line="360" w:lineRule="auto"/>
        <w:jc w:val="both"/>
        <w:rPr>
          <w:rFonts w:ascii="Times New Roman" w:hAnsi="Times New Roman" w:cs="Times New Roman"/>
          <w:b/>
        </w:rPr>
      </w:pPr>
      <w:bookmarkStart w:id="7" w:name="introduction-to-the-literature-review"/>
      <w:bookmarkEnd w:id="6"/>
      <w:r w:rsidRPr="009E669E">
        <w:rPr>
          <w:rFonts w:ascii="Times New Roman" w:hAnsi="Times New Roman" w:cs="Times New Roman"/>
          <w:b/>
          <w:color w:val="auto"/>
          <w:sz w:val="24"/>
        </w:rPr>
        <w:t>2.1 Introduction to the Literature Review</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landscape of computational oncology has undergone a profound and highly accelerated transformation over the past two decades. This paradigm shift has been driven primarily by exponential advancements in high-throughput sequencing technologies and the subsequent widespread availability of vast, multifaceted biological datasets. Breast cancer, representing one of the most prevalent and heterogeneous malignancies globally, has consistently remained at the absolute forefront of this data-driven revolution in medical science [14]. As clinical researchers and bioinformaticians have progressively shifted their analytical focus away from isolated, singular modality analyses toward comprehensive, holistic, multi-omics paradigms, the sheer complexity of data integration and interpretation has necessitated the adoption of increasingly sophisticated machine learning frameworks.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This chapter provides a comprehensive, critical examination of the foundational literature, historical milestones, and contemporary methodological advancements that undergird the application of Explainable Artificial Intelligence (XAI) in the multi-omics classification of breast cancer. By systematically traversing the evolution of molecular subtyping, the inherent intricacies of high-dimensional data integration, the persistent statistical challenges of dimensionality and extreme class imbalance, and the critical clinical imperative for model interpretability, this review establishes the necessary theoretical groundwork for the thesis. Furthermore, it explicitly identifies the specific analytical and methodological research gaps that the present study seeks to rigorously address.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successful integration of genomics, transcriptomics, epigenomics, and proteomics offers an unprecedented panoramic view of the intricate molecular architecture of tumors. However, this wealth of biological information simultaneously introduces profound analytical challenges that require meticulous algorithmic design, stringent regularization techniques, and mathematically rigorous validation protocols to avoid generating spurious or overfitted conclusions [28]. Consequently, understanding the historical progression of these analytical techniques, from </w:t>
      </w:r>
      <w:r w:rsidRPr="009E669E">
        <w:rPr>
          <w:rFonts w:ascii="Times New Roman" w:hAnsi="Times New Roman" w:cs="Times New Roman"/>
        </w:rPr>
        <w:lastRenderedPageBreak/>
        <w:t>simple linear models to deep ensemble frameworks, is paramount for appreciating the absolute necessity of the novel, multi-stage consensus frameworks and explainable AI pipelines proposed in contemporary computational biology and specifically detailed within this research.</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8" w:name="X1641c1cb2ee5bab71708d078a84aa74c0f3fb21"/>
      <w:bookmarkEnd w:id="7"/>
      <w:r w:rsidRPr="009E669E">
        <w:rPr>
          <w:rFonts w:ascii="Times New Roman" w:hAnsi="Times New Roman" w:cs="Times New Roman"/>
          <w:b/>
          <w:color w:val="auto"/>
          <w:sz w:val="24"/>
        </w:rPr>
        <w:t>2.2 Historical Context of Breast Cancer Molecular Subtyping</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clinical and scientific conceptualization of breast cancer has historically transitioned from a monolithic disease model—characterized primarily by gross morphological features, basic histological grading, and rudimentary clinical staging—to a highly nuanced, intricately detailed molecular taxonomy. This profound paradigm shift, which forever altered the trajectory of breast cancer research and treatment, was inaugurated by seminal microarray gene expression profiling studies at the turn of the millennium.</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pioneering work of Perou et al. functioned as the primary catalyst for this transformation. By leveraging early microarray technologies, their research team successfully identified distinct, intrinsic molecular portraits of human breast tumors based entirely on comprehensive gene expression signatures. This breakthrough fundamentally altered the clinical approach to both prognosis and therapeutic intervention, establishing that breast cancer is not a single disease but a collection of distinct molecular entities [9]. Their research unequivocally illuminated the underlying genetic heterogeneity of breast carcinomas, delineating primary intrinsic subtypes such as Luminal A, Luminal B, HER2-enriched, and Basal-like (often corresponding clinically to triple-negative breast cancer). Crucially, they demonstrated that these distinct molecular subtypes exhibited vastly different clinical trajectories, survival rates, and responses to systemic therapies.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Building upon this revolutionary foundation, subsequent extensive validation studies by Sorlie et al. further refined these molecular classifications. Their work reinforced the profound prognostic significance of expression-based subtyping across diverse, independent patient cohorts, confirming the universal applicability of these intrinsic signatures [6]. The eventual establishment of the PAM50 gene signature successfully operationalized these complex transcriptomic discoveries into a standardized, commercially available clinical assay, firmly solidifying the vital role of high-throughput transcriptomic profiling in routine oncological practice and precision medicine.</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 xml:space="preserve">Concurrently with the evolution of transcriptomic subtyping, advanced characterization of specific histological subtypes, most notably Invasive Lobular Carcinoma (ILC), revealed unique, defining genomic hallmarks. Comprehensive sequencing efforts established the prevalent loss of E-cadherin expression as the defining molecular event distinguishing ILC from the more common and heterogeneous invasive ductal carcinomas (IDC) [43]. The critical role of the E-cadherin protein in maintaining calcium-dependent intercellular adhesion, preserving epithelial tissue integrity, and its direct implications for diffuse metastatic dissemination have been extensively documented. This highlights the absolute necessity of integrating specific genomic alterations to fully comprehend complex tumor behaviors [1]. Furthermore, detailed molecular biological research into the </w:t>
      </w:r>
      <w:r w:rsidRPr="009E669E">
        <w:rPr>
          <w:rFonts w:ascii="Times New Roman" w:hAnsi="Times New Roman" w:cs="Times New Roman"/>
          <w:i/>
          <w:iCs/>
        </w:rPr>
        <w:t>CDH1</w:t>
      </w:r>
      <w:r w:rsidRPr="009E669E">
        <w:rPr>
          <w:rFonts w:ascii="Times New Roman" w:hAnsi="Times New Roman" w:cs="Times New Roman"/>
        </w:rPr>
        <w:t xml:space="preserve"> gene locus, which encodes the E-cadherin protein, has highlighted the intricate regulatory mechanisms—ranging from somatic truncating mutations and large-scale chromosomal deletions to complex epigenetic promoter methylation—that converge to drive these distinct, invasive pathological phenotypes [3].</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culmination of these massive, global collaborative genomic efforts, most prominently exemplified by the monumental The Cancer Genome Atlas (TCGA) network, provided the scientific community with unprecedented, multi-dimensional genomic data. By systematically cataloging the genomic, transcriptomic, and epigenomic landscapes of thousands of breast tumors, the TCGA enabled researchers to explore the molecular intricacies of breast cancer with unparalleled resolution and robust statistical power, setting the stage for the era of multi-omics integration [27].</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9" w:name="multi-omics-data-integration-strategies"/>
      <w:bookmarkEnd w:id="8"/>
      <w:r w:rsidRPr="009E669E">
        <w:rPr>
          <w:rFonts w:ascii="Times New Roman" w:hAnsi="Times New Roman" w:cs="Times New Roman"/>
          <w:b/>
          <w:color w:val="auto"/>
          <w:sz w:val="24"/>
        </w:rPr>
        <w:t>2.3 Multi-Omics Data Integration Strategies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methodological transition from single-modality analyses to expansive,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computational frameworks represents a critical evolution in computational oncology. This transition is explicitly aimed at capturing the complex, highly interactive biological networks that govern tumor initiation, progression, and therapeutic evasion.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data integration strategies are broadly categorized into three primary architectural paradigms within the bioinformatics literature: early fusion, intermediate fusion, and late fusion. Each paradigm presents distinct computational advantages and inherent statistical vulnerabilities.</w:t>
      </w:r>
    </w:p>
    <w:p w:rsidR="00616761" w:rsidRPr="009E669E" w:rsidRDefault="00616761" w:rsidP="00A3695E">
      <w:pPr>
        <w:pStyle w:val="BodyText"/>
        <w:spacing w:line="360" w:lineRule="auto"/>
        <w:jc w:val="both"/>
        <w:rPr>
          <w:rFonts w:ascii="Times New Roman" w:hAnsi="Times New Roman" w:cs="Times New Roman"/>
        </w:rPr>
      </w:pPr>
    </w:p>
    <w:tbl>
      <w:tblPr>
        <w:tblStyle w:val="Table"/>
        <w:tblW w:w="5000" w:type="pct"/>
        <w:tblLayout w:type="fixed"/>
        <w:tblLook w:val="0020" w:firstRow="1" w:lastRow="0" w:firstColumn="0" w:lastColumn="0" w:noHBand="0" w:noVBand="0"/>
      </w:tblPr>
      <w:tblGrid>
        <w:gridCol w:w="2394"/>
        <w:gridCol w:w="2394"/>
        <w:gridCol w:w="2394"/>
        <w:gridCol w:w="2394"/>
      </w:tblGrid>
      <w:tr w:rsidR="00616761" w:rsidRPr="009E669E" w:rsidTr="00BE767C">
        <w:trPr>
          <w:cnfStyle w:val="100000000000" w:firstRow="1" w:lastRow="0" w:firstColumn="0" w:lastColumn="0" w:oddVBand="0" w:evenVBand="0" w:oddHBand="0" w:evenHBand="0" w:firstRowFirstColumn="0" w:firstRowLastColumn="0" w:lastRowFirstColumn="0" w:lastRowLastColumn="0"/>
          <w:tblHeader/>
        </w:trPr>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Integration Strategy</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Architectural Methodology</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Principal Advantages</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Key Limitations &amp; Vulnerabilities</w:t>
            </w:r>
          </w:p>
        </w:tc>
      </w:tr>
      <w:tr w:rsidR="00616761" w:rsidRPr="009E669E" w:rsidTr="00BE767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Early Fusion (Data-Level)</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Direct mathematical concatenation of disparate raw omics datasets (e.g., mRNA, DNA methylation) into a single, massive, high-dimensional feature matrix prior to any model training.</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Conceptually straightforward to implement; theoretically allows the machine learning algorithm to discover direct inter-modality correlations at the raw data level.</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Extremely susceptible to the curse of dimensionality; often dominated by modalities with the largest feature spaces (e.g., mRNA), masking subtle signals from smaller data layers; amplifies heterogeneous statistical noise [19].</w:t>
            </w:r>
          </w:p>
        </w:tc>
      </w:tr>
      <w:tr w:rsidR="00616761" w:rsidRPr="009E669E" w:rsidTr="00BE767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Intermediate Fusion</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Transformation of raw, disparate data layers into a unified, shared representation space (latent space) using algorithms like multiple kernel learning or deep learning autoencoders during model training.</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Robust mechanism for extracting salient, cross-omics latent features; highly capable of learning complex, non-linear relationships across diverse biological modalities [19].</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Deeply layered, non-linear architectures frequently obfuscate biological interpretability (“black-box” problem); requires massive sample sizes rarely available in highly characterized clinical oncology cohorts to prevent severe overfitting.</w:t>
            </w:r>
          </w:p>
        </w:tc>
      </w:tr>
      <w:tr w:rsidR="00616761" w:rsidRPr="009E669E" w:rsidTr="00BE767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Late Fusion (Decision-Level)</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Training completely independent, optimized predictive </w:t>
            </w:r>
            <w:r w:rsidRPr="009E669E">
              <w:rPr>
                <w:rFonts w:ascii="Times New Roman" w:hAnsi="Times New Roman" w:cs="Times New Roman"/>
              </w:rPr>
              <w:lastRenderedPageBreak/>
              <w:t>base models on each individual omics modality, subsequently combining their continuous probabilistic outputs utilizing ensemble techniques (e.g., weighted voting, stacking meta-learners).</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 xml:space="preserve">Inherently mitigates dimensionality challenges associated </w:t>
            </w:r>
            <w:r w:rsidRPr="009E669E">
              <w:rPr>
                <w:rFonts w:ascii="Times New Roman" w:hAnsi="Times New Roman" w:cs="Times New Roman"/>
              </w:rPr>
              <w:lastRenderedPageBreak/>
              <w:t>with early fusion; preserves unique predictive signals inherent to each modality; highly scalable and adaptable to missing data [23].</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 xml:space="preserve">Requires meticulous configuration of the meta-learner to ensure </w:t>
            </w:r>
            <w:r w:rsidRPr="009E669E">
              <w:rPr>
                <w:rFonts w:ascii="Times New Roman" w:hAnsi="Times New Roman" w:cs="Times New Roman"/>
              </w:rPr>
              <w:lastRenderedPageBreak/>
              <w:t>it generalizes well and does not simply overfit to the predictions of the most dominant base model; ignores raw inter-modality feature interactions at the primary training level.</w:t>
            </w:r>
          </w:p>
        </w:tc>
      </w:tr>
    </w:tbl>
    <w:p w:rsidR="00BE767C" w:rsidRPr="009E669E" w:rsidRDefault="00BE767C" w:rsidP="00A3695E">
      <w:pPr>
        <w:pStyle w:val="BodyText"/>
        <w:spacing w:line="360" w:lineRule="auto"/>
        <w:jc w:val="center"/>
        <w:rPr>
          <w:rFonts w:ascii="Times New Roman" w:hAnsi="Times New Roman" w:cs="Times New Roman"/>
        </w:rPr>
      </w:pPr>
      <w:r w:rsidRPr="009E669E">
        <w:rPr>
          <w:rFonts w:ascii="Times New Roman" w:hAnsi="Times New Roman" w:cs="Times New Roman"/>
          <w:bCs/>
        </w:rPr>
        <w:lastRenderedPageBreak/>
        <w:t>Table 2.1: Critical Evaluation of Multi-</w:t>
      </w:r>
      <w:proofErr w:type="spellStart"/>
      <w:r w:rsidRPr="009E669E">
        <w:rPr>
          <w:rFonts w:ascii="Times New Roman" w:hAnsi="Times New Roman" w:cs="Times New Roman"/>
          <w:bCs/>
        </w:rPr>
        <w:t>Omics</w:t>
      </w:r>
      <w:proofErr w:type="spellEnd"/>
      <w:r w:rsidRPr="009E669E">
        <w:rPr>
          <w:rFonts w:ascii="Times New Roman" w:hAnsi="Times New Roman" w:cs="Times New Roman"/>
          <w:bCs/>
        </w:rPr>
        <w:t xml:space="preserve"> Integration Architectures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theoretical underpinnings of advanced late fusion, particularly stacking algorithms, were formalized by Wolpert. His foundational work emphasizes the immense capacity of meta-learners to optimally synthesize diverse predictive hypotheses generated by specialized base models, thereby significantly enhancing overall model generalizability on unseen data [37]. Given the extreme dimensionality and distinct statistical distributions inherent to disparate omics platforms (e.g., continuous microarray intensities versus discrete copy number states), late fusion strategies are increasingly recognized as being particularly well-suited for heterogeneous biomedical datasets, effectively insulating the final decision mechanism from overwhelming feature-level noise.</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0" w:name="X1c4f79a07e0fb0f7c132488454b32365aa91915"/>
      <w:bookmarkEnd w:id="9"/>
      <w:r w:rsidRPr="009E669E">
        <w:rPr>
          <w:rFonts w:ascii="Times New Roman" w:hAnsi="Times New Roman" w:cs="Times New Roman"/>
          <w:b/>
          <w:color w:val="auto"/>
          <w:sz w:val="24"/>
        </w:rPr>
        <w:t>2.4 Dimensionality Reduction and Feature Selection in High-Dimensional Omics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 xml:space="preserve">The inherently high-dimensional nature of multi-omics data introduces profound computational and statistical challenges. Contemporary datasets are typically characterized by tens of thousands of molecular features juxtaposed against a highly limited number of patient samples (the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n</m:t>
        </m:r>
      </m:oMath>
      <w:r w:rsidRPr="009E669E">
        <w:rPr>
          <w:rFonts w:ascii="Times New Roman" w:hAnsi="Times New Roman" w:cs="Times New Roman"/>
        </w:rPr>
        <w:t xml:space="preserve"> problem). This massive disparity introduces the curse of dimensionality, wherein the predictive </w:t>
      </w:r>
      <w:r w:rsidRPr="009E669E">
        <w:rPr>
          <w:rFonts w:ascii="Times New Roman" w:hAnsi="Times New Roman" w:cs="Times New Roman"/>
        </w:rPr>
        <w:lastRenderedPageBreak/>
        <w:t>space becomes so vast and sparse that models inevitably memorize random noise rather than discovering true biological signals. Consequently, rigorous, mathematically sound dimensionality reduction and robust feature selection are non-negotiable prerequisites for the development of generalizable machine learning models in oncology.</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Feature selection methodologies are systematically categorized into three broad frameworks:</w:t>
      </w:r>
    </w:p>
    <w:p w:rsidR="00616761" w:rsidRPr="009E669E" w:rsidRDefault="00530AB9" w:rsidP="00A3695E">
      <w:pPr>
        <w:pStyle w:val="Compact"/>
        <w:numPr>
          <w:ilvl w:val="0"/>
          <w:numId w:val="6"/>
        </w:numPr>
        <w:spacing w:line="360" w:lineRule="auto"/>
        <w:jc w:val="both"/>
        <w:rPr>
          <w:rFonts w:ascii="Times New Roman" w:hAnsi="Times New Roman" w:cs="Times New Roman"/>
        </w:rPr>
      </w:pPr>
      <w:r w:rsidRPr="009E669E">
        <w:rPr>
          <w:rFonts w:ascii="Times New Roman" w:hAnsi="Times New Roman" w:cs="Times New Roman"/>
          <w:b/>
          <w:bCs/>
        </w:rPr>
        <w:t>Filter Methods:</w:t>
      </w:r>
      <w:r w:rsidRPr="009E669E">
        <w:rPr>
          <w:rFonts w:ascii="Times New Roman" w:hAnsi="Times New Roman" w:cs="Times New Roman"/>
        </w:rPr>
        <w:t xml:space="preserve"> These represent the most computationally efficient approach. Filter methods evaluate the intrinsic statistical properties of individual features entirely independent of any downstream predictive algorithm. Techniques range from simple variance thresholds and Analysis of Variance (ANOVA) to more sophisticated information-theoretic measures such as Mutual Information (MI), which evaluate feature relevance based on univariate or bivariate statistics. The Minimum Redundancy Maximum Relevance (mRMR) framework developed by Peng et al. remains a cornerstone in this domain. mRMR systematically selects features that are highly correlated with the target clinical variable while mathematically minimizing inter-feature correlations, thereby significantly enhancing the discriminative power and unique information content of the selected subset [36].</w:t>
      </w:r>
    </w:p>
    <w:p w:rsidR="00616761" w:rsidRPr="009E669E" w:rsidRDefault="00530AB9" w:rsidP="00A3695E">
      <w:pPr>
        <w:pStyle w:val="Compact"/>
        <w:numPr>
          <w:ilvl w:val="0"/>
          <w:numId w:val="6"/>
        </w:numPr>
        <w:spacing w:line="360" w:lineRule="auto"/>
        <w:jc w:val="both"/>
        <w:rPr>
          <w:rFonts w:ascii="Times New Roman" w:hAnsi="Times New Roman" w:cs="Times New Roman"/>
        </w:rPr>
      </w:pPr>
      <w:r w:rsidRPr="009E669E">
        <w:rPr>
          <w:rFonts w:ascii="Times New Roman" w:hAnsi="Times New Roman" w:cs="Times New Roman"/>
          <w:b/>
          <w:bCs/>
        </w:rPr>
        <w:t>Wrapper Methods:</w:t>
      </w:r>
      <w:r w:rsidRPr="009E669E">
        <w:rPr>
          <w:rFonts w:ascii="Times New Roman" w:hAnsi="Times New Roman" w:cs="Times New Roman"/>
        </w:rPr>
        <w:t xml:space="preserve"> In stark contrast to filter methods, wrappers utilize the actual predictive performance of a specific, targeted machine learning model as the explicit evaluation criterion for feature subsets. While wrapper methods are theoretically capable of identifying optimal feature combinations that capture highly complex, non-linear biological interactions, they are computationally prohibitive for genome-wide analyses involving tens of thousands of features. Furthermore, wrapper methods are notoriously prone to severe overfitting, particularly when applied to the relatively small sample sizes typical of biomedical datasets.</w:t>
      </w:r>
    </w:p>
    <w:p w:rsidR="00616761" w:rsidRPr="009E669E" w:rsidRDefault="00530AB9" w:rsidP="00A3695E">
      <w:pPr>
        <w:pStyle w:val="Compact"/>
        <w:numPr>
          <w:ilvl w:val="0"/>
          <w:numId w:val="6"/>
        </w:numPr>
        <w:spacing w:line="360" w:lineRule="auto"/>
        <w:jc w:val="both"/>
        <w:rPr>
          <w:rFonts w:ascii="Times New Roman" w:hAnsi="Times New Roman" w:cs="Times New Roman"/>
        </w:rPr>
      </w:pPr>
      <w:r w:rsidRPr="009E669E">
        <w:rPr>
          <w:rFonts w:ascii="Times New Roman" w:hAnsi="Times New Roman" w:cs="Times New Roman"/>
          <w:b/>
          <w:bCs/>
        </w:rPr>
        <w:t>Embedded Methods:</w:t>
      </w:r>
      <w:r w:rsidRPr="009E669E">
        <w:rPr>
          <w:rFonts w:ascii="Times New Roman" w:hAnsi="Times New Roman" w:cs="Times New Roman"/>
        </w:rPr>
        <w:t xml:space="preserve"> Embedded techniques offer a pragmatic and highly effective compromise by intricately incorporating the feature selection mechanism directly into the model training and optimization process. The Least Absolute Shrinkage and Selection Operator (LASSO), introduced by Tibshirani, is a canonical example. LASSO applies L1 mathematical regularization to heavily penalize the absolute magnitude of regression coefficients during optimization, effectively driving the coefficients of less informative or </w:t>
      </w:r>
      <w:r w:rsidRPr="009E669E">
        <w:rPr>
          <w:rFonts w:ascii="Times New Roman" w:hAnsi="Times New Roman" w:cs="Times New Roman"/>
        </w:rPr>
        <w:lastRenderedPageBreak/>
        <w:t>redundant features exactly to zero. This process inherently yields highly sparse, biologically interpretable models [22]. Furthermore, advanced tree-based algorithms, including Random Forests and Gradient Boosting Machines, inherently perform a form of embedded feature selection by evaluating the decrease in impurity (e.g., Gini impurity) or node variance at every split during the iterative construction of the decision trees [18, 34].</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Recent methodological advancements in computational biology strongly advocate for consensus or multi-stage feature selection frameworks. These advanced architectures systematically combine multiple, diverse filtering and embedded techniques sequentially or in parallel. This consensus approach is designed to overcome the inherent mathematical biases and limitations intrinsic to individual algorithms. The deployment of robust consensus filtering strategies ensures that the selected biological markers exhibit strong predictive utility across diverse algorithmic contexts, thereby significantly enhancing the reproducibility, stability, and potential clinical translation of the identified genomic signatures [22].</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1" w:name="X0904e81907468ee03afc0aa2c0ae50172a1f9de"/>
      <w:bookmarkEnd w:id="10"/>
      <w:r w:rsidRPr="009E669E">
        <w:rPr>
          <w:rFonts w:ascii="Times New Roman" w:hAnsi="Times New Roman" w:cs="Times New Roman"/>
          <w:b/>
          <w:color w:val="auto"/>
          <w:sz w:val="24"/>
        </w:rPr>
        <w:t>2.5 The Class Imbalance Problem and Data Leakage in Biomedical ML</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A pervasive, critical, and frequently inadequately addressed challenge in applied biomedical machine learning is the extreme class imbalance inherent to real-world clinical datasets. In oncology, rare molecular subtypes, distinct histological variants (such as ILC), or specific adverse disease outcomes are often significantly underrepresented compared to the majority clinical classes. Standard machine learning classification algorithms are fundamentally designed to minimize overall error rates globally across the dataset. Consequently, they inherently bias their internal decision boundaries toward the prevalent majority class, frequently resulting in high overall accuracy but unacceptably low sensitivity (recall) for the rare, yet clinically critical, minority classes.</w:t>
      </w:r>
    </w:p>
    <w:p w:rsidR="00BE767C"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To rigorously mitigate this phenomenon, researchers have developed an array of sophisticated resampling techniques, predominantly focusing on intelligent synthetic data generation rather than simplistic random oversampling, which merely duplicates existing data and exacerbates </w:t>
      </w:r>
      <w:proofErr w:type="spellStart"/>
      <w:r w:rsidRPr="009E669E">
        <w:rPr>
          <w:rFonts w:ascii="Times New Roman" w:hAnsi="Times New Roman" w:cs="Times New Roman"/>
        </w:rPr>
        <w:t>overfitting</w:t>
      </w:r>
      <w:proofErr w:type="spellEnd"/>
      <w:r w:rsidRPr="009E669E">
        <w:rPr>
          <w:rFonts w:ascii="Times New Roman" w:hAnsi="Times New Roman" w:cs="Times New Roman"/>
        </w:rPr>
        <w:t>.</w:t>
      </w:r>
    </w:p>
    <w:p w:rsidR="00616761" w:rsidRPr="009E669E" w:rsidRDefault="00530AB9" w:rsidP="00A3695E">
      <w:pPr>
        <w:pStyle w:val="Compact"/>
        <w:numPr>
          <w:ilvl w:val="0"/>
          <w:numId w:val="7"/>
        </w:numPr>
        <w:spacing w:line="360" w:lineRule="auto"/>
        <w:jc w:val="both"/>
        <w:rPr>
          <w:rFonts w:ascii="Times New Roman" w:hAnsi="Times New Roman" w:cs="Times New Roman"/>
        </w:rPr>
      </w:pPr>
      <w:r w:rsidRPr="009E669E">
        <w:rPr>
          <w:rFonts w:ascii="Times New Roman" w:hAnsi="Times New Roman" w:cs="Times New Roman"/>
          <w:b/>
          <w:bCs/>
        </w:rPr>
        <w:t>SMOTE (Synthetic Minority Over-sampling Technique):</w:t>
      </w:r>
      <w:r w:rsidRPr="009E669E">
        <w:rPr>
          <w:rFonts w:ascii="Times New Roman" w:hAnsi="Times New Roman" w:cs="Times New Roman"/>
        </w:rPr>
        <w:t xml:space="preserve"> Conceptualized by Chawla et al., SMOTE revolutionized the handling of imbalanced datasets. Rather than </w:t>
      </w:r>
      <w:r w:rsidRPr="009E669E">
        <w:rPr>
          <w:rFonts w:ascii="Times New Roman" w:hAnsi="Times New Roman" w:cs="Times New Roman"/>
        </w:rPr>
        <w:lastRenderedPageBreak/>
        <w:t>duplicating raw data, SMOTE mathematically interpolates entirely new, synthetic minority class instances along the line segments connecting existing minority class nearest neighbors within the high-dimensional feature space [33].</w:t>
      </w:r>
    </w:p>
    <w:p w:rsidR="00616761" w:rsidRPr="009E669E" w:rsidRDefault="00530AB9" w:rsidP="00A3695E">
      <w:pPr>
        <w:pStyle w:val="Compact"/>
        <w:numPr>
          <w:ilvl w:val="0"/>
          <w:numId w:val="7"/>
        </w:numPr>
        <w:spacing w:line="360" w:lineRule="auto"/>
        <w:jc w:val="both"/>
        <w:rPr>
          <w:rFonts w:ascii="Times New Roman" w:hAnsi="Times New Roman" w:cs="Times New Roman"/>
        </w:rPr>
      </w:pPr>
      <w:r w:rsidRPr="009E669E">
        <w:rPr>
          <w:rFonts w:ascii="Times New Roman" w:hAnsi="Times New Roman" w:cs="Times New Roman"/>
          <w:b/>
          <w:bCs/>
        </w:rPr>
        <w:t>ADASYN (Adaptive Synthetic Sampling):</w:t>
      </w:r>
      <w:r w:rsidRPr="009E669E">
        <w:rPr>
          <w:rFonts w:ascii="Times New Roman" w:hAnsi="Times New Roman" w:cs="Times New Roman"/>
        </w:rPr>
        <w:t xml:space="preserve"> Subsequent algorithmic refinements, such as ADASYN proposed by He et al., dynamically adjust the density of synthetic generation based on the learning difficulty of specific minority instances. ADASYN focuses computational effort and synthetic generation specifically on the most precarious decision boundaries where misclassification is most likely [41].</w:t>
      </w:r>
    </w:p>
    <w:p w:rsidR="00616761" w:rsidRPr="009E669E" w:rsidRDefault="00530AB9" w:rsidP="00A3695E">
      <w:pPr>
        <w:pStyle w:val="Compact"/>
        <w:numPr>
          <w:ilvl w:val="0"/>
          <w:numId w:val="7"/>
        </w:numPr>
        <w:spacing w:line="360" w:lineRule="auto"/>
        <w:jc w:val="both"/>
        <w:rPr>
          <w:rFonts w:ascii="Times New Roman" w:hAnsi="Times New Roman" w:cs="Times New Roman"/>
        </w:rPr>
      </w:pPr>
      <w:r w:rsidRPr="009E669E">
        <w:rPr>
          <w:rFonts w:ascii="Times New Roman" w:hAnsi="Times New Roman" w:cs="Times New Roman"/>
        </w:rPr>
        <w:t xml:space="preserve">The comprehensive </w:t>
      </w:r>
      <w:r w:rsidRPr="009E669E">
        <w:rPr>
          <w:rStyle w:val="VerbatimChar"/>
          <w:rFonts w:ascii="Times New Roman" w:hAnsi="Times New Roman" w:cs="Times New Roman"/>
        </w:rPr>
        <w:t>imbalanced-learn</w:t>
      </w:r>
      <w:r w:rsidRPr="009E669E">
        <w:rPr>
          <w:rFonts w:ascii="Times New Roman" w:hAnsi="Times New Roman" w:cs="Times New Roman"/>
        </w:rPr>
        <w:t xml:space="preserve"> library subsequently standardized the implementation of these complex algorithms, facilitating their widespread, rigorous adoption in Python-based computational pipelines [42].</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b/>
          <w:bCs/>
        </w:rPr>
        <w:t>The Critical Peril of Data Leakage:</w:t>
      </w:r>
      <w:r w:rsidRPr="009E669E">
        <w:rPr>
          <w:rFonts w:ascii="Times New Roman" w:hAnsi="Times New Roman" w:cs="Times New Roman"/>
        </w:rPr>
        <w:t xml:space="preserve"> While synthetic oversampling is theoretically sound, its practical application is fraught with severe methodological pitfalls. The most insidious and catastrophic of these is data leakage during cross-validation procedures. Nadeau and Bengio have extensively documented the profound statistical implications of cross-validation on machine learning evaluation, highlighting the absolute necessity of strict, impermeable independence between training and validation data partitions [38].</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A critical, pervasive error frequently observed in biomedical literature involves applying oversampling algorithms (like SMOTE) to the </w:t>
      </w:r>
      <w:r w:rsidRPr="009E669E">
        <w:rPr>
          <w:rFonts w:ascii="Times New Roman" w:hAnsi="Times New Roman" w:cs="Times New Roman"/>
          <w:i/>
          <w:iCs/>
        </w:rPr>
        <w:t>entire</w:t>
      </w:r>
      <w:r w:rsidRPr="009E669E">
        <w:rPr>
          <w:rFonts w:ascii="Times New Roman" w:hAnsi="Times New Roman" w:cs="Times New Roman"/>
        </w:rPr>
        <w:t xml:space="preserve"> dataset </w:t>
      </w:r>
      <w:r w:rsidRPr="009E669E">
        <w:rPr>
          <w:rFonts w:ascii="Times New Roman" w:hAnsi="Times New Roman" w:cs="Times New Roman"/>
          <w:i/>
          <w:iCs/>
        </w:rPr>
        <w:t>prior</w:t>
      </w:r>
      <w:r w:rsidRPr="009E669E">
        <w:rPr>
          <w:rFonts w:ascii="Times New Roman" w:hAnsi="Times New Roman" w:cs="Times New Roman"/>
        </w:rPr>
        <w:t xml:space="preserve"> to executing train-test splits or cross-validation partitioning. This premature application invariably results in the synthetic derivatives of training samples bleeding into the validation fold. The model is subsequently evaluated on synthetic data that is mathematically derived from the exact same data it was trained on, artificially and massively inflating performance metrics and generating highly optimistic, completely non-generalizable models. To preserve the integrity of the scientific evaluation process, all resampling, feature selection, and data scaling operations must be strictly confined exclusively within the inner training loop of each cross-validation fold. This ensures that the validation data remains entirely pristine, unseen, and accurately reflects the model’s true predictive capacity on novel patient profiles [40].</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2" w:name="Xa9f3458046d8e97eb6a17986ca0cc74ff173bc0"/>
      <w:bookmarkEnd w:id="11"/>
      <w:r w:rsidRPr="009E669E">
        <w:rPr>
          <w:rFonts w:ascii="Times New Roman" w:hAnsi="Times New Roman" w:cs="Times New Roman"/>
          <w:b/>
          <w:color w:val="auto"/>
          <w:sz w:val="24"/>
        </w:rPr>
        <w:lastRenderedPageBreak/>
        <w:t>2.6 Explainable Artificial Intelligence in Computational Oncology</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rapid proliferation of highly complex, non-linear machine learning architectures (such as deep neural networks and stacked gradient boosting ensembles) in clinical decision support systems has precipitated a parallel, urgent demand for Explainable Artificial Intelligence (XAI). In computational oncology, where algorithmic decisions directly impact patient diagnosis, prognosis, and therapeutic strategy, the opacity of “black-box” models is fundamentally clinically unacceptable. Consequently, the integration of mathematically rigorous interpretability frameworks has become a central focus of modern bioinformatic research, bridging the gap between computational accuracy and clinical trust.</w:t>
      </w:r>
    </w:p>
    <w:p w:rsidR="00616761" w:rsidRPr="009E669E" w:rsidRDefault="00530AB9" w:rsidP="00A3695E">
      <w:pPr>
        <w:pStyle w:val="Compact"/>
        <w:numPr>
          <w:ilvl w:val="0"/>
          <w:numId w:val="8"/>
        </w:numPr>
        <w:spacing w:line="360" w:lineRule="auto"/>
        <w:jc w:val="both"/>
        <w:rPr>
          <w:rFonts w:ascii="Times New Roman" w:hAnsi="Times New Roman" w:cs="Times New Roman"/>
        </w:rPr>
      </w:pPr>
      <w:r w:rsidRPr="009E669E">
        <w:rPr>
          <w:rFonts w:ascii="Times New Roman" w:hAnsi="Times New Roman" w:cs="Times New Roman"/>
          <w:b/>
          <w:bCs/>
        </w:rPr>
        <w:t>LIME (Local Interpretable Model-agnostic Explanations):</w:t>
      </w:r>
      <w:r w:rsidRPr="009E669E">
        <w:rPr>
          <w:rFonts w:ascii="Times New Roman" w:hAnsi="Times New Roman" w:cs="Times New Roman"/>
        </w:rPr>
        <w:t xml:space="preserve"> The development of LIME by Ribeiro et al. provided a foundational mechanism for understanding complex, black-box model behaviors. LIME functions by approximating the highly complex decision boundary with a simple, linear, interpretable model localized specifically around individual predictions [35]. However, LIME’s localized, perturbation-based approximations sometimes lack theoretical guarantees of consistency and stability across diverse datasets.</w:t>
      </w:r>
    </w:p>
    <w:p w:rsidR="00616761" w:rsidRPr="009E669E" w:rsidRDefault="00530AB9" w:rsidP="00A3695E">
      <w:pPr>
        <w:pStyle w:val="Compact"/>
        <w:numPr>
          <w:ilvl w:val="0"/>
          <w:numId w:val="8"/>
        </w:numPr>
        <w:spacing w:line="360" w:lineRule="auto"/>
        <w:jc w:val="both"/>
        <w:rPr>
          <w:rFonts w:ascii="Times New Roman" w:hAnsi="Times New Roman" w:cs="Times New Roman"/>
        </w:rPr>
      </w:pPr>
      <w:r w:rsidRPr="009E669E">
        <w:rPr>
          <w:rFonts w:ascii="Times New Roman" w:hAnsi="Times New Roman" w:cs="Times New Roman"/>
          <w:b/>
          <w:bCs/>
        </w:rPr>
        <w:t>SHAP (SHapley Additive exPlanations):</w:t>
      </w:r>
      <w:r w:rsidRPr="009E669E">
        <w:rPr>
          <w:rFonts w:ascii="Times New Roman" w:hAnsi="Times New Roman" w:cs="Times New Roman"/>
        </w:rPr>
        <w:t xml:space="preserve"> To robustly address the theoretical limitations of LIME, Lundberg and Lee introduced the SHAP framework. SHAP leverages cooperative game theory to rigorously assign an exact, mathematically sound, additive importance value (Shapley value) to every single feature for a given prediction [2]. SHAP values ensure that the contribution of each omics feature is mathematically consistent, unique, and fairly distributed, providing unparalleled, granular insights into the complex biomolecular drivers of algorithmic predictions.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 xml:space="preserve">These advanced attribution methods are particularly potent when applied to powerful ensemble algorithms such as XGBoost and LightGBM. These algorithms utilize sophisticated gradient boosting frameworks to achieve state-of-the-art predictive performance on highly structured tabular biological data, often outperforming deep learning in these specific domains [18, 34]. The theoretical foundations of these dominant models trace back to foundational works in boosting algorithms, such as AdaBoost, which elegantly demonstrated the efficacy of iteratively combining weak learners to form a highly accurate, robust ensemble [18]. Similarly, </w:t>
      </w:r>
      <w:r w:rsidRPr="009E669E">
        <w:rPr>
          <w:rFonts w:ascii="Times New Roman" w:hAnsi="Times New Roman" w:cs="Times New Roman"/>
        </w:rPr>
        <w:lastRenderedPageBreak/>
        <w:t>advancements in Support Vector Machines, underpinned by rigorous statistical learning theory, have consistently provided robust, margin-maximizing baselines for high-dimensional classification tasks [25].</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Despite these significant advancements in XAI, a profound gap remains in the layer-level attribution of complex meta-learners operating on highly heterogeneous multi-omics data. While SHAP accurately quantifies the ultimate, flat feature contributions, mathematically tracing these attributions through intermediate fusion layers or stacked ensemble meta-features remains computationally challenging. Developing frameworks to explicitly quantify the aggregate predictive value of entire omics modalities (e.g., “How much did the epigenome matter?”) represents a critical frontier for ongoing research in interpretable computational oncology, and is a key focus of the proposed methodology in this thesis.</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3" w:name="comparative-analysis-of-related-studies"/>
      <w:bookmarkEnd w:id="12"/>
      <w:r w:rsidRPr="009E669E">
        <w:rPr>
          <w:rFonts w:ascii="Times New Roman" w:hAnsi="Times New Roman" w:cs="Times New Roman"/>
          <w:b/>
          <w:color w:val="auto"/>
          <w:sz w:val="24"/>
        </w:rPr>
        <w:t>2.7 Comparative Analysis of Related Studies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A systematic, critical review of contemporary bioinformatics literature reveals a highly dynamic landscape characterized by rapid methodological innovation. However, persistent, widespread challenges regarding rigorous data integration, strict validation protocols, and true biological interpretability remain highly prevalent, often hindering clinical translation.</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Early foundational studies predominantly relied on single-modality transcriptomic data, utilizing established algorithms like Random Forests to achieve robust baseline classifications. While effective, these early models inherently lacked the comprehensive molecular context provided by multi-omics integration [19]. The subsequent integration of genomics, epigenomics, and proteomics significantly expanded the available feature space, prompting the widespread, often uncritical, adoption of highly sophisticated deep learning frameworks. These architectures are theoretically capable of capturing hierarchical, non-linear interactions across diverse biological modalities [19].</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However, as robustly highlighted by Picard et al. in their extensive benchmarking of machine learning models for clinical data, the vastly increased mathematical complexity of these deep learning architectures does not universally translate to superior predictive performance over meticulously optimized, tree-based gradient boosting ensembles. This is particularly true when operating on the structured, tabular omics datasets characteristic of TCGA cohorts [39]. </w:t>
      </w:r>
      <w:r w:rsidRPr="009E669E">
        <w:rPr>
          <w:rFonts w:ascii="Times New Roman" w:hAnsi="Times New Roman" w:cs="Times New Roman"/>
        </w:rPr>
        <w:lastRenderedPageBreak/>
        <w:t>Furthermore, many contemporary multi-omics studies continue to struggle with implementing rigorous validation protocols, frequently falling victim to the subtle data leakage traps detailed extensively by Warner et al., particularly when mishandling the severe class imbalances inherent to rare molecular subtypes [29].</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application of XAI in these contexts has also largely been superficial, with many computational frameworks offering basic, post-hoc global feature importance metrics (like Gini importance) but utterly failing to provide the granular, patient-specific mechanistic insights required for actual clinical translation. The absolute necessity for rigorous consensus filtering and the strict separation of complex data processing pipelines within inner cross-validation loops is increasingly recognized as critical for ensuring computational reproducibility and genuine biological discovery [45]. Table 2.2 provides a comprehensive comparative analysis of pivotal studies, mapping the trajectory of the field and contextualizing the critical gaps addressed by the present research.</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16761" w:rsidRPr="009E669E" w:rsidTr="00BE767C">
        <w:trPr>
          <w:cnfStyle w:val="100000000000" w:firstRow="1" w:lastRow="0" w:firstColumn="0" w:lastColumn="0" w:oddVBand="0" w:evenVBand="0" w:oddHBand="0" w:evenHBand="0" w:firstRowFirstColumn="0" w:firstRowLastColumn="0" w:lastRowFirstColumn="0" w:lastRowLastColumn="0"/>
          <w:tblHeader/>
        </w:trPr>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Ref</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Author &amp; Year</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Primary Focus Area</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Key Methodological Findings</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Identified Limitations &amp; Research Gaps</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[27]</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TCGA (2012)</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Multi-omics profiling</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Provided the first comprehensive multi-dimensional molecular portraits of human breast tumors.</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The study is primarily descriptive; it inherently lacks the development of predictive machine learning modeling frameworks.</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[17]</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Lundberg (2017)</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Explainable AI (XAI)</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Developed a unified, game-theoretic framework for interpreting </w:t>
            </w:r>
            <w:r w:rsidRPr="009E669E">
              <w:rPr>
                <w:rFonts w:ascii="Times New Roman" w:hAnsi="Times New Roman" w:cs="Times New Roman"/>
              </w:rPr>
              <w:lastRenderedPageBreak/>
              <w:t>complex model predictions (SHAP).</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 xml:space="preserve">High computational cost and complexity when scaling to </w:t>
            </w:r>
            <w:r w:rsidRPr="009E669E">
              <w:rPr>
                <w:rFonts w:ascii="Times New Roman" w:hAnsi="Times New Roman" w:cs="Times New Roman"/>
              </w:rPr>
              <w:lastRenderedPageBreak/>
              <w:t>exceedingly large, highly integrated multi-omics datasets.</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[33]</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Chawla (2002)</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Class Imbalance</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Introduced SMOTE for synthetic minority oversampling to handle skewed distributions.</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Can generate noisy, unrealistic samples if applied indiscriminately near highly overlapping decision boundaries.</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[34]</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Chen (2016)</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Algorithm Design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Developed XGBoost: a highly scalable, optimized tree gradient boosting system.</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Requires meticulous, extensive hyperparameter tuning to prevent severe overfitting on noisy biological data.</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[18]</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Ke (2017)</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Algorithm Design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Developed LightGBM: a highly efficient gradient boosting framework using histogram </w:t>
            </w:r>
            <w:r w:rsidRPr="009E669E">
              <w:rPr>
                <w:rFonts w:ascii="Times New Roman" w:hAnsi="Times New Roman" w:cs="Times New Roman"/>
              </w:rPr>
              <w:lastRenderedPageBreak/>
              <w:t>binning.</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 xml:space="preserve">Remains prone to overfitting on very small biological sample sizes without strict </w:t>
            </w:r>
            <w:r w:rsidRPr="009E669E">
              <w:rPr>
                <w:rFonts w:ascii="Times New Roman" w:hAnsi="Times New Roman" w:cs="Times New Roman"/>
              </w:rPr>
              <w:lastRenderedPageBreak/>
              <w:t>mathematical regularization.</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[43]</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Ciriello (2015)</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Molecular Subtyping</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Executed deep genomic characterization specifically of invasive lobular carcinoma.</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Focused heavily on a single histological subtype; limited generalizability to broader, pan-cancer diagnostic frameworks.</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[38]</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Nadeau (2003)</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Model Validation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Established statistical inference rules for evaluating generalization error in cross-validation.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The theoretical framework lacks modern guidelines specifically tailored to complex deep learning or stacked ensemble evaluation.</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[44]</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Gevaert (2018)</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Data Integration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Reviewed multi-omics data integration strategies in oncology.</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Identified the curse of dimensionality as a major, persistent barrier severely limiting early fusion </w:t>
            </w:r>
            <w:r w:rsidRPr="009E669E">
              <w:rPr>
                <w:rFonts w:ascii="Times New Roman" w:hAnsi="Times New Roman" w:cs="Times New Roman"/>
              </w:rPr>
              <w:lastRenderedPageBreak/>
              <w:t>integration success.</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[36]</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Peng (2005)</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Feature Selection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Formulated the Minimum Redundancy Maximum Relevance (mRMR) filter framework.</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Proves extremely computationally intensive when utilized for genome-wide feature evaluation involving tens of thousands of transcripts.</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[35]</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Ribeiro (2016)</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Explainable AI (XAI)</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Introduced LIME for local, model-agnostic explanations of complex classifiers.</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The local linear approximations generated can be mathematically inconsistent across highly similar biological samples.</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[37]</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Wolpert (1992)</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Algorithm Design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Formalized the stacked generalization (Stacking) ensemble framework for meta-learning.</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Highly prone to extreme, catastrophic overfitting if the chosen meta-learner is excessively </w:t>
            </w:r>
            <w:r w:rsidRPr="009E669E">
              <w:rPr>
                <w:rFonts w:ascii="Times New Roman" w:hAnsi="Times New Roman" w:cs="Times New Roman"/>
              </w:rPr>
              <w:lastRenderedPageBreak/>
              <w:t>complex relative to the data.</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[39]</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Picard (2021)</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Benchmarking</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Conducted massive benchmarking of machine learning models exclusively on clinical data.</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Empirically demonstrated that tabular Deep Learning rarely outperforms finely optimized tree ensembles in this specific domain.</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[40]</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Warner (2017)</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Methodology</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Documented severe accuracy flaws in biomedical machine learning due to pervasive data leakage.</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Highlights widespread validation errors in the literature but offers few novel, automated algorithmic solutions to prevent them.</w:t>
            </w:r>
          </w:p>
        </w:tc>
      </w:tr>
      <w:tr w:rsidR="00616761" w:rsidRPr="009E669E" w:rsidTr="00BE767C">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[45]</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Baria (2024)</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Feature Selection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Proposed consensus filtering strategies for robust multi-omics biomarker discovery.</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Requires highly significant computational resources and prolonged training times for iterative </w:t>
            </w:r>
            <w:r w:rsidRPr="009E669E">
              <w:rPr>
                <w:rFonts w:ascii="Times New Roman" w:hAnsi="Times New Roman" w:cs="Times New Roman"/>
              </w:rPr>
              <w:lastRenderedPageBreak/>
              <w:t>consensus evaluation.</w:t>
            </w:r>
          </w:p>
        </w:tc>
      </w:tr>
    </w:tbl>
    <w:p w:rsidR="00BE767C" w:rsidRPr="009E669E" w:rsidRDefault="00BE767C" w:rsidP="00A3695E">
      <w:pPr>
        <w:pStyle w:val="BodyText"/>
        <w:spacing w:line="360" w:lineRule="auto"/>
        <w:jc w:val="center"/>
        <w:rPr>
          <w:rFonts w:ascii="Times New Roman" w:hAnsi="Times New Roman" w:cs="Times New Roman"/>
          <w:i/>
          <w:iCs/>
        </w:rPr>
      </w:pPr>
      <w:r w:rsidRPr="009E669E">
        <w:rPr>
          <w:rFonts w:ascii="Times New Roman" w:hAnsi="Times New Roman" w:cs="Times New Roman"/>
          <w:bCs/>
        </w:rPr>
        <w:lastRenderedPageBreak/>
        <w:t>Table 2.2: Comparative Analysis of Key Literature in Breast Cancer Computational Oncology</w:t>
      </w:r>
    </w:p>
    <w:p w:rsidR="00616761" w:rsidRPr="009E669E" w:rsidRDefault="00530AB9" w:rsidP="00A3695E">
      <w:pPr>
        <w:pStyle w:val="BodyText"/>
        <w:spacing w:line="360" w:lineRule="auto"/>
        <w:jc w:val="both"/>
        <w:rPr>
          <w:rFonts w:ascii="Times New Roman" w:hAnsi="Times New Roman" w:cs="Times New Roman"/>
          <w:i/>
          <w:iCs/>
        </w:rPr>
      </w:pPr>
      <w:r w:rsidRPr="009E669E">
        <w:rPr>
          <w:rFonts w:ascii="Times New Roman" w:hAnsi="Times New Roman" w:cs="Times New Roman"/>
          <w:i/>
          <w:iCs/>
        </w:rPr>
        <w:t>(Note: Selected pivotal studies from the extensive literature review are presented here for brevity and maximal impact.)</w:t>
      </w:r>
    </w:p>
    <w:p w:rsidR="00BE767C" w:rsidRPr="009E669E" w:rsidRDefault="00BE767C" w:rsidP="00A3695E">
      <w:pPr>
        <w:pStyle w:val="BodyText"/>
        <w:spacing w:line="360" w:lineRule="auto"/>
        <w:jc w:val="both"/>
        <w:rPr>
          <w:rFonts w:ascii="Times New Roman" w:hAnsi="Times New Roman" w:cs="Times New Roman"/>
          <w:sz w:val="12"/>
          <w:szCs w:val="12"/>
        </w:rPr>
      </w:pP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4" w:name="Xf7375fc41ca253d4c887f2b9cfe3ae48e69fd1b"/>
      <w:bookmarkEnd w:id="13"/>
      <w:r w:rsidRPr="009E669E">
        <w:rPr>
          <w:rFonts w:ascii="Times New Roman" w:hAnsi="Times New Roman" w:cs="Times New Roman"/>
          <w:b/>
          <w:color w:val="auto"/>
          <w:sz w:val="24"/>
        </w:rPr>
        <w:t>2.8 Identified Research Gaps and Motivation for the Present Study</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Despite the voluminous literature encompassing molecular subtyping, machine learning algorithm development, and multi-omics data integration, several highly critical research gaps remain unaddressed. These deficiencies severely hinder the robust clinical translation of computational oncology models.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Primarily, while advanced ensemble methods and deep learning architectures have demonstrated theoretically high predictive accuracy, their practical application is frequently marred by highly inadequate handling of extreme class imbalances. This oversight often results in systemic data leakage due to fundamentally flawed cross-validation protocols. The uncritical, pervasive application of synthetic oversampling techniques prior to strict data partitioning continues to massively inflate reported accuracies in contemporary literature, masking exceedingly poor generalization capabilities on unseen clinical populations.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Furthermore, while the absolute necessity of rigorous feature selection in high-dimensional omics space is universally acknowledged, the reliance on singular filtering or isolated embedded techniques often yields highly unstable, irreproducible biomarker signatures that completely fail to replicate across independent patient cohorts. The absence of robust, highly structured, multi-stage consensus feature selection frameworks severely limits the identification of truly generalizable, biologically real oncological drivers.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Lastly, the integration of Explainable Artificial Intelligence, though rapidly gaining traction, is largely relegated to superficial, post-hoc global analyses (e.g., producing a single, static chart of overall feature importance). There is a profound, critical scarcity of methodologies that deeply integrate rigorous, game-theoretic attributions (like SHAP) directly into the interpretation of intermediate and late-fusion multi-omics architectures. This failure leaves the intricate, cross-modality biological interactions fundamentally opaque to clinicians.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present study is explicitly and directly motivated by these critical methodological deficiencies. By meticulously designing a rigorous, completely leakage-free computational pipeline that seamlessly integrates strict cross-validation boundaries with adaptive SMOTE resampling, coupled with a novel multi-stage consensus feature selection framework and deeply integrated, cross-omics SHAP-based interpretability, this research aims to construct a highly accurate, biologically transparent, and definitively clinically generalizable multi-omics classification system tailored specifically for complex breast cancer molecular subtyping. </w:t>
      </w: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BE767C" w:rsidRPr="009E669E" w:rsidRDefault="00BE767C" w:rsidP="00A3695E">
      <w:pPr>
        <w:pStyle w:val="BodyText"/>
        <w:spacing w:line="360" w:lineRule="auto"/>
        <w:jc w:val="both"/>
        <w:rPr>
          <w:rFonts w:ascii="Times New Roman" w:hAnsi="Times New Roman" w:cs="Times New Roman"/>
        </w:rPr>
      </w:pPr>
    </w:p>
    <w:p w:rsidR="00616761" w:rsidRPr="009E669E" w:rsidRDefault="00530AB9" w:rsidP="00A3695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lastRenderedPageBreak/>
        <w:t>CHAPTER III</w:t>
      </w:r>
    </w:p>
    <w:p w:rsidR="002D122D" w:rsidRDefault="00530AB9" w:rsidP="009408D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t>Methodology</w:t>
      </w:r>
      <w:bookmarkStart w:id="15" w:name="overview-of-the-proposed-framework"/>
      <w:bookmarkEnd w:id="14"/>
    </w:p>
    <w:p w:rsidR="002D122D" w:rsidRPr="002D122D" w:rsidRDefault="002D122D" w:rsidP="009408DE">
      <w:pPr>
        <w:pStyle w:val="BodyText"/>
        <w:spacing w:line="360" w:lineRule="auto"/>
        <w:jc w:val="center"/>
        <w:rPr>
          <w:rFonts w:ascii="Times New Roman" w:hAnsi="Times New Roman" w:cs="Times New Roman"/>
          <w:b/>
          <w:sz w:val="2"/>
          <w:szCs w:val="2"/>
        </w:rPr>
      </w:pPr>
    </w:p>
    <w:p w:rsidR="00616761" w:rsidRDefault="00530AB9" w:rsidP="002D122D">
      <w:pPr>
        <w:pStyle w:val="BodyText"/>
        <w:spacing w:line="360" w:lineRule="auto"/>
        <w:rPr>
          <w:rFonts w:ascii="Times New Roman" w:hAnsi="Times New Roman" w:cs="Times New Roman"/>
          <w:b/>
        </w:rPr>
      </w:pPr>
      <w:r w:rsidRPr="009E669E">
        <w:rPr>
          <w:rFonts w:ascii="Times New Roman" w:hAnsi="Times New Roman" w:cs="Times New Roman"/>
          <w:b/>
        </w:rPr>
        <w:t>3.1 Overview of the Proposed Framework</w:t>
      </w:r>
    </w:p>
    <w:p w:rsidR="00616761" w:rsidRPr="009E669E" w:rsidRDefault="002D122D" w:rsidP="0047136C">
      <w:pPr>
        <w:pStyle w:val="BodyText"/>
        <w:spacing w:line="360" w:lineRule="auto"/>
        <w:jc w:val="both"/>
        <w:rPr>
          <w:rFonts w:ascii="Times New Roman" w:hAnsi="Times New Roman" w:cs="Times New Roman"/>
        </w:rPr>
      </w:pPr>
      <w:r w:rsidRPr="009E669E">
        <w:rPr>
          <w:rFonts w:ascii="Times New Roman" w:hAnsi="Times New Roman" w:cs="Times New Roman"/>
        </w:rPr>
        <w:t>The fundamental objective of the comprehensive research methodology articulated within this chapter is to meticulously delineate a highly robust, mathematically rigorous, and theoretically sound computational framework. This framework is specifically and purposefully engineered for the accurate classification, deep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integration, and transparent biological interpretability of breast cancer histological subtypes, specifically focusing on the complex discrimination between Invasive Ductal Carcinoma (IDC) and Invasive Lobular Carcinoma (ILC) [43].</w:t>
      </w:r>
      <w:r w:rsidR="0047136C" w:rsidRPr="0047136C">
        <w:rPr>
          <w:rFonts w:ascii="Times New Roman" w:hAnsi="Times New Roman" w:cs="Times New Roman"/>
        </w:rPr>
        <w:t xml:space="preserve"> </w:t>
      </w:r>
      <w:r w:rsidR="0047136C" w:rsidRPr="0047136C">
        <w:rPr>
          <w:rFonts w:ascii="Times New Roman" w:hAnsi="Times New Roman" w:cs="Times New Roman"/>
        </w:rPr>
        <w:drawing>
          <wp:inline distT="0" distB="0" distL="0" distR="0" wp14:anchorId="684086C9" wp14:editId="0E7FC7AE">
            <wp:extent cx="6214533" cy="4655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214533" cy="4655185"/>
                    </a:xfrm>
                    <a:prstGeom prst="rect">
                      <a:avLst/>
                    </a:prstGeom>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CC2E29" w:rsidRPr="009E669E">
        <w:rPr>
          <w:rFonts w:ascii="Times New Roman" w:hAnsi="Times New Roman" w:cs="Times New Roman"/>
        </w:rPr>
        <w:t xml:space="preserve"> 3.1</w:t>
      </w:r>
      <w:r w:rsidRPr="009E669E">
        <w:rPr>
          <w:rFonts w:ascii="Times New Roman" w:hAnsi="Times New Roman" w:cs="Times New Roman"/>
        </w:rPr>
        <w:t>: System Architecture</w:t>
      </w:r>
    </w:p>
    <w:p w:rsidR="009F3B23" w:rsidRPr="009E669E" w:rsidRDefault="009F3B23" w:rsidP="009F3B23">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In the rapidly evolving landscape of contemporary computational oncology, the successful integration of diverse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data modalities represents a monumental paradigm shift. This shift transitions research away from isolated, single-modality analyses (which often miss the broader biological context) toward a holistic, systems biology perspective that is capable of capturing the intricate molecular heterogeneity inherent in highly complex malignancies [19].</w:t>
      </w:r>
    </w:p>
    <w:p w:rsidR="009F3B23" w:rsidRDefault="009F3B23"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proposed methodological architecture is fundamentally predicated upon a carefully designed, multi-stage, sequential processing pipeline. This pipeline seamlessly integrates several highly advanced computational components: * </w:t>
      </w:r>
      <w:r w:rsidRPr="009E669E">
        <w:rPr>
          <w:rFonts w:ascii="Times New Roman" w:hAnsi="Times New Roman" w:cs="Times New Roman"/>
          <w:b/>
          <w:bCs/>
        </w:rPr>
        <w:t>High-Dimensional Data Harmonization:</w:t>
      </w:r>
      <w:r w:rsidRPr="009E669E">
        <w:rPr>
          <w:rFonts w:ascii="Times New Roman" w:hAnsi="Times New Roman" w:cs="Times New Roman"/>
        </w:rPr>
        <w:t xml:space="preserve"> Meticulous preprocessing and alignment of disparate molecular data structures. * </w:t>
      </w:r>
      <w:r w:rsidRPr="009E669E">
        <w:rPr>
          <w:rFonts w:ascii="Times New Roman" w:hAnsi="Times New Roman" w:cs="Times New Roman"/>
          <w:b/>
          <w:bCs/>
        </w:rPr>
        <w:t>Consensus-Based Feature Selection:</w:t>
      </w:r>
      <w:r w:rsidRPr="009E669E">
        <w:rPr>
          <w:rFonts w:ascii="Times New Roman" w:hAnsi="Times New Roman" w:cs="Times New Roman"/>
        </w:rPr>
        <w:t xml:space="preserve"> A novel, multi-stage funnel designed to isolate the most biologically relevant predictive markers. * </w:t>
      </w:r>
      <w:r w:rsidRPr="009E669E">
        <w:rPr>
          <w:rFonts w:ascii="Times New Roman" w:hAnsi="Times New Roman" w:cs="Times New Roman"/>
          <w:b/>
          <w:bCs/>
        </w:rPr>
        <w:t>Leak-Free Validation Protocols:</w:t>
      </w:r>
      <w:r w:rsidRPr="009E669E">
        <w:rPr>
          <w:rFonts w:ascii="Times New Roman" w:hAnsi="Times New Roman" w:cs="Times New Roman"/>
        </w:rPr>
        <w:t xml:space="preserve"> Strict cross-validation schemas incorporating intelligent synthetic minority oversampling (SMOTE) specifically isolated within the training loop. * </w:t>
      </w:r>
      <w:r w:rsidRPr="009E669E">
        <w:rPr>
          <w:rFonts w:ascii="Times New Roman" w:hAnsi="Times New Roman" w:cs="Times New Roman"/>
          <w:b/>
          <w:bCs/>
        </w:rPr>
        <w:t>Advanced Ensemble Machine Learning:</w:t>
      </w:r>
      <w:r w:rsidRPr="009E669E">
        <w:rPr>
          <w:rFonts w:ascii="Times New Roman" w:hAnsi="Times New Roman" w:cs="Times New Roman"/>
        </w:rPr>
        <w:t xml:space="preserve"> Deployment and rigorous comparison of a comprehensive portfolio of classification algorithms, ranging from robust linear baselines to sophisticated gradient boosting meta-learners. * </w:t>
      </w:r>
      <w:r w:rsidRPr="009E669E">
        <w:rPr>
          <w:rFonts w:ascii="Times New Roman" w:hAnsi="Times New Roman" w:cs="Times New Roman"/>
          <w:b/>
          <w:bCs/>
        </w:rPr>
        <w:t>Explainable Artificial Intelligence (XAI):</w:t>
      </w:r>
      <w:r w:rsidRPr="009E669E">
        <w:rPr>
          <w:rFonts w:ascii="Times New Roman" w:hAnsi="Times New Roman" w:cs="Times New Roman"/>
        </w:rPr>
        <w:t xml:space="preserve"> Integration of a state-of-the-art, Cross-</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SHAP layer attribution mechanism to provide absolute clinical transparency [2].</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By systematically synthesizing these diverse computational components into a unified, synergistic analytical continuum, the framework directly addresses several critical, pervasive challenges dominating current bioinformatics literature. Specifically, it offers robust mathematical solutions to the curse of high dimensionality, severe epidemiological class imbalance, the catastrophic risk of data leakage during model evaluation, and the notorious “black box” nature of complex predictive models that hinders clinical adoption.</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overarching workflow is systematically structured to initially ingest raw, heterogeneous multi-omics profiles, harmonizing the disparate data distributions and addressing missing values through robust statistical imputation strategies. Subsequent to this foundational data harmonization, the framework deploys the novel Three-Stage Consensus Feature Selection Funnel. This crucial dimensionality reduction step is absolutely paramount, not only for mitigating computational complexity and reducing the propensity for severe algorithmic </w:t>
      </w:r>
      <w:r w:rsidRPr="009E669E">
        <w:rPr>
          <w:rFonts w:ascii="Times New Roman" w:hAnsi="Times New Roman" w:cs="Times New Roman"/>
        </w:rPr>
        <w:lastRenderedPageBreak/>
        <w:t>overfitting but also for isolating a highly prognostic, biologically plausible subset of biomarkers that possess genuine clinical translation potential.</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Following the isolation of the optimal feature subspace, the protocol implements a meticulously designed, leak-free evaluation strategy. This strategy uniquely integrates the Synthetic Minority Over-sampling Technique (SMOTE) strictly within the inner loops of a stratified cross-validation schema [33, 38]. This specific architectural decision ensures that the synthetic instances generated to rectify the intrinsic epidemiological imbalance are synthesized exclusively from the training partitions. This preserves the absolute integrity of the validation sets and guarantees that the resulting performance metrics reflect true, out-of-sample generalization capabilities on novel patients.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core predictive engine is constituted by a diverse armamentarium of eight distinct machine learning classifiers, ranging from foundational linear models to highly complex gradient boosting ensembles and stacking meta-learners [37]. The deliberate selection of this diverse portfolio facilitates a comprehensive comparative analysis of predictive efficacy across varying degrees of model complexity and inherent inductive biases. Ultimately, the culmination of the framework is the integration of the Cross-Omics SHapley Additive exPlanations (SHAP) layer attribution mechanism. By systematically dissecting the complex interplay between different molecular layers, the methodology successfully bridges the critical gap between high-performance computational modeling and clinical interpretability, providing transparent, actionable insights into the specific molecular drivers differentiating breast cancer subtypes.</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6" w:name="X207785e2e32bea12cf6fbd6f3b11240143bf0ed"/>
      <w:bookmarkEnd w:id="15"/>
      <w:r w:rsidRPr="009E669E">
        <w:rPr>
          <w:rFonts w:ascii="Times New Roman" w:hAnsi="Times New Roman" w:cs="Times New Roman"/>
          <w:b/>
          <w:color w:val="auto"/>
          <w:sz w:val="24"/>
        </w:rPr>
        <w:lastRenderedPageBreak/>
        <w:t>3.2 Dataset Architecture and Multi-Omics Composition</w:t>
      </w:r>
    </w:p>
    <w:p w:rsidR="00616761" w:rsidRPr="009E669E" w:rsidRDefault="00530AB9"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256D325D" wp14:editId="6931DB7F">
            <wp:extent cx="5943600" cy="3677932"/>
            <wp:effectExtent l="0" t="0" r="0" b="0"/>
            <wp:docPr id="40" name="Picture" descr="Figure: Dataset Label Distribution"/>
            <wp:cNvGraphicFramePr/>
            <a:graphic xmlns:a="http://schemas.openxmlformats.org/drawingml/2006/main">
              <a:graphicData uri="http://schemas.openxmlformats.org/drawingml/2006/picture">
                <pic:pic xmlns:pic="http://schemas.openxmlformats.org/drawingml/2006/picture">
                  <pic:nvPicPr>
                    <pic:cNvPr id="41" name="Picture" descr="../outputs/figures/fig_02_label_dist.png"/>
                    <pic:cNvPicPr>
                      <a:picLocks noChangeAspect="1" noChangeArrowheads="1"/>
                    </pic:cNvPicPr>
                  </pic:nvPicPr>
                  <pic:blipFill>
                    <a:blip r:embed="rId9"/>
                    <a:stretch>
                      <a:fillRect/>
                    </a:stretch>
                  </pic:blipFill>
                  <pic:spPr bwMode="auto">
                    <a:xfrm>
                      <a:off x="0" y="0"/>
                      <a:ext cx="5943600" cy="3677932"/>
                    </a:xfrm>
                    <a:prstGeom prst="rect">
                      <a:avLst/>
                    </a:prstGeom>
                    <a:noFill/>
                    <a:ln w="9525">
                      <a:noFill/>
                      <a:headEnd/>
                      <a:tailEnd/>
                    </a:ln>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CC2E29" w:rsidRPr="009E669E">
        <w:rPr>
          <w:rFonts w:ascii="Times New Roman" w:hAnsi="Times New Roman" w:cs="Times New Roman"/>
        </w:rPr>
        <w:t xml:space="preserve"> 3.2</w:t>
      </w:r>
      <w:r w:rsidRPr="009E669E">
        <w:rPr>
          <w:rFonts w:ascii="Times New Roman" w:hAnsi="Times New Roman" w:cs="Times New Roman"/>
        </w:rPr>
        <w:t>: Dataset Label Distribution</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empirical foundation of the proposed analytical framework is firmly anchored in the utilization of a highly curated, multidimensional dataset extracted from The Cancer Genome Atlas Breast Invasive Carcinoma (TCGA-BRCA) project [27]. The TCGA represents a landmark, globally collaborative initiative in modern genomics. It provides an unprecedented, publicly accessible repository of high-throughput molecular profiles comprehensively characterized across thousands of tumor samples, thereby enabling researchers to conduct profound investigations into the genomic and epigenomic alterations underlying various malignancies.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For the specific analytical purposes of this investigation, which centers exclusively on the binary classification of the two most prevalent histological subtypes of breast cancer, the massive TCGA dataset was meticulously filtered. This strict filtration process ensured the inclusion of only patient cohorts diagnosed explicitly with either Invasive Ductal Carcinoma or Invasive Lobular Carcinoma [6]. The final consolidated cohort comprises a total of 705 highly characterized, distinct patient samples.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A critical epidemiological characteristic of this dataset, which perfectly mirrors the observed, real-world clinical prevalence of these subtypes in the general female population, is the profound class imbalance.</w:t>
      </w:r>
    </w:p>
    <w:tbl>
      <w:tblPr>
        <w:tblStyle w:val="Table"/>
        <w:tblW w:w="5000" w:type="pct"/>
        <w:tblLayout w:type="fixed"/>
        <w:tblLook w:val="0020" w:firstRow="1" w:lastRow="0" w:firstColumn="0" w:lastColumn="0" w:noHBand="0" w:noVBand="0"/>
      </w:tblPr>
      <w:tblGrid>
        <w:gridCol w:w="3192"/>
        <w:gridCol w:w="3192"/>
        <w:gridCol w:w="3192"/>
      </w:tblGrid>
      <w:tr w:rsidR="00616761" w:rsidRPr="009E669E" w:rsidTr="00BE767C">
        <w:trPr>
          <w:cnfStyle w:val="100000000000" w:firstRow="1" w:lastRow="0" w:firstColumn="0" w:lastColumn="0" w:oddVBand="0" w:evenVBand="0" w:oddHBand="0" w:evenHBand="0" w:firstRowFirstColumn="0" w:firstRowLastColumn="0" w:lastRowFirstColumn="0" w:lastRowLastColumn="0"/>
          <w:tblHeader/>
        </w:trPr>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Epidemiological Parameter</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Absolute Value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Percentage / Ratio</w:t>
            </w:r>
          </w:p>
        </w:tc>
      </w:tr>
      <w:tr w:rsidR="00616761" w:rsidRPr="009E669E" w:rsidTr="00BE767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Total Analyzed Cohort Size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705 distinct patient profiles</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100.0%</w:t>
            </w:r>
          </w:p>
        </w:tc>
      </w:tr>
      <w:tr w:rsidR="00616761" w:rsidRPr="009E669E" w:rsidTr="00BE767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Invasive Ductal Carcinoma (IDC)</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577 distinct patient samples</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81.8% of total cohort</w:t>
            </w:r>
          </w:p>
        </w:tc>
      </w:tr>
      <w:tr w:rsidR="00616761" w:rsidRPr="009E669E" w:rsidTr="00BE767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Invasive Lobular Carcinoma (ILC)</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128 distinct patient samples</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18.2% of total cohort</w:t>
            </w:r>
          </w:p>
        </w:tc>
      </w:tr>
      <w:tr w:rsidR="00616761" w:rsidRPr="009E669E" w:rsidTr="00BE767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Intrinsic Imbalance Ratio</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4.51 : 1 (IDC to ILC)</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N/A</w:t>
            </w:r>
          </w:p>
        </w:tc>
      </w:tr>
    </w:tbl>
    <w:p w:rsidR="00BE767C" w:rsidRPr="009E669E" w:rsidRDefault="00BE767C" w:rsidP="00A3695E">
      <w:pPr>
        <w:pStyle w:val="BodyText"/>
        <w:spacing w:line="360" w:lineRule="auto"/>
        <w:jc w:val="center"/>
        <w:rPr>
          <w:rFonts w:ascii="Times New Roman" w:hAnsi="Times New Roman" w:cs="Times New Roman"/>
        </w:rPr>
      </w:pPr>
      <w:r w:rsidRPr="009E669E">
        <w:rPr>
          <w:rFonts w:ascii="Times New Roman" w:hAnsi="Times New Roman" w:cs="Times New Roman"/>
          <w:bCs/>
        </w:rPr>
        <w:t>Table 3.1: TCGA-BRCA Dataset Composition and Class Distribution</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rigorous recognition and explicit computational handling of this profound intrinsic imbalance is a central tenet of the proposed methodology. It necessitates the mandatory deployment of specialized, mathematically sound sampling algorithms to prevent algorithmic bias toward the overwhelming majority class during the critical model training phase.</w:t>
      </w:r>
    </w:p>
    <w:p w:rsidR="00BE767C"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Beyond the demographic and diagnostic characterization of the patient cohort, the most prominent and powerful feature of the dataset is its comprehensive, deeply integrated multi-omics architecture. Unlike traditional biomedical studies that rely on a single, isolated source of molecular information, this research rigorously leverages the synergistic potential of four distinct yet interconnected biological modalities. This multi-layered approach provides a panoramic, high-resolution view of the tumor’s complex molecular landscape.</w:t>
      </w:r>
    </w:p>
    <w:tbl>
      <w:tblPr>
        <w:tblStyle w:val="Table"/>
        <w:tblW w:w="5000" w:type="pct"/>
        <w:tblLayout w:type="fixed"/>
        <w:tblLook w:val="0020" w:firstRow="1" w:lastRow="0" w:firstColumn="0" w:lastColumn="0" w:noHBand="0" w:noVBand="0"/>
      </w:tblPr>
      <w:tblGrid>
        <w:gridCol w:w="2394"/>
        <w:gridCol w:w="1674"/>
        <w:gridCol w:w="2790"/>
        <w:gridCol w:w="2718"/>
      </w:tblGrid>
      <w:tr w:rsidR="00616761" w:rsidRPr="009E669E" w:rsidTr="00BE767C">
        <w:trPr>
          <w:cnfStyle w:val="100000000000" w:firstRow="1" w:lastRow="0" w:firstColumn="0" w:lastColumn="0" w:oddVBand="0" w:evenVBand="0" w:oddHBand="0" w:evenHBand="0" w:firstRowFirstColumn="0" w:firstRowLastColumn="0" w:lastRowFirstColumn="0" w:lastRowLastColumn="0"/>
          <w:tblHeader/>
        </w:trPr>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Biological Modality</w:t>
            </w:r>
          </w:p>
        </w:tc>
        <w:tc>
          <w:tcPr>
            <w:tcW w:w="167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Feature Prefix</w:t>
            </w:r>
          </w:p>
        </w:tc>
        <w:tc>
          <w:tcPr>
            <w:tcW w:w="279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Biological Context &amp; Measurement</w:t>
            </w:r>
          </w:p>
        </w:tc>
        <w:tc>
          <w:tcPr>
            <w:tcW w:w="2718"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Purpose &amp; Diagnostic Value in Predictive Model</w:t>
            </w:r>
          </w:p>
        </w:tc>
      </w:tr>
      <w:tr w:rsidR="00616761" w:rsidRPr="009E669E" w:rsidTr="00BE767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Transcriptomic (mRNA)</w:t>
            </w:r>
          </w:p>
        </w:tc>
        <w:tc>
          <w:tcPr>
            <w:tcW w:w="1674" w:type="dxa"/>
          </w:tcPr>
          <w:p w:rsidR="00616761" w:rsidRPr="009E669E" w:rsidRDefault="00530AB9" w:rsidP="00A3695E">
            <w:pPr>
              <w:pStyle w:val="Compact"/>
              <w:spacing w:line="360" w:lineRule="auto"/>
              <w:jc w:val="both"/>
              <w:rPr>
                <w:rFonts w:ascii="Times New Roman" w:hAnsi="Times New Roman" w:cs="Times New Roman"/>
              </w:rPr>
            </w:pPr>
            <w:r w:rsidRPr="009E669E">
              <w:rPr>
                <w:rStyle w:val="VerbatimChar"/>
                <w:rFonts w:ascii="Times New Roman" w:hAnsi="Times New Roman" w:cs="Times New Roman"/>
              </w:rPr>
              <w:t>rs_</w:t>
            </w:r>
          </w:p>
        </w:tc>
        <w:tc>
          <w:tcPr>
            <w:tcW w:w="279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Quantifies the relative abundance of specific messenger RNA transcripts within the </w:t>
            </w:r>
            <w:r w:rsidRPr="009E669E">
              <w:rPr>
                <w:rFonts w:ascii="Times New Roman" w:hAnsi="Times New Roman" w:cs="Times New Roman"/>
              </w:rPr>
              <w:lastRenderedPageBreak/>
              <w:t>tumor tissue.</w:t>
            </w:r>
          </w:p>
        </w:tc>
        <w:tc>
          <w:tcPr>
            <w:tcW w:w="2718"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 xml:space="preserve">Provides highly dynamic insights into the active transcriptional programs driving cellular behavior; </w:t>
            </w:r>
            <w:r w:rsidRPr="009E669E">
              <w:rPr>
                <w:rFonts w:ascii="Times New Roman" w:hAnsi="Times New Roman" w:cs="Times New Roman"/>
              </w:rPr>
              <w:lastRenderedPageBreak/>
              <w:t>reflects the immediate, real-time functional state of the tumor cells.</w:t>
            </w:r>
          </w:p>
        </w:tc>
      </w:tr>
      <w:tr w:rsidR="00616761" w:rsidRPr="009E669E" w:rsidTr="00BE767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lastRenderedPageBreak/>
              <w:t>Proteomic (RPPA)</w:t>
            </w:r>
          </w:p>
        </w:tc>
        <w:tc>
          <w:tcPr>
            <w:tcW w:w="1674" w:type="dxa"/>
          </w:tcPr>
          <w:p w:rsidR="00616761" w:rsidRPr="009E669E" w:rsidRDefault="00530AB9" w:rsidP="00A3695E">
            <w:pPr>
              <w:pStyle w:val="Compact"/>
              <w:spacing w:line="360" w:lineRule="auto"/>
              <w:jc w:val="both"/>
              <w:rPr>
                <w:rFonts w:ascii="Times New Roman" w:hAnsi="Times New Roman" w:cs="Times New Roman"/>
              </w:rPr>
            </w:pPr>
            <w:r w:rsidRPr="009E669E">
              <w:rPr>
                <w:rStyle w:val="VerbatimChar"/>
                <w:rFonts w:ascii="Times New Roman" w:hAnsi="Times New Roman" w:cs="Times New Roman"/>
              </w:rPr>
              <w:t>pp_</w:t>
            </w:r>
          </w:p>
        </w:tc>
        <w:tc>
          <w:tcPr>
            <w:tcW w:w="279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Utilizes Reverse Phase Protein Array technology to measure the expression levels and crucial post-translational modifications of key functional proteins.</w:t>
            </w:r>
          </w:p>
        </w:tc>
        <w:tc>
          <w:tcPr>
            <w:tcW w:w="2718"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Proteins are the ultimate functional executioners of cellular biology. Inclusion of RPPA data provides a highly relevant, proximal functional layer that closely correlates with actual phenotypic manifestations of the cancer.</w:t>
            </w:r>
          </w:p>
        </w:tc>
      </w:tr>
      <w:tr w:rsidR="00616761" w:rsidRPr="009E669E" w:rsidTr="00BE767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Epigenomic (Methylation)</w:t>
            </w:r>
          </w:p>
        </w:tc>
        <w:tc>
          <w:tcPr>
            <w:tcW w:w="1674" w:type="dxa"/>
          </w:tcPr>
          <w:p w:rsidR="00616761" w:rsidRPr="009E669E" w:rsidRDefault="00530AB9" w:rsidP="00A3695E">
            <w:pPr>
              <w:pStyle w:val="Compact"/>
              <w:spacing w:line="360" w:lineRule="auto"/>
              <w:jc w:val="both"/>
              <w:rPr>
                <w:rFonts w:ascii="Times New Roman" w:hAnsi="Times New Roman" w:cs="Times New Roman"/>
              </w:rPr>
            </w:pPr>
            <w:r w:rsidRPr="009E669E">
              <w:rPr>
                <w:rStyle w:val="VerbatimChar"/>
                <w:rFonts w:ascii="Times New Roman" w:hAnsi="Times New Roman" w:cs="Times New Roman"/>
              </w:rPr>
              <w:t>mu_</w:t>
            </w:r>
          </w:p>
        </w:tc>
        <w:tc>
          <w:tcPr>
            <w:tcW w:w="279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Captures specific chemical modifications (methylation) to the DNA molecule that regulate gene expression without altering the underlying genetic sequence.</w:t>
            </w:r>
          </w:p>
        </w:tc>
        <w:tc>
          <w:tcPr>
            <w:tcW w:w="2718"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Aberrant DNA methylation patterns are ubiquitous, early events in carcinogenesis. This layer identifies the critical epigenetic silencing of tumor suppressor genes or the dangerous activation of oncogenes.</w:t>
            </w:r>
          </w:p>
        </w:tc>
      </w:tr>
      <w:tr w:rsidR="00616761" w:rsidRPr="009E669E" w:rsidTr="00BE767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Genomic (CNV)</w:t>
            </w:r>
          </w:p>
        </w:tc>
        <w:tc>
          <w:tcPr>
            <w:tcW w:w="1674" w:type="dxa"/>
          </w:tcPr>
          <w:p w:rsidR="00616761" w:rsidRPr="009E669E" w:rsidRDefault="00530AB9" w:rsidP="00A3695E">
            <w:pPr>
              <w:pStyle w:val="Compact"/>
              <w:spacing w:line="360" w:lineRule="auto"/>
              <w:jc w:val="both"/>
              <w:rPr>
                <w:rFonts w:ascii="Times New Roman" w:hAnsi="Times New Roman" w:cs="Times New Roman"/>
              </w:rPr>
            </w:pPr>
            <w:r w:rsidRPr="009E669E">
              <w:rPr>
                <w:rStyle w:val="VerbatimChar"/>
                <w:rFonts w:ascii="Times New Roman" w:hAnsi="Times New Roman" w:cs="Times New Roman"/>
              </w:rPr>
              <w:t>cn_</w:t>
            </w:r>
          </w:p>
        </w:tc>
        <w:tc>
          <w:tcPr>
            <w:tcW w:w="279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Details the structural amplifications and massive deletions of </w:t>
            </w:r>
            <w:r w:rsidRPr="009E669E">
              <w:rPr>
                <w:rFonts w:ascii="Times New Roman" w:hAnsi="Times New Roman" w:cs="Times New Roman"/>
              </w:rPr>
              <w:lastRenderedPageBreak/>
              <w:t>specific chromosomal segments.</w:t>
            </w:r>
          </w:p>
        </w:tc>
        <w:tc>
          <w:tcPr>
            <w:tcW w:w="2718"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 xml:space="preserve">Provides essential structural context regarding the profound </w:t>
            </w:r>
            <w:r w:rsidRPr="009E669E">
              <w:rPr>
                <w:rFonts w:ascii="Times New Roman" w:hAnsi="Times New Roman" w:cs="Times New Roman"/>
              </w:rPr>
              <w:lastRenderedPageBreak/>
              <w:t>genomic instability characteristic of breast malignancies, often identifying the root structural causes driving downstream transcriptional alterations.</w:t>
            </w:r>
          </w:p>
        </w:tc>
      </w:tr>
    </w:tbl>
    <w:p w:rsidR="00BE767C" w:rsidRPr="009E669E" w:rsidRDefault="00BE767C" w:rsidP="00A3695E">
      <w:pPr>
        <w:pStyle w:val="BodyText"/>
        <w:spacing w:line="360" w:lineRule="auto"/>
        <w:jc w:val="center"/>
        <w:rPr>
          <w:rFonts w:ascii="Times New Roman" w:hAnsi="Times New Roman" w:cs="Times New Roman"/>
        </w:rPr>
      </w:pPr>
      <w:r w:rsidRPr="009E669E">
        <w:rPr>
          <w:rFonts w:ascii="Times New Roman" w:hAnsi="Times New Roman" w:cs="Times New Roman"/>
          <w:bCs/>
        </w:rPr>
        <w:lastRenderedPageBreak/>
        <w:t>Table 3.2: Comprehensive Overview of Integrated Multi-</w:t>
      </w:r>
      <w:proofErr w:type="spellStart"/>
      <w:r w:rsidRPr="009E669E">
        <w:rPr>
          <w:rFonts w:ascii="Times New Roman" w:hAnsi="Times New Roman" w:cs="Times New Roman"/>
          <w:bCs/>
        </w:rPr>
        <w:t>Omics</w:t>
      </w:r>
      <w:proofErr w:type="spellEnd"/>
      <w:r w:rsidRPr="009E669E">
        <w:rPr>
          <w:rFonts w:ascii="Times New Roman" w:hAnsi="Times New Roman" w:cs="Times New Roman"/>
          <w:bCs/>
        </w:rPr>
        <w:t xml:space="preserve"> Modalities</w:t>
      </w:r>
    </w:p>
    <w:p w:rsidR="008D5018" w:rsidRPr="009E669E" w:rsidRDefault="008D5018" w:rsidP="00A3695E">
      <w:pPr>
        <w:pStyle w:val="BodyText"/>
        <w:spacing w:line="360" w:lineRule="auto"/>
        <w:jc w:val="both"/>
        <w:rPr>
          <w:rFonts w:ascii="Times New Roman" w:hAnsi="Times New Roman" w:cs="Times New Roman"/>
          <w:sz w:val="12"/>
          <w:szCs w:val="12"/>
        </w:rPr>
      </w:pP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Through a highly rigorous, computationally intensive preliminary preprocessing and statistical alignment phase, these four disparate omics layers were seamlessly integrated. This complex integration resulted in a formidable initial feature space comprising exactly 1,837 distinct molecular variables. This exceptionally high-dimensional space presents significant analytical challenges, primarily the heightened risk of model overfitting and the severe masking of true biological signals by pervasive statistical noise. Consequently, the development and application of a highly sophisticated feature selection methodology are absolutely essential to distill this vast molecular repository into a manageable, highly prognostic subset of discriminative biomarkers.</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7" w:name="X5013ea4f495426928b568f225d6364c0c7745cc"/>
      <w:bookmarkEnd w:id="16"/>
      <w:r w:rsidRPr="009E669E">
        <w:rPr>
          <w:rFonts w:ascii="Times New Roman" w:hAnsi="Times New Roman" w:cs="Times New Roman"/>
          <w:b/>
          <w:color w:val="auto"/>
          <w:sz w:val="24"/>
        </w:rPr>
        <w:lastRenderedPageBreak/>
        <w:t>3.3 Three-Stage Consensus Feature Selection Funnel</w:t>
      </w:r>
    </w:p>
    <w:p w:rsidR="00616761" w:rsidRPr="009E669E" w:rsidRDefault="00530AB9"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38BE7C71" wp14:editId="7EB8C4B4">
            <wp:extent cx="5943600" cy="7448308"/>
            <wp:effectExtent l="0" t="0" r="0" b="0"/>
            <wp:docPr id="44" name="Picture" descr="Figure: Consensus Feature Selection Funnel"/>
            <wp:cNvGraphicFramePr/>
            <a:graphic xmlns:a="http://schemas.openxmlformats.org/drawingml/2006/main">
              <a:graphicData uri="http://schemas.openxmlformats.org/drawingml/2006/picture">
                <pic:pic xmlns:pic="http://schemas.openxmlformats.org/drawingml/2006/picture">
                  <pic:nvPicPr>
                    <pic:cNvPr id="45" name="Picture" descr="../outputs/figures/fig_30_consensus_funnel.png"/>
                    <pic:cNvPicPr>
                      <a:picLocks noChangeAspect="1" noChangeArrowheads="1"/>
                    </pic:cNvPicPr>
                  </pic:nvPicPr>
                  <pic:blipFill>
                    <a:blip r:embed="rId10"/>
                    <a:stretch>
                      <a:fillRect/>
                    </a:stretch>
                  </pic:blipFill>
                  <pic:spPr bwMode="auto">
                    <a:xfrm>
                      <a:off x="0" y="0"/>
                      <a:ext cx="5943600" cy="7448308"/>
                    </a:xfrm>
                    <a:prstGeom prst="rect">
                      <a:avLst/>
                    </a:prstGeom>
                    <a:noFill/>
                    <a:ln w="9525">
                      <a:noFill/>
                      <a:headEnd/>
                      <a:tailEnd/>
                    </a:ln>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CC2E29" w:rsidRPr="009E669E">
        <w:rPr>
          <w:rFonts w:ascii="Times New Roman" w:hAnsi="Times New Roman" w:cs="Times New Roman"/>
        </w:rPr>
        <w:t xml:space="preserve"> 3.3</w:t>
      </w:r>
      <w:r w:rsidRPr="009E669E">
        <w:rPr>
          <w:rFonts w:ascii="Times New Roman" w:hAnsi="Times New Roman" w:cs="Times New Roman"/>
        </w:rPr>
        <w:t>: Consensus Feature Selection Funnel</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The inherent complexity and extreme dimensionality characterizing the integrated multi-omics dataset, comprising 1,837 initial molecular features, necessitate the immediate implementation of a rigorously structured and mathematically robust dimensionality reduction strategy. Traditional univariate feature selection methods often fail to capture the complex, non-linear interactions pervasive in integrated biological systems. Conversely, applying highly complex multivariate wrappers directly to the entire, massive feature space is computationally prohibitive and highly susceptible to severe algorithmic overfitting on the relatively limited sample size [12].</w:t>
      </w:r>
    </w:p>
    <w:p w:rsidR="00A149D2" w:rsidRPr="009E669E" w:rsidRDefault="00A149D2" w:rsidP="00A3695E">
      <w:pPr>
        <w:pStyle w:val="BodyText"/>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115F1C70" wp14:editId="08D2AFA9">
            <wp:extent cx="5334000" cy="2631872"/>
            <wp:effectExtent l="0" t="0" r="0" b="0"/>
            <wp:docPr id="2" name="Picture" descr="Figure 3.4: Feature Selection Funnel"/>
            <wp:cNvGraphicFramePr/>
            <a:graphic xmlns:a="http://schemas.openxmlformats.org/drawingml/2006/main">
              <a:graphicData uri="http://schemas.openxmlformats.org/drawingml/2006/picture">
                <pic:pic xmlns:pic="http://schemas.openxmlformats.org/drawingml/2006/picture">
                  <pic:nvPicPr>
                    <pic:cNvPr id="37" name="Picture" descr="d:/OneDrive/Desktop/Thesis%20Works/Explainable-Multi%20Omics%20Cancer%20Classification/outputs/figures/fig_01_funnel.png"/>
                    <pic:cNvPicPr>
                      <a:picLocks noChangeAspect="1" noChangeArrowheads="1"/>
                    </pic:cNvPicPr>
                  </pic:nvPicPr>
                  <pic:blipFill>
                    <a:blip r:embed="rId11"/>
                    <a:stretch>
                      <a:fillRect/>
                    </a:stretch>
                  </pic:blipFill>
                  <pic:spPr bwMode="auto">
                    <a:xfrm>
                      <a:off x="0" y="0"/>
                      <a:ext cx="5334000" cy="2631872"/>
                    </a:xfrm>
                    <a:prstGeom prst="rect">
                      <a:avLst/>
                    </a:prstGeom>
                    <a:noFill/>
                    <a:ln w="9525">
                      <a:noFill/>
                      <a:headEnd/>
                      <a:tailEnd/>
                    </a:ln>
                  </pic:spPr>
                </pic:pic>
              </a:graphicData>
            </a:graphic>
          </wp:inline>
        </w:drawing>
      </w:r>
    </w:p>
    <w:p w:rsidR="00A149D2" w:rsidRPr="009E669E" w:rsidRDefault="00A149D2"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3.4: Consensus Feature Selection Funnel</w:t>
      </w:r>
    </w:p>
    <w:p w:rsidR="00A149D2"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To effectively address these profound challenges, the proposed methodology conceptualizes, designs, and implements a novel </w:t>
      </w:r>
      <w:r w:rsidRPr="009E669E">
        <w:rPr>
          <w:rFonts w:ascii="Times New Roman" w:hAnsi="Times New Roman" w:cs="Times New Roman"/>
          <w:b/>
          <w:bCs/>
        </w:rPr>
        <w:t>Three-Stage Consensus Feature Selection Funnel</w:t>
      </w:r>
      <w:r w:rsidRPr="009E669E">
        <w:rPr>
          <w:rFonts w:ascii="Times New Roman" w:hAnsi="Times New Roman" w:cs="Times New Roman"/>
        </w:rPr>
        <w:t>. This architecture is designed as a sequential, progressively stringent filtering mechanism that systematically distills the vast initial feature space into a highly compact, universally relevant, and exceptionally discriminative set of core molecular biomarkers. The funnel architecture operates on the fundamental principle of progressive mathematical refinement, where each subsequent stage employs increasingly sophisticated analytical techniques to evaluate feature relevance, ensuring that the final selected subset is rigorously validated across multiple, completely independent mathematical paradigms.</w:t>
      </w:r>
    </w:p>
    <w:p w:rsidR="00616761" w:rsidRPr="009E669E" w:rsidRDefault="00530AB9" w:rsidP="00A3695E">
      <w:pPr>
        <w:pStyle w:val="Compact"/>
        <w:numPr>
          <w:ilvl w:val="0"/>
          <w:numId w:val="9"/>
        </w:numPr>
        <w:spacing w:line="360" w:lineRule="auto"/>
        <w:jc w:val="both"/>
        <w:rPr>
          <w:rFonts w:ascii="Times New Roman" w:hAnsi="Times New Roman" w:cs="Times New Roman"/>
        </w:rPr>
      </w:pPr>
      <w:r w:rsidRPr="009E669E">
        <w:rPr>
          <w:rFonts w:ascii="Times New Roman" w:hAnsi="Times New Roman" w:cs="Times New Roman"/>
          <w:b/>
          <w:bCs/>
        </w:rPr>
        <w:t>Stage One: Variance Thresholding Filter (Noise Elimination)</w:t>
      </w:r>
    </w:p>
    <w:p w:rsidR="00616761" w:rsidRPr="009E669E" w:rsidRDefault="00530AB9" w:rsidP="00A3695E">
      <w:pPr>
        <w:pStyle w:val="Compact"/>
        <w:numPr>
          <w:ilvl w:val="1"/>
          <w:numId w:val="10"/>
        </w:numPr>
        <w:spacing w:line="360" w:lineRule="auto"/>
        <w:jc w:val="both"/>
        <w:rPr>
          <w:rFonts w:ascii="Times New Roman" w:hAnsi="Times New Roman" w:cs="Times New Roman"/>
        </w:rPr>
      </w:pPr>
      <w:r w:rsidRPr="009E669E">
        <w:rPr>
          <w:rFonts w:ascii="Times New Roman" w:hAnsi="Times New Roman" w:cs="Times New Roman"/>
          <w:i/>
          <w:iCs/>
        </w:rPr>
        <w:lastRenderedPageBreak/>
        <w:t>Theoretical Premise:</w:t>
      </w:r>
      <w:r w:rsidRPr="009E669E">
        <w:rPr>
          <w:rFonts w:ascii="Times New Roman" w:hAnsi="Times New Roman" w:cs="Times New Roman"/>
        </w:rPr>
        <w:t xml:space="preserve"> The fundamental biological premise underlying this stage is that molecular features exhibiting negligible variance across the entire patient cohort inherently possess zero discriminatory power for differentiating between distinct disease classes. A feature that remains statically constant across all samples, regardless of the underlying tumor subtype, cannot mathematically serve as a reliable prognostic indicator.</w:t>
      </w:r>
    </w:p>
    <w:p w:rsidR="00616761" w:rsidRPr="009E669E" w:rsidRDefault="00530AB9" w:rsidP="00A3695E">
      <w:pPr>
        <w:pStyle w:val="Compact"/>
        <w:numPr>
          <w:ilvl w:val="1"/>
          <w:numId w:val="10"/>
        </w:numPr>
        <w:spacing w:line="360" w:lineRule="auto"/>
        <w:jc w:val="both"/>
        <w:rPr>
          <w:rFonts w:ascii="Times New Roman" w:hAnsi="Times New Roman" w:cs="Times New Roman"/>
        </w:rPr>
      </w:pPr>
      <w:r w:rsidRPr="009E669E">
        <w:rPr>
          <w:rFonts w:ascii="Times New Roman" w:hAnsi="Times New Roman" w:cs="Times New Roman"/>
          <w:i/>
          <w:iCs/>
        </w:rPr>
        <w:t>Algorithmic Mechanism:</w:t>
      </w:r>
      <w:r w:rsidRPr="009E669E">
        <w:rPr>
          <w:rFonts w:ascii="Times New Roman" w:hAnsi="Times New Roman" w:cs="Times New Roman"/>
        </w:rPr>
        <w:t xml:space="preserve"> To systematically eliminate such uninformative variables, a strict minimum variance threshold (designated mathematically as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0.01</m:t>
        </m:r>
      </m:oMath>
      <w:r w:rsidRPr="009E669E">
        <w:rPr>
          <w:rFonts w:ascii="Times New Roman" w:hAnsi="Times New Roman" w:cs="Times New Roman"/>
        </w:rPr>
        <w:t>) is uniformly applied across all continuous numerical features within the dataset. Features failing to surpass this minimal variability criterion are immediately and permanently excised from the feature pool. This initial filtration step, while computationally inexpensive, is profoundly effective in drastically reducing dimensionality by discarding static biological noise, significantly accelerating computational efficiency for subsequent stages.</w:t>
      </w:r>
    </w:p>
    <w:p w:rsidR="00616761" w:rsidRPr="009E669E" w:rsidRDefault="00530AB9" w:rsidP="00A3695E">
      <w:pPr>
        <w:pStyle w:val="Compact"/>
        <w:numPr>
          <w:ilvl w:val="0"/>
          <w:numId w:val="9"/>
        </w:numPr>
        <w:spacing w:line="360" w:lineRule="auto"/>
        <w:jc w:val="both"/>
        <w:rPr>
          <w:rFonts w:ascii="Times New Roman" w:hAnsi="Times New Roman" w:cs="Times New Roman"/>
        </w:rPr>
      </w:pPr>
      <w:r w:rsidRPr="009E669E">
        <w:rPr>
          <w:rFonts w:ascii="Times New Roman" w:hAnsi="Times New Roman" w:cs="Times New Roman"/>
          <w:b/>
          <w:bCs/>
        </w:rPr>
        <w:t>Stage Two: Intra-Omics Dual-Metric Filtering (Statistical Relevance)</w:t>
      </w:r>
    </w:p>
    <w:p w:rsidR="00616761" w:rsidRPr="009E669E" w:rsidRDefault="00530AB9" w:rsidP="00A3695E">
      <w:pPr>
        <w:pStyle w:val="Compact"/>
        <w:numPr>
          <w:ilvl w:val="1"/>
          <w:numId w:val="11"/>
        </w:numPr>
        <w:spacing w:line="360" w:lineRule="auto"/>
        <w:jc w:val="both"/>
        <w:rPr>
          <w:rFonts w:ascii="Times New Roman" w:hAnsi="Times New Roman" w:cs="Times New Roman"/>
        </w:rPr>
      </w:pPr>
      <w:r w:rsidRPr="009E669E">
        <w:rPr>
          <w:rFonts w:ascii="Times New Roman" w:hAnsi="Times New Roman" w:cs="Times New Roman"/>
          <w:i/>
          <w:iCs/>
        </w:rPr>
        <w:t>Theoretical Premise:</w:t>
      </w:r>
      <w:r w:rsidRPr="009E669E">
        <w:rPr>
          <w:rFonts w:ascii="Times New Roman" w:hAnsi="Times New Roman" w:cs="Times New Roman"/>
        </w:rPr>
        <w:t xml:space="preserve"> Following preliminary noise removal, surviving variables advance to a sophisticated intra-omics univariate analysis. This stage evaluates the statistical significance and informational relevance of each feature independently </w:t>
      </w:r>
      <w:r w:rsidRPr="009E669E">
        <w:rPr>
          <w:rFonts w:ascii="Times New Roman" w:hAnsi="Times New Roman" w:cs="Times New Roman"/>
          <w:i/>
          <w:iCs/>
        </w:rPr>
        <w:t>within its respective omics modality</w:t>
      </w:r>
      <w:r w:rsidRPr="009E669E">
        <w:rPr>
          <w:rFonts w:ascii="Times New Roman" w:hAnsi="Times New Roman" w:cs="Times New Roman"/>
        </w:rPr>
        <w:t>, ensuring fair representation.</w:t>
      </w:r>
    </w:p>
    <w:p w:rsidR="00616761" w:rsidRPr="009E669E" w:rsidRDefault="00530AB9" w:rsidP="00A3695E">
      <w:pPr>
        <w:pStyle w:val="Compact"/>
        <w:numPr>
          <w:ilvl w:val="1"/>
          <w:numId w:val="11"/>
        </w:numPr>
        <w:spacing w:line="360" w:lineRule="auto"/>
        <w:jc w:val="both"/>
        <w:rPr>
          <w:rFonts w:ascii="Times New Roman" w:hAnsi="Times New Roman" w:cs="Times New Roman"/>
        </w:rPr>
      </w:pPr>
      <w:r w:rsidRPr="009E669E">
        <w:rPr>
          <w:rFonts w:ascii="Times New Roman" w:hAnsi="Times New Roman" w:cs="Times New Roman"/>
          <w:i/>
          <w:iCs/>
        </w:rPr>
        <w:t>Algorithmic Mechanism:</w:t>
      </w:r>
      <w:r w:rsidRPr="009E669E">
        <w:rPr>
          <w:rFonts w:ascii="Times New Roman" w:hAnsi="Times New Roman" w:cs="Times New Roman"/>
        </w:rPr>
        <w:t xml:space="preserve"> This stage rigorously employs the union of two distinct, powerful mathematical criteria:</w:t>
      </w:r>
    </w:p>
    <w:p w:rsidR="00616761" w:rsidRPr="009E669E" w:rsidRDefault="00530AB9" w:rsidP="00A3695E">
      <w:pPr>
        <w:pStyle w:val="Compact"/>
        <w:numPr>
          <w:ilvl w:val="2"/>
          <w:numId w:val="12"/>
        </w:numPr>
        <w:spacing w:line="360" w:lineRule="auto"/>
        <w:jc w:val="both"/>
        <w:rPr>
          <w:rFonts w:ascii="Times New Roman" w:hAnsi="Times New Roman" w:cs="Times New Roman"/>
        </w:rPr>
      </w:pPr>
      <w:r w:rsidRPr="009E669E">
        <w:rPr>
          <w:rFonts w:ascii="Times New Roman" w:hAnsi="Times New Roman" w:cs="Times New Roman"/>
          <w:b/>
          <w:bCs/>
        </w:rPr>
        <w:t>Analysis of Variance (ANOVA) F-value:</w:t>
      </w:r>
      <w:r w:rsidRPr="009E669E">
        <w:rPr>
          <w:rFonts w:ascii="Times New Roman" w:hAnsi="Times New Roman" w:cs="Times New Roman"/>
        </w:rPr>
        <w:t xml:space="preserve"> Rigorously quantifies the linear statistical dependency between a continuous feature and the categorical clinical target variable. It identifies features exhibiting significantly distinct expression distributions between the IDC and ILC cohorts.</w:t>
      </w:r>
    </w:p>
    <w:p w:rsidR="00616761" w:rsidRPr="009E669E" w:rsidRDefault="00530AB9" w:rsidP="00A3695E">
      <w:pPr>
        <w:pStyle w:val="Compact"/>
        <w:numPr>
          <w:ilvl w:val="2"/>
          <w:numId w:val="12"/>
        </w:numPr>
        <w:spacing w:line="360" w:lineRule="auto"/>
        <w:jc w:val="both"/>
        <w:rPr>
          <w:rFonts w:ascii="Times New Roman" w:hAnsi="Times New Roman" w:cs="Times New Roman"/>
        </w:rPr>
      </w:pPr>
      <w:r w:rsidRPr="009E669E">
        <w:rPr>
          <w:rFonts w:ascii="Times New Roman" w:hAnsi="Times New Roman" w:cs="Times New Roman"/>
          <w:b/>
          <w:bCs/>
        </w:rPr>
        <w:t>Mutual Information (MI):</w:t>
      </w:r>
      <w:r w:rsidRPr="009E669E">
        <w:rPr>
          <w:rFonts w:ascii="Times New Roman" w:hAnsi="Times New Roman" w:cs="Times New Roman"/>
        </w:rPr>
        <w:t xml:space="preserve"> A powerful concept derived from information theory that captures any arbitrary dependency, including highly complex non-linear relationships, quantifying the reduction in uncertainty about the class label given knowledge of the feature’s specific value [13].</w:t>
      </w:r>
    </w:p>
    <w:p w:rsidR="00616761" w:rsidRPr="009E669E" w:rsidRDefault="00530AB9" w:rsidP="00A3695E">
      <w:pPr>
        <w:pStyle w:val="Compact"/>
        <w:numPr>
          <w:ilvl w:val="1"/>
          <w:numId w:val="11"/>
        </w:numPr>
        <w:spacing w:line="360" w:lineRule="auto"/>
        <w:jc w:val="both"/>
        <w:rPr>
          <w:rFonts w:ascii="Times New Roman" w:hAnsi="Times New Roman" w:cs="Times New Roman"/>
        </w:rPr>
      </w:pPr>
      <w:r w:rsidRPr="009E669E">
        <w:rPr>
          <w:rFonts w:ascii="Times New Roman" w:hAnsi="Times New Roman" w:cs="Times New Roman"/>
          <w:i/>
          <w:iCs/>
        </w:rPr>
        <w:lastRenderedPageBreak/>
        <w:t>Quota Enforcement:</w:t>
      </w:r>
      <w:r w:rsidRPr="009E669E">
        <w:rPr>
          <w:rFonts w:ascii="Times New Roman" w:hAnsi="Times New Roman" w:cs="Times New Roman"/>
        </w:rPr>
        <w:t xml:space="preserve"> To ensure balanced representation across the disparate biological layers and strictly prevent the dominance of any single modality containing a disproportionate number of highly correlated features (e.g., mRNA), a strict quota is enforced. Only the top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75</m:t>
        </m:r>
      </m:oMath>
      <w:r w:rsidRPr="009E669E">
        <w:rPr>
          <w:rFonts w:ascii="Times New Roman" w:hAnsi="Times New Roman" w:cs="Times New Roman"/>
        </w:rPr>
        <w:t xml:space="preserve"> features from </w:t>
      </w:r>
      <w:r w:rsidRPr="009E669E">
        <w:rPr>
          <w:rFonts w:ascii="Times New Roman" w:hAnsi="Times New Roman" w:cs="Times New Roman"/>
          <w:i/>
          <w:iCs/>
        </w:rPr>
        <w:t>each</w:t>
      </w:r>
      <w:r w:rsidRPr="009E669E">
        <w:rPr>
          <w:rFonts w:ascii="Times New Roman" w:hAnsi="Times New Roman" w:cs="Times New Roman"/>
        </w:rPr>
        <w:t xml:space="preserve"> of the four omics layers are retained. This drastically condenses the intermediate feature space to 472 statistically significant variables.</w:t>
      </w:r>
    </w:p>
    <w:p w:rsidR="00616761" w:rsidRPr="009E669E" w:rsidRDefault="00530AB9" w:rsidP="00A3695E">
      <w:pPr>
        <w:pStyle w:val="Compact"/>
        <w:numPr>
          <w:ilvl w:val="0"/>
          <w:numId w:val="9"/>
        </w:numPr>
        <w:spacing w:line="360" w:lineRule="auto"/>
        <w:jc w:val="both"/>
        <w:rPr>
          <w:rFonts w:ascii="Times New Roman" w:hAnsi="Times New Roman" w:cs="Times New Roman"/>
        </w:rPr>
      </w:pPr>
      <w:r w:rsidRPr="009E669E">
        <w:rPr>
          <w:rFonts w:ascii="Times New Roman" w:hAnsi="Times New Roman" w:cs="Times New Roman"/>
          <w:b/>
          <w:bCs/>
        </w:rPr>
        <w:t>Stage Three: Multivariate Consensus Ranking (Algorithmic Synergy)</w:t>
      </w:r>
    </w:p>
    <w:p w:rsidR="00616761" w:rsidRPr="009E669E" w:rsidRDefault="00530AB9" w:rsidP="00A3695E">
      <w:pPr>
        <w:pStyle w:val="Compact"/>
        <w:numPr>
          <w:ilvl w:val="1"/>
          <w:numId w:val="13"/>
        </w:numPr>
        <w:spacing w:line="360" w:lineRule="auto"/>
        <w:jc w:val="both"/>
        <w:rPr>
          <w:rFonts w:ascii="Times New Roman" w:hAnsi="Times New Roman" w:cs="Times New Roman"/>
        </w:rPr>
      </w:pPr>
      <w:r w:rsidRPr="009E669E">
        <w:rPr>
          <w:rFonts w:ascii="Times New Roman" w:hAnsi="Times New Roman" w:cs="Times New Roman"/>
          <w:i/>
          <w:iCs/>
        </w:rPr>
        <w:t>Theoretical Premise:</w:t>
      </w:r>
      <w:r w:rsidRPr="009E669E">
        <w:rPr>
          <w:rFonts w:ascii="Times New Roman" w:hAnsi="Times New Roman" w:cs="Times New Roman"/>
        </w:rPr>
        <w:t xml:space="preserve"> While Stage Two identifies individual correlations, it inherently fails to evaluate synergistic or redundant interactions </w:t>
      </w:r>
      <w:r w:rsidRPr="009E669E">
        <w:rPr>
          <w:rFonts w:ascii="Times New Roman" w:hAnsi="Times New Roman" w:cs="Times New Roman"/>
          <w:i/>
          <w:iCs/>
        </w:rPr>
        <w:t>between</w:t>
      </w:r>
      <w:r w:rsidRPr="009E669E">
        <w:rPr>
          <w:rFonts w:ascii="Times New Roman" w:hAnsi="Times New Roman" w:cs="Times New Roman"/>
        </w:rPr>
        <w:t xml:space="preserve"> features, particularly across different omics layers. Stage Three addresses this by evaluating multivariate interactions.</w:t>
      </w:r>
    </w:p>
    <w:p w:rsidR="00616761" w:rsidRPr="009E669E" w:rsidRDefault="00530AB9" w:rsidP="00A3695E">
      <w:pPr>
        <w:pStyle w:val="Compact"/>
        <w:numPr>
          <w:ilvl w:val="1"/>
          <w:numId w:val="13"/>
        </w:numPr>
        <w:spacing w:line="360" w:lineRule="auto"/>
        <w:jc w:val="both"/>
        <w:rPr>
          <w:rFonts w:ascii="Times New Roman" w:hAnsi="Times New Roman" w:cs="Times New Roman"/>
        </w:rPr>
      </w:pPr>
      <w:r w:rsidRPr="009E669E">
        <w:rPr>
          <w:rFonts w:ascii="Times New Roman" w:hAnsi="Times New Roman" w:cs="Times New Roman"/>
          <w:i/>
          <w:iCs/>
        </w:rPr>
        <w:t>Algorithmic Mechanism:</w:t>
      </w:r>
      <w:r w:rsidRPr="009E669E">
        <w:rPr>
          <w:rFonts w:ascii="Times New Roman" w:hAnsi="Times New Roman" w:cs="Times New Roman"/>
        </w:rPr>
        <w:t xml:space="preserve"> Deploys two fundamentally distinct, state-of-the-art tree ensemble architectures simultaneously across the 472 intermediate features:</w:t>
      </w:r>
    </w:p>
    <w:p w:rsidR="00616761" w:rsidRPr="009E669E" w:rsidRDefault="00530AB9" w:rsidP="00A3695E">
      <w:pPr>
        <w:pStyle w:val="Compact"/>
        <w:numPr>
          <w:ilvl w:val="2"/>
          <w:numId w:val="14"/>
        </w:numPr>
        <w:spacing w:line="360" w:lineRule="auto"/>
        <w:jc w:val="both"/>
        <w:rPr>
          <w:rFonts w:ascii="Times New Roman" w:hAnsi="Times New Roman" w:cs="Times New Roman"/>
        </w:rPr>
      </w:pPr>
      <w:r w:rsidRPr="009E669E">
        <w:rPr>
          <w:rFonts w:ascii="Times New Roman" w:hAnsi="Times New Roman" w:cs="Times New Roman"/>
          <w:b/>
          <w:bCs/>
        </w:rPr>
        <w:t>Random Forest (1,000 parallel decision trees):</w:t>
      </w:r>
      <w:r w:rsidRPr="009E669E">
        <w:rPr>
          <w:rFonts w:ascii="Times New Roman" w:hAnsi="Times New Roman" w:cs="Times New Roman"/>
        </w:rPr>
        <w:t xml:space="preserve"> Evaluates feature importance through the mechanism of mean decrease in Gini impurity across a vast, randomized ensemble [18, 34].</w:t>
      </w:r>
    </w:p>
    <w:p w:rsidR="00616761" w:rsidRPr="009E669E" w:rsidRDefault="00530AB9" w:rsidP="00A3695E">
      <w:pPr>
        <w:pStyle w:val="Compact"/>
        <w:numPr>
          <w:ilvl w:val="2"/>
          <w:numId w:val="14"/>
        </w:numPr>
        <w:spacing w:line="360" w:lineRule="auto"/>
        <w:jc w:val="both"/>
        <w:rPr>
          <w:rFonts w:ascii="Times New Roman" w:hAnsi="Times New Roman" w:cs="Times New Roman"/>
        </w:rPr>
      </w:pPr>
      <w:r w:rsidRPr="009E669E">
        <w:rPr>
          <w:rFonts w:ascii="Times New Roman" w:hAnsi="Times New Roman" w:cs="Times New Roman"/>
          <w:b/>
          <w:bCs/>
        </w:rPr>
        <w:t>XGBoost (500 sequential boosting iterations):</w:t>
      </w:r>
      <w:r w:rsidRPr="009E669E">
        <w:rPr>
          <w:rFonts w:ascii="Times New Roman" w:hAnsi="Times New Roman" w:cs="Times New Roman"/>
        </w:rPr>
        <w:t xml:space="preserve"> Evaluates the fractional contribution of each feature to the model’s overall performance improvement and residual error correction [34].</w:t>
      </w:r>
    </w:p>
    <w:p w:rsidR="00A149D2" w:rsidRPr="009E669E" w:rsidRDefault="00530AB9" w:rsidP="00A3695E">
      <w:pPr>
        <w:pStyle w:val="Compact"/>
        <w:numPr>
          <w:ilvl w:val="1"/>
          <w:numId w:val="13"/>
        </w:numPr>
        <w:spacing w:line="360" w:lineRule="auto"/>
        <w:jc w:val="both"/>
        <w:rPr>
          <w:rFonts w:ascii="Times New Roman" w:hAnsi="Times New Roman" w:cs="Times New Roman"/>
        </w:rPr>
      </w:pPr>
      <w:r w:rsidRPr="009E669E">
        <w:rPr>
          <w:rFonts w:ascii="Times New Roman" w:hAnsi="Times New Roman" w:cs="Times New Roman"/>
          <w:i/>
          <w:iCs/>
        </w:rPr>
        <w:t>Consensus Calculation:</w:t>
      </w:r>
      <w:r w:rsidRPr="009E669E">
        <w:rPr>
          <w:rFonts w:ascii="Times New Roman" w:hAnsi="Times New Roman" w:cs="Times New Roman"/>
        </w:rPr>
        <w:t xml:space="preserve"> To synthesize these distinct evaluations into a single, unified metric of feature relevance, a novel consensus formula is introduced. The consensus importance score is mathematically defined as the arithmetic mean of its normalized importance scores derived from </w:t>
      </w:r>
      <w:r w:rsidRPr="009E669E">
        <w:rPr>
          <w:rFonts w:ascii="Times New Roman" w:hAnsi="Times New Roman" w:cs="Times New Roman"/>
          <w:i/>
          <w:iCs/>
        </w:rPr>
        <w:t>both</w:t>
      </w:r>
      <w:r w:rsidRPr="009E669E">
        <w:rPr>
          <w:rFonts w:ascii="Times New Roman" w:hAnsi="Times New Roman" w:cs="Times New Roman"/>
        </w:rPr>
        <w:t xml:space="preserve"> the Random Forest and XGBoost models. This rigorous consensus approach meticulously eliminates algorithmic </w:t>
      </w:r>
      <w:proofErr w:type="gramStart"/>
      <w:r w:rsidRPr="009E669E">
        <w:rPr>
          <w:rFonts w:ascii="Times New Roman" w:hAnsi="Times New Roman" w:cs="Times New Roman"/>
        </w:rPr>
        <w:t>bias,</w:t>
      </w:r>
      <w:proofErr w:type="gramEnd"/>
      <w:r w:rsidRPr="009E669E">
        <w:rPr>
          <w:rFonts w:ascii="Times New Roman" w:hAnsi="Times New Roman" w:cs="Times New Roman"/>
        </w:rPr>
        <w:t xml:space="preserve"> ensuring final selected features (the core 75 biomarkers) possess genuine, robust predictive power validated across entirely different ensemble learning paradigms.</w:t>
      </w:r>
    </w:p>
    <w:p w:rsidR="00A149D2" w:rsidRPr="009E669E" w:rsidRDefault="00A149D2" w:rsidP="00A3695E">
      <w:pPr>
        <w:pStyle w:val="BodyText"/>
        <w:spacing w:line="360" w:lineRule="auto"/>
        <w:jc w:val="both"/>
        <w:rPr>
          <w:rFonts w:ascii="Times New Roman" w:hAnsi="Times New Roman" w:cs="Times New Roman"/>
        </w:rPr>
      </w:pPr>
      <w:r w:rsidRPr="009E669E">
        <w:rPr>
          <w:rFonts w:ascii="Times New Roman" w:hAnsi="Times New Roman" w:cs="Times New Roman"/>
        </w:rPr>
        <w:t>Following the preliminary removal of uninformative low-variance features, the surviving variables advance to Stage Two, which implements a sophisticated intra-</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w:t>
      </w:r>
      <w:proofErr w:type="spellStart"/>
      <w:r w:rsidRPr="009E669E">
        <w:rPr>
          <w:rFonts w:ascii="Times New Roman" w:hAnsi="Times New Roman" w:cs="Times New Roman"/>
        </w:rPr>
        <w:t>univariate</w:t>
      </w:r>
      <w:proofErr w:type="spellEnd"/>
      <w:r w:rsidRPr="009E669E">
        <w:rPr>
          <w:rFonts w:ascii="Times New Roman" w:hAnsi="Times New Roman" w:cs="Times New Roman"/>
        </w:rPr>
        <w:t xml:space="preserve"> analysis utilizing a dual-metric filtering approach. This stage is designed to evaluate the </w:t>
      </w:r>
      <w:r w:rsidRPr="009E669E">
        <w:rPr>
          <w:rFonts w:ascii="Times New Roman" w:hAnsi="Times New Roman" w:cs="Times New Roman"/>
        </w:rPr>
        <w:lastRenderedPageBreak/>
        <w:t xml:space="preserve">statistical significance and informational relevance of each feature independently within its respective </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modality. To ensure a robust evaluation, this stage employs the union of two distinct mathematical criteria. The first criterion is the Analysis of Variance F-value, which rigorously quantifies the linear statistical dependency between a continuous feature and the categorical target variable. The Analysis of Variance F-test evaluates the ratio of the variance between the class means to the variance within the classes, effectively identifying features that exhibit significantly distinct expression distributions between the Invasive Ductal Carcinoma and Invasive Lobular Carcinoma cohorts. The second criterion employed is Mutual Information, a powerful concept derived from information theory that captures any arbitrary dependency, including highly complex non-linear relationships, between the feature and the target label [13]. Mutual Information quantifies the reduction in uncertainty about the class label given the knowledge of the feature’s value. By synthesizing the results from both the Analysis of Variance and Mutual Information algorithms, Stage Two ranks the features within each specific </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modality. </w:t>
      </w:r>
    </w:p>
    <w:p w:rsidR="00A149D2" w:rsidRPr="009E669E" w:rsidRDefault="00A149D2"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15A99800" wp14:editId="2638F4EB">
            <wp:extent cx="5334000" cy="3712723"/>
            <wp:effectExtent l="0" t="0" r="0" b="0"/>
            <wp:docPr id="39" name="Picture" descr="Figure 3.5: Top 20 Consensus Features"/>
            <wp:cNvGraphicFramePr/>
            <a:graphic xmlns:a="http://schemas.openxmlformats.org/drawingml/2006/main">
              <a:graphicData uri="http://schemas.openxmlformats.org/drawingml/2006/picture">
                <pic:pic xmlns:pic="http://schemas.openxmlformats.org/drawingml/2006/picture">
                  <pic:nvPicPr>
                    <pic:cNvPr id="40" name="Picture" descr="d:/OneDrive/Desktop/Thesis%20Works/Explainable-Multi%20Omics%20Cancer%20Classification/outputs/figures/fig_03_consensus_features.png"/>
                    <pic:cNvPicPr>
                      <a:picLocks noChangeAspect="1" noChangeArrowheads="1"/>
                    </pic:cNvPicPr>
                  </pic:nvPicPr>
                  <pic:blipFill>
                    <a:blip r:embed="rId12"/>
                    <a:stretch>
                      <a:fillRect/>
                    </a:stretch>
                  </pic:blipFill>
                  <pic:spPr bwMode="auto">
                    <a:xfrm>
                      <a:off x="0" y="0"/>
                      <a:ext cx="5334000" cy="3712723"/>
                    </a:xfrm>
                    <a:prstGeom prst="rect">
                      <a:avLst/>
                    </a:prstGeom>
                    <a:noFill/>
                    <a:ln w="9525">
                      <a:noFill/>
                      <a:headEnd/>
                      <a:tailEnd/>
                    </a:ln>
                  </pic:spPr>
                </pic:pic>
              </a:graphicData>
            </a:graphic>
          </wp:inline>
        </w:drawing>
      </w:r>
    </w:p>
    <w:p w:rsidR="00A149D2" w:rsidRPr="009E669E" w:rsidRDefault="00A149D2"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3.5: Top 20 Consensus Features</w:t>
      </w:r>
    </w:p>
    <w:p w:rsidR="00A149D2" w:rsidRPr="009E669E" w:rsidRDefault="00A149D2"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 xml:space="preserve">The culmination of the feature selection architecture occurs in Stage Three, which introduces a robust multivariate consensus ranking mechanism based on highly complex, non-linear tree-based ensemble algorithms. While Stage Two effectively identifies features with strong individual correlations to the target, it inherently fails to evaluate the synergistic or redundant interactions between features, particularly across different </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layers. To address this critical limitation, Stage Three deploys two fundamentally distinct, state-of-the-art tree ensemble architectures simultaneously across the intermediate pool of four hundred and seventy-two features. The first algorithm is a massively parallel Random Forest classifier, constructed with one thousand distinct decision trees [14], [28]. The Random Forest algorithm inherently evaluates feature importance through the mechanism of mean decrease in impurity, providing a robust assessment of each feature’s contribution across a vast ensemble of independent, randomized models. The second algorithm deployed is the </w:t>
      </w:r>
      <w:proofErr w:type="spellStart"/>
      <w:r w:rsidRPr="009E669E">
        <w:rPr>
          <w:rFonts w:ascii="Times New Roman" w:hAnsi="Times New Roman" w:cs="Times New Roman"/>
        </w:rPr>
        <w:t>eXtreme</w:t>
      </w:r>
      <w:proofErr w:type="spellEnd"/>
      <w:r w:rsidRPr="009E669E">
        <w:rPr>
          <w:rFonts w:ascii="Times New Roman" w:hAnsi="Times New Roman" w:cs="Times New Roman"/>
        </w:rPr>
        <w:t xml:space="preserve"> Gradient Boosting classifier, instantiated with five hundred sequential boosting iterations [4]. Unlike the parallel nature of Random Forest, </w:t>
      </w:r>
      <w:proofErr w:type="spellStart"/>
      <w:r w:rsidRPr="009E669E">
        <w:rPr>
          <w:rFonts w:ascii="Times New Roman" w:hAnsi="Times New Roman" w:cs="Times New Roman"/>
        </w:rPr>
        <w:t>XGBoost</w:t>
      </w:r>
      <w:proofErr w:type="spellEnd"/>
      <w:r w:rsidRPr="009E669E">
        <w:rPr>
          <w:rFonts w:ascii="Times New Roman" w:hAnsi="Times New Roman" w:cs="Times New Roman"/>
        </w:rPr>
        <w:t xml:space="preserve"> builds trees sequentially, with each new tree explicitly designed to correct the residual errors of the preceding ensemble. </w:t>
      </w:r>
    </w:p>
    <w:p w:rsidR="00A149D2" w:rsidRPr="009E669E" w:rsidRDefault="00A149D2"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7218A8B2" wp14:editId="370C9FE3">
            <wp:extent cx="3733800" cy="3766458"/>
            <wp:effectExtent l="0" t="0" r="0" b="5715"/>
            <wp:docPr id="42" name="Picture" descr="Figure 3.6: Feature Composition by Omics"/>
            <wp:cNvGraphicFramePr/>
            <a:graphic xmlns:a="http://schemas.openxmlformats.org/drawingml/2006/main">
              <a:graphicData uri="http://schemas.openxmlformats.org/drawingml/2006/picture">
                <pic:pic xmlns:pic="http://schemas.openxmlformats.org/drawingml/2006/picture">
                  <pic:nvPicPr>
                    <pic:cNvPr id="43" name="Picture" descr="d:/OneDrive/Desktop/Thesis%20Works/Explainable-Multi%20Omics%20Cancer%20Classification/outputs/figures/fig_19_feature_composition.png"/>
                    <pic:cNvPicPr>
                      <a:picLocks noChangeAspect="1" noChangeArrowheads="1"/>
                    </pic:cNvPicPr>
                  </pic:nvPicPr>
                  <pic:blipFill>
                    <a:blip r:embed="rId13"/>
                    <a:stretch>
                      <a:fillRect/>
                    </a:stretch>
                  </pic:blipFill>
                  <pic:spPr bwMode="auto">
                    <a:xfrm>
                      <a:off x="0" y="0"/>
                      <a:ext cx="3733800" cy="3766458"/>
                    </a:xfrm>
                    <a:prstGeom prst="rect">
                      <a:avLst/>
                    </a:prstGeom>
                    <a:noFill/>
                    <a:ln w="9525">
                      <a:noFill/>
                      <a:headEnd/>
                      <a:tailEnd/>
                    </a:ln>
                  </pic:spPr>
                </pic:pic>
              </a:graphicData>
            </a:graphic>
          </wp:inline>
        </w:drawing>
      </w:r>
    </w:p>
    <w:p w:rsidR="00A149D2" w:rsidRPr="009E669E" w:rsidRDefault="00A149D2"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 xml:space="preserve">Figure 3.6: Feature Composition by </w:t>
      </w:r>
      <w:proofErr w:type="spellStart"/>
      <w:r w:rsidRPr="009E669E">
        <w:rPr>
          <w:rFonts w:ascii="Times New Roman" w:hAnsi="Times New Roman" w:cs="Times New Roman"/>
        </w:rPr>
        <w:t>Omics</w:t>
      </w:r>
      <w:proofErr w:type="spellEnd"/>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8" w:name="X0548ad8a57ef89d4d0fdabf6943de8369fcdc8e"/>
      <w:bookmarkEnd w:id="17"/>
      <w:r w:rsidRPr="009E669E">
        <w:rPr>
          <w:rFonts w:ascii="Times New Roman" w:hAnsi="Times New Roman" w:cs="Times New Roman"/>
          <w:b/>
          <w:color w:val="auto"/>
          <w:sz w:val="24"/>
        </w:rPr>
        <w:lastRenderedPageBreak/>
        <w:t>3.4 Leak-Free SMOTE-inside-CV Evaluation Protocol</w:t>
      </w:r>
    </w:p>
    <w:p w:rsidR="00616761" w:rsidRPr="009E669E" w:rsidRDefault="00530AB9"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7A5E9E9A" wp14:editId="1AF783AB">
            <wp:extent cx="5943600" cy="4763724"/>
            <wp:effectExtent l="0" t="0" r="0" b="0"/>
            <wp:docPr id="48" name="Picture" descr="Figure: Nested CV with SMOTE"/>
            <wp:cNvGraphicFramePr/>
            <a:graphic xmlns:a="http://schemas.openxmlformats.org/drawingml/2006/main">
              <a:graphicData uri="http://schemas.openxmlformats.org/drawingml/2006/picture">
                <pic:pic xmlns:pic="http://schemas.openxmlformats.org/drawingml/2006/picture">
                  <pic:nvPicPr>
                    <pic:cNvPr id="49" name="Picture" descr="../outputs/figures/fig_31_nested_cv_smote.png"/>
                    <pic:cNvPicPr>
                      <a:picLocks noChangeAspect="1" noChangeArrowheads="1"/>
                    </pic:cNvPicPr>
                  </pic:nvPicPr>
                  <pic:blipFill>
                    <a:blip r:embed="rId14"/>
                    <a:stretch>
                      <a:fillRect/>
                    </a:stretch>
                  </pic:blipFill>
                  <pic:spPr bwMode="auto">
                    <a:xfrm>
                      <a:off x="0" y="0"/>
                      <a:ext cx="5943600" cy="4763724"/>
                    </a:xfrm>
                    <a:prstGeom prst="rect">
                      <a:avLst/>
                    </a:prstGeom>
                    <a:noFill/>
                    <a:ln w="9525">
                      <a:noFill/>
                      <a:headEnd/>
                      <a:tailEnd/>
                    </a:ln>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8D5018" w:rsidRPr="009E669E">
        <w:rPr>
          <w:rFonts w:ascii="Times New Roman" w:hAnsi="Times New Roman" w:cs="Times New Roman"/>
        </w:rPr>
        <w:t xml:space="preserve"> 3.7</w:t>
      </w:r>
      <w:r w:rsidRPr="009E669E">
        <w:rPr>
          <w:rFonts w:ascii="Times New Roman" w:hAnsi="Times New Roman" w:cs="Times New Roman"/>
        </w:rPr>
        <w:t>: Nested CV with SMOTE</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A paramount consideration in the development of robust, clinically reliable predictive models—particularly within the domain of biomedical informatics where datasets are frequently characterized by severe epidemiological class imbalances—is the absolute prevention of data leakage during the highly sensitive model evaluation phase [40]. Data leakage, a pervasive and often devastatingly subtle methodological flaw, occurs when statistical information from outside the designated training partition is inadvertently utilized to construct, normalize, or optimize the model.</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In the context of dealing with highly imbalanced datasets like the breast cancer cohort analyzed in this study (which exhibits a profound 4.51:1 ratio in favor of IDC), the application of </w:t>
      </w:r>
      <w:r w:rsidRPr="009E669E">
        <w:rPr>
          <w:rFonts w:ascii="Times New Roman" w:hAnsi="Times New Roman" w:cs="Times New Roman"/>
        </w:rPr>
        <w:lastRenderedPageBreak/>
        <w:t>oversampling techniques is virtually mandatory. Without it, classifiers will simply predict the majority class continuously, achieving spuriously high accuracy while completely failing to identify the critical minority cases (ILC). The Synthetic Minority Over-sampling Technique (SMOTE) represents the statistical gold standard for addressing such imbalances by mathematically generating intelligent, synthetic examples of the minority class [3, 17].</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However, while the mathematical formulation of SMOTE is exceptionally effective at defining and expanding decision boundaries, its precise architectural placement within the broader model evaluation pipeline is absolutely critical to ensuring the validity of the reported performance metrics. A common, yet catastrophic, methodological error observed in applied machine learning involves applying the synthetic oversampling algorithm to the </w:t>
      </w:r>
      <w:r w:rsidRPr="009E669E">
        <w:rPr>
          <w:rFonts w:ascii="Times New Roman" w:hAnsi="Times New Roman" w:cs="Times New Roman"/>
          <w:i/>
          <w:iCs/>
        </w:rPr>
        <w:t>entire</w:t>
      </w:r>
      <w:r w:rsidRPr="009E669E">
        <w:rPr>
          <w:rFonts w:ascii="Times New Roman" w:hAnsi="Times New Roman" w:cs="Times New Roman"/>
        </w:rPr>
        <w:t xml:space="preserve"> dataset </w:t>
      </w:r>
      <w:r w:rsidRPr="009E669E">
        <w:rPr>
          <w:rFonts w:ascii="Times New Roman" w:hAnsi="Times New Roman" w:cs="Times New Roman"/>
          <w:i/>
          <w:iCs/>
        </w:rPr>
        <w:t>prior</w:t>
      </w:r>
      <w:r w:rsidRPr="009E669E">
        <w:rPr>
          <w:rFonts w:ascii="Times New Roman" w:hAnsi="Times New Roman" w:cs="Times New Roman"/>
        </w:rPr>
        <w:t xml:space="preserve"> to partitioning it into training and validation sets. This erroneous approach inevitably causes synthetic instances mathematically derived from validation samples to bleed heavily into the training set. This effectively allows the model to “memorize” variations of the exact instances it will eventually be tested against during validation, leading to massive overestimation of true generalization capabilities and rendering the results clinically useless.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To definitively preclude this catastrophic data leakage, the proposed methodology rigorously designs and implements a meticulously structured </w:t>
      </w:r>
      <w:r w:rsidRPr="009E669E">
        <w:rPr>
          <w:rFonts w:ascii="Times New Roman" w:hAnsi="Times New Roman" w:cs="Times New Roman"/>
          <w:b/>
          <w:bCs/>
        </w:rPr>
        <w:t>“SMOTE-inside-CV”</w:t>
      </w:r>
      <w:r w:rsidRPr="009E669E">
        <w:rPr>
          <w:rFonts w:ascii="Times New Roman" w:hAnsi="Times New Roman" w:cs="Times New Roman"/>
        </w:rPr>
        <w:t xml:space="preserve"> protocol.</w:t>
      </w:r>
    </w:p>
    <w:p w:rsidR="00616761" w:rsidRPr="009E669E" w:rsidRDefault="00530AB9" w:rsidP="00A3695E">
      <w:pPr>
        <w:pStyle w:val="Compact"/>
        <w:numPr>
          <w:ilvl w:val="0"/>
          <w:numId w:val="15"/>
        </w:numPr>
        <w:spacing w:line="360" w:lineRule="auto"/>
        <w:jc w:val="both"/>
        <w:rPr>
          <w:rFonts w:ascii="Times New Roman" w:hAnsi="Times New Roman" w:cs="Times New Roman"/>
        </w:rPr>
      </w:pPr>
      <w:r w:rsidRPr="009E669E">
        <w:rPr>
          <w:rFonts w:ascii="Times New Roman" w:hAnsi="Times New Roman" w:cs="Times New Roman"/>
          <w:b/>
          <w:bCs/>
        </w:rPr>
        <w:t>Strict Validation Isolation:</w:t>
      </w:r>
      <w:r w:rsidRPr="009E669E">
        <w:rPr>
          <w:rFonts w:ascii="Times New Roman" w:hAnsi="Times New Roman" w:cs="Times New Roman"/>
        </w:rPr>
        <w:t xml:space="preserve"> This architecture embeds the oversampling procedure strictly and exclusively within the inner training loop of the stratified k-fold cross-validation mechanism [38]. During each discrete iteration of the cross-validation process, the dataset is first rigorously partitioned into entirely separate, mutually exclusive training and validation subsets.</w:t>
      </w:r>
    </w:p>
    <w:p w:rsidR="00616761" w:rsidRPr="009E669E" w:rsidRDefault="00530AB9" w:rsidP="00A3695E">
      <w:pPr>
        <w:pStyle w:val="Compact"/>
        <w:numPr>
          <w:ilvl w:val="0"/>
          <w:numId w:val="15"/>
        </w:numPr>
        <w:spacing w:line="360" w:lineRule="auto"/>
        <w:jc w:val="both"/>
        <w:rPr>
          <w:rFonts w:ascii="Times New Roman" w:hAnsi="Times New Roman" w:cs="Times New Roman"/>
        </w:rPr>
      </w:pPr>
      <w:r w:rsidRPr="009E669E">
        <w:rPr>
          <w:rFonts w:ascii="Times New Roman" w:hAnsi="Times New Roman" w:cs="Times New Roman"/>
          <w:b/>
          <w:bCs/>
        </w:rPr>
        <w:t>Targeted Synthetic Generation:</w:t>
      </w:r>
      <w:r w:rsidRPr="009E669E">
        <w:rPr>
          <w:rFonts w:ascii="Times New Roman" w:hAnsi="Times New Roman" w:cs="Times New Roman"/>
        </w:rPr>
        <w:t xml:space="preserve"> Only </w:t>
      </w:r>
      <w:r w:rsidRPr="009E669E">
        <w:rPr>
          <w:rFonts w:ascii="Times New Roman" w:hAnsi="Times New Roman" w:cs="Times New Roman"/>
          <w:i/>
          <w:iCs/>
        </w:rPr>
        <w:t>after</w:t>
      </w:r>
      <w:r w:rsidRPr="009E669E">
        <w:rPr>
          <w:rFonts w:ascii="Times New Roman" w:hAnsi="Times New Roman" w:cs="Times New Roman"/>
        </w:rPr>
        <w:t xml:space="preserve"> this strict segregation is the SMOTE algorithm applied, and it is applied </w:t>
      </w:r>
      <w:r w:rsidRPr="009E669E">
        <w:rPr>
          <w:rFonts w:ascii="Times New Roman" w:hAnsi="Times New Roman" w:cs="Times New Roman"/>
          <w:i/>
          <w:iCs/>
        </w:rPr>
        <w:t>exclusively</w:t>
      </w:r>
      <w:r w:rsidRPr="009E669E">
        <w:rPr>
          <w:rFonts w:ascii="Times New Roman" w:hAnsi="Times New Roman" w:cs="Times New Roman"/>
        </w:rPr>
        <w:t xml:space="preserve"> to the isolated training subset. The validation subset remains completely pristine, entirely devoid of any synthetic manipulation, and perfectly preserves the original, highly imbalanced class distribution that accurately reflects real-world clinical prevalence.</w:t>
      </w:r>
    </w:p>
    <w:p w:rsidR="00616761" w:rsidRPr="009E669E" w:rsidRDefault="00530AB9" w:rsidP="00A3695E">
      <w:pPr>
        <w:pStyle w:val="Compact"/>
        <w:numPr>
          <w:ilvl w:val="0"/>
          <w:numId w:val="15"/>
        </w:numPr>
        <w:spacing w:line="360" w:lineRule="auto"/>
        <w:jc w:val="both"/>
        <w:rPr>
          <w:rFonts w:ascii="Times New Roman" w:hAnsi="Times New Roman" w:cs="Times New Roman"/>
        </w:rPr>
      </w:pPr>
      <w:r w:rsidRPr="009E669E">
        <w:rPr>
          <w:rFonts w:ascii="Times New Roman" w:hAnsi="Times New Roman" w:cs="Times New Roman"/>
          <w:b/>
          <w:bCs/>
        </w:rPr>
        <w:t>Dynamic Statistical Scaling:</w:t>
      </w:r>
      <w:r w:rsidRPr="009E669E">
        <w:rPr>
          <w:rFonts w:ascii="Times New Roman" w:hAnsi="Times New Roman" w:cs="Times New Roman"/>
        </w:rPr>
        <w:t xml:space="preserve"> Furthermore, this overriding principle of strict isolation is extended to all data preprocessing transformations, most notably the crucial step of feature scaling. Consistent with the leak-free philosophy, the statistical parameters </w:t>
      </w:r>
      <w:r w:rsidRPr="009E669E">
        <w:rPr>
          <w:rFonts w:ascii="Times New Roman" w:hAnsi="Times New Roman" w:cs="Times New Roman"/>
        </w:rPr>
        <w:lastRenderedPageBreak/>
        <w:t xml:space="preserve">required for standardizing the data (specifically the mean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train</m:t>
            </m:r>
          </m:sub>
        </m:sSub>
      </m:oMath>
      <w:r w:rsidRPr="009E669E">
        <w:rPr>
          <w:rFonts w:ascii="Times New Roman" w:hAnsi="Times New Roman" w:cs="Times New Roman"/>
        </w:rPr>
        <w:t xml:space="preserve"> and the standard deviation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train</m:t>
            </m:r>
          </m:sub>
        </m:sSub>
      </m:oMath>
      <w:r w:rsidRPr="009E669E">
        <w:rPr>
          <w:rFonts w:ascii="Times New Roman" w:hAnsi="Times New Roman" w:cs="Times New Roman"/>
        </w:rPr>
        <w:t xml:space="preserve">) are meticulously calculated utilizing </w:t>
      </w:r>
      <w:r w:rsidRPr="009E669E">
        <w:rPr>
          <w:rFonts w:ascii="Times New Roman" w:hAnsi="Times New Roman" w:cs="Times New Roman"/>
          <w:i/>
          <w:iCs/>
        </w:rPr>
        <w:t>exclusively</w:t>
      </w:r>
      <w:r w:rsidRPr="009E669E">
        <w:rPr>
          <w:rFonts w:ascii="Times New Roman" w:hAnsi="Times New Roman" w:cs="Times New Roman"/>
        </w:rPr>
        <w:t xml:space="preserve"> the instances present within the current training fold. These dynamically derived scaling parameters are subsequently applied to transform both the training data and, crucially, the unseen validation data.</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This mathematically rigorous and procedurally strict evaluation framework guarantees with absolute certainty that the final aggregated performance metrics (including F1-Macro, MCC, and AUC-ROC) represent a highly conservative, exceptionally reliable, and completely unbiased estimation of the model’s true diagnostic efficacy when confronted with genuinely novel, previously unseen clinical patient data.</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19" w:name="machine-learning-classification-models"/>
      <w:bookmarkEnd w:id="18"/>
      <w:r w:rsidRPr="009E669E">
        <w:rPr>
          <w:rFonts w:ascii="Times New Roman" w:hAnsi="Times New Roman" w:cs="Times New Roman"/>
          <w:b/>
          <w:color w:val="auto"/>
          <w:sz w:val="24"/>
        </w:rPr>
        <w:t>3.5 Machine Learning Classification Models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core predictive engine of the proposed framework relies on the systematic deployment, rigorous hyperparameter optimization, and comprehensive comparative evaluation of a diverse portfolio of advanced machine learning classification algorithms. Recognizing the fundamental mathematical principle of the “No Free Lunch” theorem—which dictates that no single algorithmic architecture is universally superior across all possible problem domains and data distributions—the methodology purposefully incorporates eight distinct modeling architectures.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These highly specialized algorithms span a wide spectrum of theoretical paradigms, ranging from highly interpretable probabilistic linear classifiers to highly complex, non-linear deep ensemble techniques and sophisticated stacked meta-learning frameworks [37]. By evaluating this broad array of algorithms under identical, rigorously controlled experimental conditions enforced by the leak-free cross-validation protocol, the research aims to definitively identify the optimal inductive bias required to decipher the complex multi-omics signatures differentiating the breast cancer subtypes.</w:t>
      </w:r>
    </w:p>
    <w:p w:rsidR="00616761" w:rsidRPr="009E669E" w:rsidRDefault="00616761" w:rsidP="00A3695E">
      <w:pPr>
        <w:pStyle w:val="BodyText"/>
        <w:spacing w:line="360" w:lineRule="auto"/>
        <w:jc w:val="both"/>
        <w:rPr>
          <w:rFonts w:ascii="Times New Roman" w:hAnsi="Times New Roman" w:cs="Times New Roman"/>
        </w:rPr>
      </w:pPr>
    </w:p>
    <w:p w:rsidR="00CC2E29" w:rsidRPr="009E669E" w:rsidRDefault="00CC2E29"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tbl>
      <w:tblPr>
        <w:tblStyle w:val="Table"/>
        <w:tblW w:w="5000" w:type="pct"/>
        <w:tblLayout w:type="fixed"/>
        <w:tblLook w:val="0020" w:firstRow="1" w:lastRow="0" w:firstColumn="0" w:lastColumn="0" w:noHBand="0" w:noVBand="0"/>
      </w:tblPr>
      <w:tblGrid>
        <w:gridCol w:w="3192"/>
        <w:gridCol w:w="3192"/>
        <w:gridCol w:w="3192"/>
      </w:tblGrid>
      <w:tr w:rsidR="00616761" w:rsidRPr="009E669E" w:rsidTr="00616761">
        <w:trPr>
          <w:cnfStyle w:val="100000000000" w:firstRow="1" w:lastRow="0" w:firstColumn="0" w:lastColumn="0" w:oddVBand="0" w:evenVBand="0" w:oddHBand="0" w:evenHBand="0" w:firstRowFirstColumn="0" w:firstRowLastColumn="0" w:lastRowFirstColumn="0" w:lastRowLastColumn="0"/>
          <w:tblHeader/>
        </w:trPr>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Algorithmic Category</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Specific Model</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Theoretical Characteristics &amp; Biological Rationale</w:t>
            </w:r>
          </w:p>
        </w:tc>
      </w:tr>
      <w:tr w:rsidR="00616761" w:rsidRPr="009E669E">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Baseline Linear &amp; Probabilistic Models</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Logistic Regression</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Serves as a fundamental, highly interpretable baseline model. Operates on the principle of maximum likelihood estimation. Regularized variants provide robust performance in high-dimensional spaces while offering unparalleled transparency regarding the directional impact of individual biological features.</w:t>
            </w:r>
          </w:p>
        </w:tc>
      </w:tr>
      <w:tr w:rsidR="00616761" w:rsidRPr="009E669E">
        <w:tc>
          <w:tcPr>
            <w:tcW w:w="2640" w:type="dxa"/>
          </w:tcPr>
          <w:p w:rsidR="00616761" w:rsidRPr="009E669E" w:rsidRDefault="00616761" w:rsidP="00A3695E">
            <w:pPr>
              <w:pStyle w:val="Compact"/>
              <w:spacing w:line="360" w:lineRule="auto"/>
              <w:jc w:val="both"/>
              <w:rPr>
                <w:rFonts w:ascii="Times New Roman" w:hAnsi="Times New Roman" w:cs="Times New Roman"/>
              </w:rPr>
            </w:pP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Naive Bayes</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 probabilistic classifier fundamentally predicated on the application of Bayes’ theorem with the strong assumption of conditional independence between input features. Despite its simplistic assumptions, it often exhibits remarkable robustness and computational efficiency, serving as a valuable probabilistic benchmark.</w:t>
            </w:r>
          </w:p>
        </w:tc>
      </w:tr>
      <w:tr w:rsidR="00616761" w:rsidRPr="009E669E">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Instance-Based &amp; Geometric Models</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K-Nearest Neighbors (KNN)</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An instance-based, non-parametric learning algorithm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5</m:t>
              </m:r>
            </m:oMath>
            <w:r w:rsidRPr="009E669E">
              <w:rPr>
                <w:rFonts w:ascii="Times New Roman" w:hAnsi="Times New Roman" w:cs="Times New Roman"/>
              </w:rPr>
              <w:t xml:space="preserve">) that classifies novel instances based on a majority </w:t>
            </w:r>
            <w:r w:rsidRPr="009E669E">
              <w:rPr>
                <w:rFonts w:ascii="Times New Roman" w:hAnsi="Times New Roman" w:cs="Times New Roman"/>
              </w:rPr>
              <w:lastRenderedPageBreak/>
              <w:t>vote of their closest neighbors in the multi-dimensional feature space. It makes minimal assumptions regarding the underlying global data distribution.</w:t>
            </w:r>
          </w:p>
        </w:tc>
      </w:tr>
      <w:tr w:rsidR="00616761" w:rsidRPr="009E669E">
        <w:tc>
          <w:tcPr>
            <w:tcW w:w="2640" w:type="dxa"/>
          </w:tcPr>
          <w:p w:rsidR="00616761" w:rsidRPr="009E669E" w:rsidRDefault="00616761" w:rsidP="00A3695E">
            <w:pPr>
              <w:pStyle w:val="Compact"/>
              <w:spacing w:line="360" w:lineRule="auto"/>
              <w:jc w:val="both"/>
              <w:rPr>
                <w:rFonts w:ascii="Times New Roman" w:hAnsi="Times New Roman" w:cs="Times New Roman"/>
              </w:rPr>
            </w:pP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Support Vector Machine (SVM)</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Utilizes a non-linear Radial Basis Function (RBF) kernel to implicitly map input features into an infinite-dimensional space. Identifies the optimal hyperplane that maximizes the margin of separation between classes, enabling the discovery of highly complex, non-linear decision boundaries essential for intricate biological datasets [25].</w:t>
            </w:r>
          </w:p>
        </w:tc>
      </w:tr>
      <w:tr w:rsidR="00616761" w:rsidRPr="009E669E">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Tree-Based Ensemble Methods</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Random Forest</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An evolution of the bagging paradigm that constructs a vast multitude of decision trees (1,000 trees). Injects randomness by bootstrapping training samples and selecting random feature subsets at each split node. Highly robust against overfitting and capable </w:t>
            </w:r>
            <w:r w:rsidRPr="009E669E">
              <w:rPr>
                <w:rFonts w:ascii="Times New Roman" w:hAnsi="Times New Roman" w:cs="Times New Roman"/>
              </w:rPr>
              <w:lastRenderedPageBreak/>
              <w:t>of handling complex non-linear interactions without extensive tuning [18, 34].</w:t>
            </w:r>
          </w:p>
        </w:tc>
      </w:tr>
      <w:tr w:rsidR="00616761" w:rsidRPr="009E669E">
        <w:tc>
          <w:tcPr>
            <w:tcW w:w="2640" w:type="dxa"/>
          </w:tcPr>
          <w:p w:rsidR="00616761" w:rsidRPr="009E669E" w:rsidRDefault="00616761" w:rsidP="00A3695E">
            <w:pPr>
              <w:pStyle w:val="Compact"/>
              <w:spacing w:line="360" w:lineRule="auto"/>
              <w:jc w:val="both"/>
              <w:rPr>
                <w:rFonts w:ascii="Times New Roman" w:hAnsi="Times New Roman" w:cs="Times New Roman"/>
              </w:rPr>
            </w:pP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eXtreme Gradient Boosting (XGBoost)</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Represents the pinnacle of the sequential gradient boosting framework. Each new tree is specifically optimized using second-order gradient approximation to predict and correct the residual errors generated by the ensemble of all previously constructed trees [34].</w:t>
            </w:r>
          </w:p>
        </w:tc>
      </w:tr>
      <w:tr w:rsidR="00616761" w:rsidRPr="009E669E">
        <w:tc>
          <w:tcPr>
            <w:tcW w:w="2640" w:type="dxa"/>
          </w:tcPr>
          <w:p w:rsidR="00616761" w:rsidRPr="009E669E" w:rsidRDefault="00616761" w:rsidP="00A3695E">
            <w:pPr>
              <w:pStyle w:val="Compact"/>
              <w:spacing w:line="360" w:lineRule="auto"/>
              <w:jc w:val="both"/>
              <w:rPr>
                <w:rFonts w:ascii="Times New Roman" w:hAnsi="Times New Roman" w:cs="Times New Roman"/>
              </w:rPr>
            </w:pP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Light Gradient Boosting Machine (LightGBM)</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 highly optimized implementation of gradient boosting that distinguishes itself through a novel histogram-based algorithm for continuous feature binning and a unique leaf-wise tree growth strategy. Drastically reduces computational overhead while frequently exceeding the predictive accuracy of traditional boosting [18].</w:t>
            </w:r>
          </w:p>
        </w:tc>
      </w:tr>
      <w:tr w:rsidR="00616761" w:rsidRPr="009E669E">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Advanced Meta-Learning Frameworks</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Stacking Ensemble</w:t>
            </w:r>
          </w:p>
        </w:tc>
        <w:tc>
          <w:tcPr>
            <w:tcW w:w="264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A sophisticated meta-learning approach that transcends the </w:t>
            </w:r>
            <w:r w:rsidRPr="009E669E">
              <w:rPr>
                <w:rFonts w:ascii="Times New Roman" w:hAnsi="Times New Roman" w:cs="Times New Roman"/>
              </w:rPr>
              <w:lastRenderedPageBreak/>
              <w:t>limitations of individual algorithms by intelligently synthesizing the predictive capabilities of diverse base models (RF, XGBoost, LightGBM). The continuous probability predictions from base classifiers are aggregated and fed into a regularized Logistic Regression meta-learner to identify optimal regions of trust in the complex feature space [37].</w:t>
            </w:r>
          </w:p>
        </w:tc>
      </w:tr>
    </w:tbl>
    <w:p w:rsidR="00A8008A" w:rsidRPr="009E669E" w:rsidRDefault="00A8008A" w:rsidP="00A3695E">
      <w:pPr>
        <w:pStyle w:val="FirstParagraph"/>
        <w:spacing w:line="360" w:lineRule="auto"/>
        <w:jc w:val="center"/>
        <w:rPr>
          <w:rFonts w:ascii="Times New Roman" w:hAnsi="Times New Roman" w:cs="Times New Roman"/>
        </w:rPr>
      </w:pPr>
      <w:bookmarkStart w:id="20" w:name="X7461e4812cd5bae8781635514149ea4ca0ff3b6"/>
      <w:bookmarkEnd w:id="19"/>
      <w:r w:rsidRPr="009E669E">
        <w:rPr>
          <w:rFonts w:ascii="Times New Roman" w:hAnsi="Times New Roman" w:cs="Times New Roman"/>
          <w:bCs/>
        </w:rPr>
        <w:lastRenderedPageBreak/>
        <w:t>Table 3.3: Comprehensive Overview of Evaluated Machine Learning Architectures</w:t>
      </w:r>
    </w:p>
    <w:p w:rsidR="00A8008A" w:rsidRPr="009E669E" w:rsidRDefault="00A8008A" w:rsidP="00A3695E">
      <w:pPr>
        <w:pStyle w:val="Heading2"/>
        <w:spacing w:line="360" w:lineRule="auto"/>
        <w:jc w:val="both"/>
        <w:rPr>
          <w:rFonts w:ascii="Times New Roman" w:hAnsi="Times New Roman" w:cs="Times New Roman"/>
          <w:b/>
          <w:color w:val="auto"/>
          <w:sz w:val="24"/>
        </w:rPr>
      </w:pPr>
      <w:r w:rsidRPr="009E669E">
        <w:rPr>
          <w:rFonts w:ascii="Times New Roman" w:hAnsi="Times New Roman" w:cs="Times New Roman"/>
          <w:b/>
          <w:color w:val="auto"/>
          <w:sz w:val="24"/>
        </w:rPr>
        <w:t>3.6 Cross-</w:t>
      </w:r>
      <w:proofErr w:type="spellStart"/>
      <w:r w:rsidRPr="009E669E">
        <w:rPr>
          <w:rFonts w:ascii="Times New Roman" w:hAnsi="Times New Roman" w:cs="Times New Roman"/>
          <w:b/>
          <w:color w:val="auto"/>
          <w:sz w:val="24"/>
        </w:rPr>
        <w:t>Omics</w:t>
      </w:r>
      <w:proofErr w:type="spellEnd"/>
      <w:r w:rsidRPr="009E669E">
        <w:rPr>
          <w:rFonts w:ascii="Times New Roman" w:hAnsi="Times New Roman" w:cs="Times New Roman"/>
          <w:b/>
          <w:color w:val="auto"/>
          <w:sz w:val="24"/>
        </w:rPr>
        <w:t xml:space="preserve"> SHAP Layer Attribution Framework</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While achieving exceptionally high predictive accuracy is a fundamental, non-negotiable requirement of the classification framework, the deployment of machine learning in highly sensitive clinical domains necessitates an absolutely equal emphasis on biological interpretability and algorithmic transparency. Deeply complex, highly non-linear models like XGBoost and Stacking Ensembles are notoriously characterized as opaque “black boxes,” providing accurate clinical predictions without articulating the underlying medical rationale.</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To entirely demystify these advanced models, extract actionable biological insights, and foster clinician trust, the methodology implements a comprehensive, state-of-the-art </w:t>
      </w:r>
      <w:r w:rsidRPr="009E669E">
        <w:rPr>
          <w:rFonts w:ascii="Times New Roman" w:hAnsi="Times New Roman" w:cs="Times New Roman"/>
          <w:b/>
          <w:bCs/>
        </w:rPr>
        <w:t>Cross-Omics SHapley Additive exPlanations (SHAP) Layer Attribution Framework</w:t>
      </w:r>
      <w:r w:rsidRPr="009E669E">
        <w:rPr>
          <w:rFonts w:ascii="Times New Roman" w:hAnsi="Times New Roman" w:cs="Times New Roman"/>
        </w:rPr>
        <w:t xml:space="preserve"> [2, 18].</w:t>
      </w:r>
    </w:p>
    <w:p w:rsidR="00616761" w:rsidRPr="009E669E" w:rsidRDefault="00530AB9" w:rsidP="00A3695E">
      <w:pPr>
        <w:pStyle w:val="Compact"/>
        <w:numPr>
          <w:ilvl w:val="0"/>
          <w:numId w:val="16"/>
        </w:numPr>
        <w:spacing w:line="360" w:lineRule="auto"/>
        <w:jc w:val="both"/>
        <w:rPr>
          <w:rFonts w:ascii="Times New Roman" w:hAnsi="Times New Roman" w:cs="Times New Roman"/>
        </w:rPr>
      </w:pPr>
      <w:r w:rsidRPr="009E669E">
        <w:rPr>
          <w:rFonts w:ascii="Times New Roman" w:hAnsi="Times New Roman" w:cs="Times New Roman"/>
          <w:b/>
          <w:bCs/>
        </w:rPr>
        <w:t>Theoretical Foundation:</w:t>
      </w:r>
      <w:r w:rsidRPr="009E669E">
        <w:rPr>
          <w:rFonts w:ascii="Times New Roman" w:hAnsi="Times New Roman" w:cs="Times New Roman"/>
        </w:rPr>
        <w:t xml:space="preserve"> SHAP is firmly grounded in rigorous cooperative game theory. It specifically adapts the Nobel Prize-winning concept of Shapley values to strictly and fairly allocate the credit for a specific model prediction among all the constituent input </w:t>
      </w:r>
      <w:r w:rsidRPr="009E669E">
        <w:rPr>
          <w:rFonts w:ascii="Times New Roman" w:hAnsi="Times New Roman" w:cs="Times New Roman"/>
        </w:rPr>
        <w:lastRenderedPageBreak/>
        <w:t>features. The core mathematical foundation asserts that the output of any complex predictive model can be perfectly approximated by an additive, linear explanation model, ensuring mathematical consistency that localized perturbation methods (like LIME) often lack.</w:t>
      </w:r>
    </w:p>
    <w:p w:rsidR="00616761" w:rsidRPr="009E669E" w:rsidRDefault="00530AB9" w:rsidP="00A3695E">
      <w:pPr>
        <w:pStyle w:val="Compact"/>
        <w:numPr>
          <w:ilvl w:val="0"/>
          <w:numId w:val="16"/>
        </w:numPr>
        <w:spacing w:line="360" w:lineRule="auto"/>
        <w:jc w:val="both"/>
        <w:rPr>
          <w:rFonts w:ascii="Times New Roman" w:hAnsi="Times New Roman" w:cs="Times New Roman"/>
        </w:rPr>
      </w:pPr>
      <w:r w:rsidRPr="009E669E">
        <w:rPr>
          <w:rFonts w:ascii="Times New Roman" w:hAnsi="Times New Roman" w:cs="Times New Roman"/>
          <w:b/>
          <w:bCs/>
        </w:rPr>
        <w:t>Granular Instance-Level Interpretability:</w:t>
      </w:r>
      <w:r w:rsidRPr="009E669E">
        <w:rPr>
          <w:rFonts w:ascii="Times New Roman" w:hAnsi="Times New Roman" w:cs="Times New Roman"/>
        </w:rPr>
        <w:t xml:space="preserve"> At the local level, SHAP provides a precise, highly accurate quantification of how each individual biomarker (e.g., the expression level of E-Cadherin) pushes the model’s prediction away from the baseline expected value for a </w:t>
      </w:r>
      <w:r w:rsidRPr="009E669E">
        <w:rPr>
          <w:rFonts w:ascii="Times New Roman" w:hAnsi="Times New Roman" w:cs="Times New Roman"/>
          <w:i/>
          <w:iCs/>
        </w:rPr>
        <w:t>specific patient</w:t>
      </w:r>
      <w:r w:rsidRPr="009E669E">
        <w:rPr>
          <w:rFonts w:ascii="Times New Roman" w:hAnsi="Times New Roman" w:cs="Times New Roman"/>
        </w:rPr>
        <w:t>. This offers highly personalized interpretability essential for clinical translation.</w:t>
      </w:r>
    </w:p>
    <w:p w:rsidR="00616761" w:rsidRPr="009E669E" w:rsidRDefault="00530AB9" w:rsidP="00A3695E">
      <w:pPr>
        <w:pStyle w:val="Compact"/>
        <w:numPr>
          <w:ilvl w:val="0"/>
          <w:numId w:val="16"/>
        </w:numPr>
        <w:spacing w:line="360" w:lineRule="auto"/>
        <w:jc w:val="both"/>
        <w:rPr>
          <w:rFonts w:ascii="Times New Roman" w:hAnsi="Times New Roman" w:cs="Times New Roman"/>
        </w:rPr>
      </w:pPr>
      <w:r w:rsidRPr="009E669E">
        <w:rPr>
          <w:rFonts w:ascii="Times New Roman" w:hAnsi="Times New Roman" w:cs="Times New Roman"/>
          <w:b/>
          <w:bCs/>
        </w:rPr>
        <w:t>Global Feature Importance:</w:t>
      </w:r>
      <w:r w:rsidRPr="009E669E">
        <w:rPr>
          <w:rFonts w:ascii="Times New Roman" w:hAnsi="Times New Roman" w:cs="Times New Roman"/>
        </w:rPr>
        <w:t xml:space="preserve"> To transition from local explanations to global, cohort-wide feature importance, the methodology calculates the global mean absolute SHAP value for each feature. This provides a robust, theoretically sound, rank-ordered hierarchy of overall feature importance across the entire evaluated population.</w:t>
      </w:r>
    </w:p>
    <w:p w:rsidR="00616761" w:rsidRPr="009E669E" w:rsidRDefault="00530AB9" w:rsidP="00A3695E">
      <w:pPr>
        <w:pStyle w:val="Compact"/>
        <w:numPr>
          <w:ilvl w:val="0"/>
          <w:numId w:val="16"/>
        </w:numPr>
        <w:spacing w:line="360" w:lineRule="auto"/>
        <w:jc w:val="both"/>
        <w:rPr>
          <w:rFonts w:ascii="Times New Roman" w:hAnsi="Times New Roman" w:cs="Times New Roman"/>
        </w:rPr>
      </w:pPr>
      <w:r w:rsidRPr="009E669E">
        <w:rPr>
          <w:rFonts w:ascii="Times New Roman" w:hAnsi="Times New Roman" w:cs="Times New Roman"/>
          <w:b/>
          <w:bCs/>
        </w:rPr>
        <w:t>Novel Layer Attribution Metric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L</m:t>
            </m:r>
          </m:sub>
        </m:sSub>
      </m:oMath>
      <w:r w:rsidRPr="009E669E">
        <w:rPr>
          <w:rFonts w:ascii="Times New Roman" w:hAnsi="Times New Roman" w:cs="Times New Roman"/>
          <w:b/>
          <w:bCs/>
        </w:rPr>
        <w:t>):</w:t>
      </w:r>
      <w:r w:rsidRPr="009E669E">
        <w:rPr>
          <w:rFonts w:ascii="Times New Roman" w:hAnsi="Times New Roman" w:cs="Times New Roman"/>
        </w:rPr>
        <w:t xml:space="preserve"> The true innovation of the proposed methodology lies in the sophisticated extension of these granular SHAP values to quantify the overarching predictive influence of </w:t>
      </w:r>
      <w:r w:rsidRPr="009E669E">
        <w:rPr>
          <w:rFonts w:ascii="Times New Roman" w:hAnsi="Times New Roman" w:cs="Times New Roman"/>
          <w:i/>
          <w:iCs/>
        </w:rPr>
        <w:t>entire omics modalities</w:t>
      </w:r>
      <w:r w:rsidRPr="009E669E">
        <w:rPr>
          <w:rFonts w:ascii="Times New Roman" w:hAnsi="Times New Roman" w:cs="Times New Roman"/>
        </w:rPr>
        <w:t>. The framework introduces a novel Layer Attribution metric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L</m:t>
            </m:r>
          </m:sub>
        </m:sSub>
      </m:oMath>
      <w:r w:rsidRPr="009E669E">
        <w:rPr>
          <w:rFonts w:ascii="Times New Roman" w:hAnsi="Times New Roman" w:cs="Times New Roman"/>
        </w:rPr>
        <w:t>). This metric is mathematically defined as the summation of the absolute SHAP values for all features belonging strictly to a specific biological layer (</w:t>
      </w:r>
      <m:oMath>
        <m:r>
          <w:rPr>
            <w:rFonts w:ascii="Cambria Math" w:hAnsi="Cambria Math" w:cs="Times New Roman"/>
          </w:rPr>
          <m:t>L</m:t>
        </m:r>
      </m:oMath>
      <w:r w:rsidRPr="009E669E">
        <w:rPr>
          <w:rFonts w:ascii="Times New Roman" w:hAnsi="Times New Roman" w:cs="Times New Roman"/>
        </w:rPr>
        <w:t>), divided by the total summation of absolute SHAP values across all features in the entire model. This explicitly, definitively quantifies the overall contribution of the transcriptomic, proteomic, epigenomic, and genomic layers to the final classification decision, illuminating the hierarchical biological drivers of the malignancy.</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21" w:name="evaluation-metrics"/>
      <w:bookmarkEnd w:id="20"/>
      <w:r w:rsidRPr="009E669E">
        <w:rPr>
          <w:rFonts w:ascii="Times New Roman" w:hAnsi="Times New Roman" w:cs="Times New Roman"/>
          <w:b/>
          <w:color w:val="auto"/>
          <w:sz w:val="24"/>
        </w:rPr>
        <w:t>3.7 Evaluation Metrics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 xml:space="preserve">The rigorous, mathematically objective quantification of the predictive performance exhibited by the deployed machine learning models is absolutely essential for determining their comparative efficacy and true clinical viability. Given the severe, intrinsic class imbalance characterizing the primary dataset (4.51:1 ratio), reliance on traditional, naive evaluation metrics such as simple overall classification accuracy is fundamentally flawed, mathematically deceptive, and dangerously misleading in a clinical context. A primitive model that entirely ignores the </w:t>
      </w:r>
      <w:r w:rsidRPr="009E669E">
        <w:rPr>
          <w:rFonts w:ascii="Times New Roman" w:hAnsi="Times New Roman" w:cs="Times New Roman"/>
        </w:rPr>
        <w:lastRenderedPageBreak/>
        <w:t>biological features and invariably predicts the majority class (IDC) would still achieve an accuracy exceeding 81%, completely masking its utter failure to identify any of the critical minority cases (ILC).</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Consequently, the proposed methodology stringently mandates the utilization of a sophisticated suite of robust, highly imbalance-aware statistical evaluation metrics to provide a comprehensive, transparent, and punishing assessment of model performance:</w:t>
      </w:r>
    </w:p>
    <w:p w:rsidR="00616761" w:rsidRPr="009E669E" w:rsidRDefault="00530AB9" w:rsidP="00A3695E">
      <w:pPr>
        <w:pStyle w:val="Compact"/>
        <w:numPr>
          <w:ilvl w:val="0"/>
          <w:numId w:val="17"/>
        </w:numPr>
        <w:spacing w:line="360" w:lineRule="auto"/>
        <w:jc w:val="both"/>
        <w:rPr>
          <w:rFonts w:ascii="Times New Roman" w:hAnsi="Times New Roman" w:cs="Times New Roman"/>
        </w:rPr>
      </w:pPr>
      <w:r w:rsidRPr="009E669E">
        <w:rPr>
          <w:rFonts w:ascii="Times New Roman" w:hAnsi="Times New Roman" w:cs="Times New Roman"/>
          <w:b/>
          <w:bCs/>
        </w:rPr>
        <w:t>F1-Macro Score:</w:t>
      </w:r>
      <w:r w:rsidRPr="009E669E">
        <w:rPr>
          <w:rFonts w:ascii="Times New Roman" w:hAnsi="Times New Roman" w:cs="Times New Roman"/>
        </w:rPr>
        <w:t xml:space="preserve"> The primary metric utilized for assessing balanced classification performance. The F1 score is fundamentally defined as the harmonic mean of precision (positive predictive value) and recall (sensitivity). The macro-averaging approach is absolutely crucial in the context of extreme class imbalance; it calculates the specific F1 score completely independently for both the IDC class and the ILC class, and subsequently computes the unweighted arithmetic mean of these two independent scores. By mathematically ignoring the disparate frequencies of the classes, the F1-Macro score treats the successful identification of the rare minority class as equally important to the identification of the highly prevalent majority class, providing a highly conservative and realistic assessment of diagnostic utility.</w:t>
      </w:r>
    </w:p>
    <w:p w:rsidR="00616761" w:rsidRPr="009E669E" w:rsidRDefault="00530AB9" w:rsidP="00A3695E">
      <w:pPr>
        <w:pStyle w:val="Compact"/>
        <w:numPr>
          <w:ilvl w:val="0"/>
          <w:numId w:val="17"/>
        </w:numPr>
        <w:spacing w:line="360" w:lineRule="auto"/>
        <w:jc w:val="both"/>
        <w:rPr>
          <w:rFonts w:ascii="Times New Roman" w:hAnsi="Times New Roman" w:cs="Times New Roman"/>
        </w:rPr>
      </w:pPr>
      <w:r w:rsidRPr="009E669E">
        <w:rPr>
          <w:rFonts w:ascii="Times New Roman" w:hAnsi="Times New Roman" w:cs="Times New Roman"/>
          <w:b/>
          <w:bCs/>
        </w:rPr>
        <w:t>Matthews Correlation Coefficient (MCC):</w:t>
      </w:r>
      <w:r w:rsidRPr="009E669E">
        <w:rPr>
          <w:rFonts w:ascii="Times New Roman" w:hAnsi="Times New Roman" w:cs="Times New Roman"/>
        </w:rPr>
        <w:t xml:space="preserve"> Rigorously incorporated to provide a unified, highly reliable, single-value metric of classification quality [25]. The MCC is universally regarded as one of the most robust statistical measures for evaluating binary classifiers, particularly when dealing with datasets exhibiting extreme class skew. Unlike precision, recall, or F1 scores which focus heavily on specific, limited subsets of the confusion matrix, the MCC elegantly and mathematically incorporates all four foundational values: True Positives (TP), True Negatives (TN), False Positives (FP), and False Negatives (FN). This comprehensive formulation ensures that the MCC only yields a high score if the classifier consistently achieves highly accurate predictions for </w:t>
      </w:r>
      <w:r w:rsidRPr="009E669E">
        <w:rPr>
          <w:rFonts w:ascii="Times New Roman" w:hAnsi="Times New Roman" w:cs="Times New Roman"/>
          <w:i/>
          <w:iCs/>
        </w:rPr>
        <w:t>both</w:t>
      </w:r>
      <w:r w:rsidRPr="009E669E">
        <w:rPr>
          <w:rFonts w:ascii="Times New Roman" w:hAnsi="Times New Roman" w:cs="Times New Roman"/>
        </w:rPr>
        <w:t xml:space="preserve"> the majority and the minority classes, providing an exceptionally stringent evaluation standard.</w:t>
      </w:r>
    </w:p>
    <w:p w:rsidR="00616761" w:rsidRPr="009E669E" w:rsidRDefault="00530AB9" w:rsidP="00A3695E">
      <w:pPr>
        <w:pStyle w:val="Compact"/>
        <w:numPr>
          <w:ilvl w:val="0"/>
          <w:numId w:val="17"/>
        </w:numPr>
        <w:spacing w:line="360" w:lineRule="auto"/>
        <w:jc w:val="both"/>
        <w:rPr>
          <w:rFonts w:ascii="Times New Roman" w:hAnsi="Times New Roman" w:cs="Times New Roman"/>
        </w:rPr>
      </w:pPr>
      <w:r w:rsidRPr="009E669E">
        <w:rPr>
          <w:rFonts w:ascii="Times New Roman" w:hAnsi="Times New Roman" w:cs="Times New Roman"/>
          <w:b/>
          <w:bCs/>
        </w:rPr>
        <w:t>Area Under the Receiver Operating Characteristic Curve (AUC-ROC):</w:t>
      </w:r>
      <w:r w:rsidRPr="009E669E">
        <w:rPr>
          <w:rFonts w:ascii="Times New Roman" w:hAnsi="Times New Roman" w:cs="Times New Roman"/>
        </w:rPr>
        <w:t xml:space="preserve"> Utilized to thoroughly evaluate the discriminative capacity of the models across all varying classification thresholds. The ROC curve provides a graphical representation of the </w:t>
      </w:r>
      <w:r w:rsidRPr="009E669E">
        <w:rPr>
          <w:rFonts w:ascii="Times New Roman" w:hAnsi="Times New Roman" w:cs="Times New Roman"/>
        </w:rPr>
        <w:lastRenderedPageBreak/>
        <w:t>fundamental trade-off between the true positive rate (sensitivity) and the false positive rate (1 - specificity) as the decision threshold is systematically varied. The Area Under the Curve (AUC) mathematically condenses this vast graphical information into a single scalar value ranging from 0.0 to 1.0. An AUC of 0.5 indicates a model with no discriminative ability (equivalent to random guessing), while a perfect score of 1.0 represents an idealized model capable of perfectly distinguishing between the disease subtypes across all possible operational thresholds.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 xml:space="preserve">The synergistic combination of these robust, highly specialized metrics ensures a meticulous, multifaceted, and uncompromising evaluation of the predictive architectures developed in this thesis. </w:t>
      </w: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A8008A" w:rsidRPr="009E669E" w:rsidRDefault="00A8008A" w:rsidP="00A3695E">
      <w:pPr>
        <w:pStyle w:val="BodyText"/>
        <w:spacing w:line="360" w:lineRule="auto"/>
        <w:jc w:val="both"/>
        <w:rPr>
          <w:rFonts w:ascii="Times New Roman" w:hAnsi="Times New Roman" w:cs="Times New Roman"/>
        </w:rPr>
      </w:pPr>
    </w:p>
    <w:p w:rsidR="00616761" w:rsidRPr="009E669E" w:rsidRDefault="00530AB9" w:rsidP="00A3695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lastRenderedPageBreak/>
        <w:t>CHAPTER IV</w:t>
      </w:r>
    </w:p>
    <w:p w:rsidR="00A8008A" w:rsidRPr="009E669E" w:rsidRDefault="00530AB9" w:rsidP="00A3695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t>Results and Evaluation</w:t>
      </w:r>
      <w:bookmarkStart w:id="22" w:name="primary-benchmark-performance"/>
      <w:bookmarkEnd w:id="21"/>
    </w:p>
    <w:p w:rsidR="00A8008A" w:rsidRPr="009E669E" w:rsidRDefault="00530AB9" w:rsidP="00A3695E">
      <w:pPr>
        <w:pStyle w:val="BodyText"/>
        <w:spacing w:line="360" w:lineRule="auto"/>
        <w:rPr>
          <w:rFonts w:ascii="Times New Roman" w:hAnsi="Times New Roman" w:cs="Times New Roman"/>
          <w:b/>
          <w:sz w:val="28"/>
        </w:rPr>
      </w:pPr>
      <w:r w:rsidRPr="009E669E">
        <w:rPr>
          <w:rFonts w:ascii="Times New Roman" w:hAnsi="Times New Roman" w:cs="Times New Roman"/>
          <w:b/>
        </w:rPr>
        <w:t>4.1 Primary Benchmark Performance</w:t>
      </w:r>
      <w:r w:rsidR="00A8008A" w:rsidRPr="009E669E">
        <w:rPr>
          <w:rFonts w:ascii="Times New Roman" w:hAnsi="Times New Roman" w:cs="Times New Roman"/>
          <w:noProof/>
          <w:lang w:eastAsia="en-US"/>
        </w:rPr>
        <w:drawing>
          <wp:inline distT="0" distB="0" distL="0" distR="0" wp14:anchorId="2482E534" wp14:editId="4C9FCA91">
            <wp:extent cx="5943600" cy="3540825"/>
            <wp:effectExtent l="0" t="0" r="0" b="0"/>
            <wp:docPr id="55" name="Picture" descr="Figure: Model Comparison"/>
            <wp:cNvGraphicFramePr/>
            <a:graphic xmlns:a="http://schemas.openxmlformats.org/drawingml/2006/main">
              <a:graphicData uri="http://schemas.openxmlformats.org/drawingml/2006/picture">
                <pic:pic xmlns:pic="http://schemas.openxmlformats.org/drawingml/2006/picture">
                  <pic:nvPicPr>
                    <pic:cNvPr id="56" name="Picture" descr="../outputs/figures/fig_05_model_comparison.png"/>
                    <pic:cNvPicPr>
                      <a:picLocks noChangeAspect="1" noChangeArrowheads="1"/>
                    </pic:cNvPicPr>
                  </pic:nvPicPr>
                  <pic:blipFill>
                    <a:blip r:embed="rId15"/>
                    <a:stretch>
                      <a:fillRect/>
                    </a:stretch>
                  </pic:blipFill>
                  <pic:spPr bwMode="auto">
                    <a:xfrm>
                      <a:off x="0" y="0"/>
                      <a:ext cx="5943600" cy="3540825"/>
                    </a:xfrm>
                    <a:prstGeom prst="rect">
                      <a:avLst/>
                    </a:prstGeom>
                    <a:noFill/>
                    <a:ln w="9525">
                      <a:noFill/>
                      <a:headEnd/>
                      <a:tailEnd/>
                    </a:ln>
                  </pic:spPr>
                </pic:pic>
              </a:graphicData>
            </a:graphic>
          </wp:inline>
        </w:drawing>
      </w:r>
    </w:p>
    <w:p w:rsidR="008D5018" w:rsidRPr="009E669E" w:rsidRDefault="008D5018"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4.1: Model Comparison</w:t>
      </w:r>
    </w:p>
    <w:p w:rsidR="00A8008A" w:rsidRPr="009E669E" w:rsidRDefault="00A8008A"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foundational phase of this expansive computational investigation entails a highly rigorous and exhaustive benchmarking of multiple machine learning architectures. These architectures are specifically designed to accurately distinguish complex breast cancer histological subtypes utilizing the deeply integrated, highly dimensional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feature space. The central, driving objective during this primary evaluation stage is to decisively ascertain the baseline predictive capacity of various algorithmic paradigms. These paradigms range from traditional statistical classifiers and margin-maximizing models to advanced, highly optimized ensemble tree-based methodologies.</w:t>
      </w:r>
    </w:p>
    <w:p w:rsidR="008D5018" w:rsidRPr="009E669E" w:rsidRDefault="008D5018" w:rsidP="00A3695E">
      <w:pPr>
        <w:pStyle w:val="BodyText"/>
        <w:spacing w:line="360" w:lineRule="auto"/>
        <w:jc w:val="both"/>
        <w:rPr>
          <w:rFonts w:ascii="Times New Roman" w:hAnsi="Times New Roman" w:cs="Times New Roman"/>
        </w:rPr>
      </w:pPr>
      <w:r w:rsidRPr="009E669E">
        <w:rPr>
          <w:rFonts w:ascii="Times New Roman" w:hAnsi="Times New Roman" w:cs="Times New Roman"/>
        </w:rPr>
        <w:t>Further expanding the ensemble strategies, the heterogeneous Stacking classifier, which integrates predictions from multiple base learners through a meta-classification mechanism, exhibited highly competitive performance metrics. The Stacking methodology achieved an F1-</w:t>
      </w:r>
      <w:r w:rsidRPr="009E669E">
        <w:rPr>
          <w:rFonts w:ascii="Times New Roman" w:hAnsi="Times New Roman" w:cs="Times New Roman"/>
        </w:rPr>
        <w:lastRenderedPageBreak/>
        <w:t xml:space="preserve">score of 0.8959 with a standard deviation of 0.0188, an Area </w:t>
      </w:r>
      <w:proofErr w:type="gramStart"/>
      <w:r w:rsidRPr="009E669E">
        <w:rPr>
          <w:rFonts w:ascii="Times New Roman" w:hAnsi="Times New Roman" w:cs="Times New Roman"/>
        </w:rPr>
        <w:t>Under</w:t>
      </w:r>
      <w:proofErr w:type="gramEnd"/>
      <w:r w:rsidRPr="009E669E">
        <w:rPr>
          <w:rFonts w:ascii="Times New Roman" w:hAnsi="Times New Roman" w:cs="Times New Roman"/>
        </w:rPr>
        <w:t xml:space="preserve"> the Curve of 0.9655 with a standard deviation of 0.0269, a Matthews Correlation Coefficient of 0.7955 with a standard deviation of 0.0369, and an accuracy of 0.9390 with a standard deviation of 0.0124. While theoretically designed to leverage the distinct advantages of diverse baseline models to achieve superior generalization, the Stacking architecture did not significantly surpass the performance of the standalone Light Gradient Boosting Machine, suggesting that the individual gradient boosting framework inherently captured the vast majority of the exploitable predictive variance within the integrated feature set. In the domain of margin-maximizing classifiers, the Support Vector Machine delivered a commendable F1-score of 0.8887 with a standard deviation of 0.0495, an Area </w:t>
      </w:r>
      <w:proofErr w:type="gramStart"/>
      <w:r w:rsidRPr="009E669E">
        <w:rPr>
          <w:rFonts w:ascii="Times New Roman" w:hAnsi="Times New Roman" w:cs="Times New Roman"/>
        </w:rPr>
        <w:t>Under</w:t>
      </w:r>
      <w:proofErr w:type="gramEnd"/>
      <w:r w:rsidRPr="009E669E">
        <w:rPr>
          <w:rFonts w:ascii="Times New Roman" w:hAnsi="Times New Roman" w:cs="Times New Roman"/>
        </w:rPr>
        <w:t xml:space="preserve"> the Curve of 0.9524 with a standard deviation of 0.0249, a Matthews Correlation Coefficient of 0.7852 with a standard deviation of 0.0901, and an accuracy of 0.9376 with a standard deviation of 0.0243. The Random Forest algorithm, representing a robust bagging ensemble technique, performed slightly lower with an F1-score of 0.8801 with a standard deviation of 0.0377, an Area Under the Curve of 0.9608 with a standard deviation of 0.0273, a Matthews Correlation Coefficient of 0.7675 with a standard deviation of 0.0698, and an accuracy of 0.9319 with a standard deviation of 0.0204 [3].</w:t>
      </w:r>
    </w:p>
    <w:p w:rsidR="008D5018" w:rsidRPr="009E669E" w:rsidRDefault="008D5018"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292AEBE0" wp14:editId="6EA7C9FD">
            <wp:extent cx="5334000" cy="3175515"/>
            <wp:effectExtent l="0" t="0" r="0" b="0"/>
            <wp:docPr id="56" name="Picture" descr="Figure 4.2: Cross-Validation Stability"/>
            <wp:cNvGraphicFramePr/>
            <a:graphic xmlns:a="http://schemas.openxmlformats.org/drawingml/2006/main">
              <a:graphicData uri="http://schemas.openxmlformats.org/drawingml/2006/picture">
                <pic:pic xmlns:pic="http://schemas.openxmlformats.org/drawingml/2006/picture">
                  <pic:nvPicPr>
                    <pic:cNvPr id="57" name="Picture" descr="d:/OneDrive/Desktop/Thesis%20Works/Explainable-Multi%20Omics%20Cancer%20Classification/outputs/figures/fig_14_cv_stability.png"/>
                    <pic:cNvPicPr>
                      <a:picLocks noChangeAspect="1" noChangeArrowheads="1"/>
                    </pic:cNvPicPr>
                  </pic:nvPicPr>
                  <pic:blipFill>
                    <a:blip r:embed="rId16"/>
                    <a:stretch>
                      <a:fillRect/>
                    </a:stretch>
                  </pic:blipFill>
                  <pic:spPr bwMode="auto">
                    <a:xfrm>
                      <a:off x="0" y="0"/>
                      <a:ext cx="5334000" cy="3175515"/>
                    </a:xfrm>
                    <a:prstGeom prst="rect">
                      <a:avLst/>
                    </a:prstGeom>
                    <a:noFill/>
                    <a:ln w="9525">
                      <a:noFill/>
                      <a:headEnd/>
                      <a:tailEnd/>
                    </a:ln>
                  </pic:spPr>
                </pic:pic>
              </a:graphicData>
            </a:graphic>
          </wp:inline>
        </w:drawing>
      </w:r>
    </w:p>
    <w:p w:rsidR="008D5018" w:rsidRPr="009E669E" w:rsidRDefault="008D5018"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4.2: Cross-Validation Stability</w:t>
      </w:r>
    </w:p>
    <w:p w:rsidR="008D5018" w:rsidRPr="009E669E" w:rsidRDefault="008D5018"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 xml:space="preserve">Conversely, linear and distance-based classification algorithms demonstrated a marked degradation in predictive capability, highlighting the inadequacy of simple decision boundaries for this intricate biological problem. The Logistic Regression model achieved an F1-score of 0.8409 with a standard deviation of 0.0226, an Area </w:t>
      </w:r>
      <w:proofErr w:type="gramStart"/>
      <w:r w:rsidRPr="009E669E">
        <w:rPr>
          <w:rFonts w:ascii="Times New Roman" w:hAnsi="Times New Roman" w:cs="Times New Roman"/>
        </w:rPr>
        <w:t>Under</w:t>
      </w:r>
      <w:proofErr w:type="gramEnd"/>
      <w:r w:rsidRPr="009E669E">
        <w:rPr>
          <w:rFonts w:ascii="Times New Roman" w:hAnsi="Times New Roman" w:cs="Times New Roman"/>
        </w:rPr>
        <w:t xml:space="preserve"> the Curve of 0.9231 with a standard deviation of 0.0368, a Matthews Correlation Coefficient of 0.6888 with a standard deviation of 0.0387, and an accuracy of 0.8979 with a standard deviation of 0.0204. The Naive Bayes classifier recorded an F1-score of 0.7922 with a standard deviation of 0.0289, an Area </w:t>
      </w:r>
      <w:proofErr w:type="gramStart"/>
      <w:r w:rsidRPr="009E669E">
        <w:rPr>
          <w:rFonts w:ascii="Times New Roman" w:hAnsi="Times New Roman" w:cs="Times New Roman"/>
        </w:rPr>
        <w:t>Under</w:t>
      </w:r>
      <w:proofErr w:type="gramEnd"/>
      <w:r w:rsidRPr="009E669E">
        <w:rPr>
          <w:rFonts w:ascii="Times New Roman" w:hAnsi="Times New Roman" w:cs="Times New Roman"/>
        </w:rPr>
        <w:t xml:space="preserve"> the Curve of 0.9155 with a standard deviation of 0.0321, a Matthews Correlation Coefficient of 0.6117 with a standard deviation of 0.0547, and an accuracy of 0.8511 with a standard deviation of 0.0246. </w:t>
      </w:r>
    </w:p>
    <w:p w:rsidR="008D5018" w:rsidRPr="009E669E" w:rsidRDefault="008D5018"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K-Nearest Neighbors algorithm exhibited the lowest performance among the evaluated models, yielding an F1-score of 0.7870 with a standard deviation of 0.0519, an Area </w:t>
      </w:r>
      <w:proofErr w:type="gramStart"/>
      <w:r w:rsidRPr="009E669E">
        <w:rPr>
          <w:rFonts w:ascii="Times New Roman" w:hAnsi="Times New Roman" w:cs="Times New Roman"/>
        </w:rPr>
        <w:t>Under</w:t>
      </w:r>
      <w:proofErr w:type="gramEnd"/>
      <w:r w:rsidRPr="009E669E">
        <w:rPr>
          <w:rFonts w:ascii="Times New Roman" w:hAnsi="Times New Roman" w:cs="Times New Roman"/>
        </w:rPr>
        <w:t xml:space="preserve"> the Curve of 0.9260 with a standard deviation of 0.0297, a Matthews Correlation Coefficient of 0.6246 with a standard deviation of 0.0821, and an accuracy of 0.8369 with a standard deviation of 0.0475. These comparatively diminished results for Logistic Regression, Naive Bayes, and K-Nearest Neighbors strongly imply that the molecular signatures distinguishing the cancer subtypes operate through complex, synergistic, and non-linear interactions that cannot be effectively resolved by simple probabilistic independence assumptions or Euclidean distance metrics in a high-dimensional continuous space [4].</w:t>
      </w:r>
    </w:p>
    <w:p w:rsidR="00A8008A" w:rsidRPr="009E669E" w:rsidRDefault="00A8008A" w:rsidP="00A3695E">
      <w:pPr>
        <w:pStyle w:val="BodyText"/>
        <w:spacing w:line="360" w:lineRule="auto"/>
        <w:jc w:val="both"/>
        <w:rPr>
          <w:rFonts w:ascii="Times New Roman" w:hAnsi="Times New Roman" w:cs="Times New Roman"/>
        </w:rPr>
      </w:pPr>
      <w:r w:rsidRPr="009E669E">
        <w:rPr>
          <w:rFonts w:ascii="Times New Roman" w:hAnsi="Times New Roman" w:cs="Times New Roman"/>
        </w:rPr>
        <w:t>This comprehensive comparative analysis serves as the critical, empirical basis upon which all subsequent methodological refinements, fusion strategies, and deep interpretability layers are systematically constructed. By deploying a highly diverse array of models, the investigation ensures that the inherent, profound complexities and non-linear biological interactions characterizing the integrated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dataset are adequately captured, evaluated, and resolved [1].</w:t>
      </w:r>
    </w:p>
    <w:p w:rsidR="00616761" w:rsidRPr="009E669E" w:rsidRDefault="00616761" w:rsidP="00A3695E">
      <w:pPr>
        <w:spacing w:line="360" w:lineRule="auto"/>
        <w:rPr>
          <w:rFonts w:ascii="Times New Roman" w:hAnsi="Times New Roman" w:cs="Times New Roman"/>
        </w:rPr>
      </w:pP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35FCD20B" wp14:editId="3F12AF76">
            <wp:extent cx="5943600" cy="4739223"/>
            <wp:effectExtent l="0" t="0" r="0" b="0"/>
            <wp:docPr id="58" name="Picture" descr="Figure: ROC Curves"/>
            <wp:cNvGraphicFramePr/>
            <a:graphic xmlns:a="http://schemas.openxmlformats.org/drawingml/2006/main">
              <a:graphicData uri="http://schemas.openxmlformats.org/drawingml/2006/picture">
                <pic:pic xmlns:pic="http://schemas.openxmlformats.org/drawingml/2006/picture">
                  <pic:nvPicPr>
                    <pic:cNvPr id="59" name="Picture" descr="../outputs/figures/fig_04_roc_all.png"/>
                    <pic:cNvPicPr>
                      <a:picLocks noChangeAspect="1" noChangeArrowheads="1"/>
                    </pic:cNvPicPr>
                  </pic:nvPicPr>
                  <pic:blipFill>
                    <a:blip r:embed="rId17"/>
                    <a:stretch>
                      <a:fillRect/>
                    </a:stretch>
                  </pic:blipFill>
                  <pic:spPr bwMode="auto">
                    <a:xfrm>
                      <a:off x="0" y="0"/>
                      <a:ext cx="5943600" cy="4739223"/>
                    </a:xfrm>
                    <a:prstGeom prst="rect">
                      <a:avLst/>
                    </a:prstGeom>
                    <a:noFill/>
                    <a:ln w="9525">
                      <a:noFill/>
                      <a:headEnd/>
                      <a:tailEnd/>
                    </a:ln>
                  </pic:spPr>
                </pic:pic>
              </a:graphicData>
            </a:graphic>
          </wp:inline>
        </w:drawing>
      </w:r>
    </w:p>
    <w:p w:rsidR="008D5018" w:rsidRPr="009E669E" w:rsidRDefault="008D5018"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4.3: ROC Analysis of All Models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primary statistical metric of overriding interest for evaluating models on this heavily imbalanced clinical dataset is the F1-Macro score, given its harmonic mean properties that meticulously balance precision and recall across both the majority and minority classes. This is comprehensively supported by the Area </w:t>
      </w:r>
      <w:proofErr w:type="gramStart"/>
      <w:r w:rsidRPr="009E669E">
        <w:rPr>
          <w:rFonts w:ascii="Times New Roman" w:hAnsi="Times New Roman" w:cs="Times New Roman"/>
        </w:rPr>
        <w:t>Under</w:t>
      </w:r>
      <w:proofErr w:type="gramEnd"/>
      <w:r w:rsidRPr="009E669E">
        <w:rPr>
          <w:rFonts w:ascii="Times New Roman" w:hAnsi="Times New Roman" w:cs="Times New Roman"/>
        </w:rPr>
        <w:t xml:space="preserve"> the Receiver Operating Characteristic Curve (AUC-ROC), the stringent Matthews Correlation Coefficient (MCC), and overall classification accuracy.</w:t>
      </w:r>
      <w:r w:rsidR="00A8008A" w:rsidRPr="009E669E">
        <w:rPr>
          <w:rFonts w:ascii="Times New Roman" w:hAnsi="Times New Roman" w:cs="Times New Roman"/>
        </w:rPr>
        <w:t xml:space="preserve"> </w:t>
      </w:r>
      <w:r w:rsidRPr="009E669E">
        <w:rPr>
          <w:rFonts w:ascii="Times New Roman" w:hAnsi="Times New Roman" w:cs="Times New Roman"/>
        </w:rPr>
        <w:t>The empirical results derived from the rigorously cross-validated experimental design reveal profound and substantial performance differentials across the evaluated algorithms, decisively and heavily favoring the advanced gradient boosting implementations.</w:t>
      </w:r>
    </w:p>
    <w:p w:rsidR="008D5018" w:rsidRPr="009E669E" w:rsidRDefault="008D5018" w:rsidP="00A3695E">
      <w:pPr>
        <w:pStyle w:val="BodyText"/>
        <w:spacing w:line="360" w:lineRule="auto"/>
        <w:jc w:val="both"/>
        <w:rPr>
          <w:rFonts w:ascii="Times New Roman" w:hAnsi="Times New Roman" w:cs="Times New Roman"/>
        </w:rPr>
      </w:pPr>
    </w:p>
    <w:p w:rsidR="008D5018" w:rsidRPr="009E669E" w:rsidRDefault="008D5018"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 xml:space="preserve">The visualization of receiver operating characteristic curves across the multiple models corroborates the statistical findings, illustrating the superior true positive rate maintenance of the tree-based ensembles across varying classification thresholds. The area under these curves serves as a threshold-independent measure of the model’s ability to rank positive instances higher than negative instances, an essential characteristic in clinical diagnostics where operating points must be carefully calibrated against the asymmetric costs of misclassification. Precision-recall curves further highlight the robustness of the Light Gradient Boosting Machine and </w:t>
      </w:r>
      <w:proofErr w:type="spellStart"/>
      <w:r w:rsidRPr="009E669E">
        <w:rPr>
          <w:rFonts w:ascii="Times New Roman" w:hAnsi="Times New Roman" w:cs="Times New Roman"/>
        </w:rPr>
        <w:t>eXtreme</w:t>
      </w:r>
      <w:proofErr w:type="spellEnd"/>
      <w:r w:rsidRPr="009E669E">
        <w:rPr>
          <w:rFonts w:ascii="Times New Roman" w:hAnsi="Times New Roman" w:cs="Times New Roman"/>
        </w:rPr>
        <w:t xml:space="preserve"> Gradient Boosting models in managing the class distributions, maintaining high positive predictive value without severe sacrifices in sensitivity [5]. These visual diagnostics underscore the reliability of the gradient boosting paradigm in identifying the critical molecular determinants necessary for accurate subtype delineation. The stability of the cross-validation performance across multiple iterations provides further confidence in the generalizability of the trained architectures, mitigating concerns of idiosyncratic </w:t>
      </w:r>
      <w:proofErr w:type="spellStart"/>
      <w:r w:rsidRPr="009E669E">
        <w:rPr>
          <w:rFonts w:ascii="Times New Roman" w:hAnsi="Times New Roman" w:cs="Times New Roman"/>
        </w:rPr>
        <w:t>overfitting</w:t>
      </w:r>
      <w:proofErr w:type="spellEnd"/>
      <w:r w:rsidRPr="009E669E">
        <w:rPr>
          <w:rFonts w:ascii="Times New Roman" w:hAnsi="Times New Roman" w:cs="Times New Roman"/>
        </w:rPr>
        <w:t xml:space="preserve"> to specific data partitions and establishing a highly credible baseline for subsequent methodological advancements.</w:t>
      </w:r>
    </w:p>
    <w:p w:rsidR="008D5018" w:rsidRPr="009E669E" w:rsidRDefault="008D5018"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4AE215F0" wp14:editId="5E706A62">
            <wp:extent cx="5029200" cy="3949700"/>
            <wp:effectExtent l="0" t="0" r="0" b="0"/>
            <wp:docPr id="4" name="Picture" descr="Figure 4.4: Precision-Recall Analysis"/>
            <wp:cNvGraphicFramePr/>
            <a:graphic xmlns:a="http://schemas.openxmlformats.org/drawingml/2006/main">
              <a:graphicData uri="http://schemas.openxmlformats.org/drawingml/2006/picture">
                <pic:pic xmlns:pic="http://schemas.openxmlformats.org/drawingml/2006/picture">
                  <pic:nvPicPr>
                    <pic:cNvPr id="63" name="Picture" descr="d:/OneDrive/Desktop/Thesis%20Works/Explainable-Multi%20Omics%20Cancer%20Classification/outputs/figures/fig_20_precision_recall.png"/>
                    <pic:cNvPicPr>
                      <a:picLocks noChangeAspect="1" noChangeArrowheads="1"/>
                    </pic:cNvPicPr>
                  </pic:nvPicPr>
                  <pic:blipFill>
                    <a:blip r:embed="rId18"/>
                    <a:stretch>
                      <a:fillRect/>
                    </a:stretch>
                  </pic:blipFill>
                  <pic:spPr bwMode="auto">
                    <a:xfrm>
                      <a:off x="0" y="0"/>
                      <a:ext cx="5029200" cy="3949700"/>
                    </a:xfrm>
                    <a:prstGeom prst="rect">
                      <a:avLst/>
                    </a:prstGeom>
                    <a:noFill/>
                    <a:ln w="9525">
                      <a:noFill/>
                      <a:headEnd/>
                      <a:tailEnd/>
                    </a:ln>
                  </pic:spPr>
                </pic:pic>
              </a:graphicData>
            </a:graphic>
          </wp:inline>
        </w:drawing>
      </w:r>
    </w:p>
    <w:p w:rsidR="008D5018" w:rsidRPr="009E669E" w:rsidRDefault="008D5018"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4.4: Precision-Recall Analysis</w:t>
      </w:r>
    </w:p>
    <w:p w:rsidR="008D5018" w:rsidRPr="009E669E" w:rsidRDefault="008D5018"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19AE1569" wp14:editId="46780E86">
            <wp:extent cx="5334000" cy="4246462"/>
            <wp:effectExtent l="0" t="0" r="0" b="0"/>
            <wp:docPr id="65" name="Picture" descr="Figure 4.5: Confusion Matrix for Best Model"/>
            <wp:cNvGraphicFramePr/>
            <a:graphic xmlns:a="http://schemas.openxmlformats.org/drawingml/2006/main">
              <a:graphicData uri="http://schemas.openxmlformats.org/drawingml/2006/picture">
                <pic:pic xmlns:pic="http://schemas.openxmlformats.org/drawingml/2006/picture">
                  <pic:nvPicPr>
                    <pic:cNvPr id="66" name="Picture" descr="d:/OneDrive/Desktop/Thesis%20Works/Explainable-Multi%20Omics%20Cancer%20Classification/outputs/figures/fig_06_confusion_best.png"/>
                    <pic:cNvPicPr>
                      <a:picLocks noChangeAspect="1" noChangeArrowheads="1"/>
                    </pic:cNvPicPr>
                  </pic:nvPicPr>
                  <pic:blipFill>
                    <a:blip r:embed="rId19"/>
                    <a:stretch>
                      <a:fillRect/>
                    </a:stretch>
                  </pic:blipFill>
                  <pic:spPr bwMode="auto">
                    <a:xfrm>
                      <a:off x="0" y="0"/>
                      <a:ext cx="5334000" cy="4246462"/>
                    </a:xfrm>
                    <a:prstGeom prst="rect">
                      <a:avLst/>
                    </a:prstGeom>
                    <a:noFill/>
                    <a:ln w="9525">
                      <a:noFill/>
                      <a:headEnd/>
                      <a:tailEnd/>
                    </a:ln>
                  </pic:spPr>
                </pic:pic>
              </a:graphicData>
            </a:graphic>
          </wp:inline>
        </w:drawing>
      </w:r>
    </w:p>
    <w:p w:rsidR="008D5018" w:rsidRPr="009E669E" w:rsidRDefault="008D5018"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4.5: Confusion Matrix for Best Model</w:t>
      </w:r>
    </w:p>
    <w:p w:rsidR="008D5018" w:rsidRPr="009E669E" w:rsidRDefault="008D5018"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Detailed analysis of the confusion matrix derived from the optimal Light Gradient Boosting Machine configuration reveals the specific nature of the classification successes and the rare instances of misclassification. The matrix delineates a high degree of accurate predictions across the major subtypes, with minimal off-diagonal elements indicating strong discriminative power. The learning curves generated during the training phases of the top-performing architectures illustrate a healthy convergence process, wherein the training and validation scores approach a high asymptote without exhibiting the divergent widening characteristic of severe high-variance </w:t>
      </w:r>
      <w:proofErr w:type="spellStart"/>
      <w:r w:rsidRPr="009E669E">
        <w:rPr>
          <w:rFonts w:ascii="Times New Roman" w:hAnsi="Times New Roman" w:cs="Times New Roman"/>
        </w:rPr>
        <w:t>overfitting</w:t>
      </w:r>
      <w:proofErr w:type="spellEnd"/>
      <w:r w:rsidRPr="009E669E">
        <w:rPr>
          <w:rFonts w:ascii="Times New Roman" w:hAnsi="Times New Roman" w:cs="Times New Roman"/>
        </w:rPr>
        <w:t>. This convergence behavior provides a sufficient information theoretic basis for the algorithms to discern the true underlying biological signals amidst the pervasive noise typical of high-throughput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profiling experiments [6]. The comprehensive evaluation at this primary benchmark stage conclusively establishes the Light Gradient Boosting Machine as the primary analytical engine for the remainder of the investigation, providing the robust predictive foundation required for deep interpretability and biological inference.</w:t>
      </w:r>
    </w:p>
    <w:p w:rsidR="008D5018" w:rsidRPr="009E669E" w:rsidRDefault="008D5018"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06D1F90F" wp14:editId="404C67C7">
            <wp:extent cx="5118100" cy="3441700"/>
            <wp:effectExtent l="0" t="0" r="6350" b="6350"/>
            <wp:docPr id="68" name="Picture" descr="Figure 4.6: Learning Curve Analysis"/>
            <wp:cNvGraphicFramePr/>
            <a:graphic xmlns:a="http://schemas.openxmlformats.org/drawingml/2006/main">
              <a:graphicData uri="http://schemas.openxmlformats.org/drawingml/2006/picture">
                <pic:pic xmlns:pic="http://schemas.openxmlformats.org/drawingml/2006/picture">
                  <pic:nvPicPr>
                    <pic:cNvPr id="69" name="Picture" descr="d:/OneDrive/Desktop/Thesis%20Works/Explainable-Multi%20Omics%20Cancer%20Classification/outputs/figures/fig_18_learning_curve.png"/>
                    <pic:cNvPicPr>
                      <a:picLocks noChangeAspect="1" noChangeArrowheads="1"/>
                    </pic:cNvPicPr>
                  </pic:nvPicPr>
                  <pic:blipFill>
                    <a:blip r:embed="rId20"/>
                    <a:stretch>
                      <a:fillRect/>
                    </a:stretch>
                  </pic:blipFill>
                  <pic:spPr bwMode="auto">
                    <a:xfrm>
                      <a:off x="0" y="0"/>
                      <a:ext cx="5124066" cy="3445712"/>
                    </a:xfrm>
                    <a:prstGeom prst="rect">
                      <a:avLst/>
                    </a:prstGeom>
                    <a:noFill/>
                    <a:ln w="9525">
                      <a:noFill/>
                      <a:headEnd/>
                      <a:tailEnd/>
                    </a:ln>
                  </pic:spPr>
                </pic:pic>
              </a:graphicData>
            </a:graphic>
          </wp:inline>
        </w:drawing>
      </w:r>
    </w:p>
    <w:p w:rsidR="008D5018" w:rsidRPr="009E669E" w:rsidRDefault="008D5018"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4.6: Learning Curve Analysis</w:t>
      </w:r>
    </w:p>
    <w:p w:rsidR="008D5018" w:rsidRPr="009E669E" w:rsidRDefault="008D5018"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4E360107" wp14:editId="08D24B2E">
            <wp:extent cx="4889500" cy="3784600"/>
            <wp:effectExtent l="0" t="0" r="6350" b="6350"/>
            <wp:docPr id="71" name="Picture" descr="Figure 4.7: Significance Heatmap"/>
            <wp:cNvGraphicFramePr/>
            <a:graphic xmlns:a="http://schemas.openxmlformats.org/drawingml/2006/main">
              <a:graphicData uri="http://schemas.openxmlformats.org/drawingml/2006/picture">
                <pic:pic xmlns:pic="http://schemas.openxmlformats.org/drawingml/2006/picture">
                  <pic:nvPicPr>
                    <pic:cNvPr id="72" name="Picture" descr="d:/OneDrive/Desktop/Thesis%20Works/Explainable-Multi%20Omics%20Cancer%20Classification/outputs/figures/fig_13_significance_heatmap.png"/>
                    <pic:cNvPicPr>
                      <a:picLocks noChangeAspect="1" noChangeArrowheads="1"/>
                    </pic:cNvPicPr>
                  </pic:nvPicPr>
                  <pic:blipFill>
                    <a:blip r:embed="rId21"/>
                    <a:stretch>
                      <a:fillRect/>
                    </a:stretch>
                  </pic:blipFill>
                  <pic:spPr bwMode="auto">
                    <a:xfrm>
                      <a:off x="0" y="0"/>
                      <a:ext cx="4889500" cy="3784600"/>
                    </a:xfrm>
                    <a:prstGeom prst="rect">
                      <a:avLst/>
                    </a:prstGeom>
                    <a:noFill/>
                    <a:ln w="9525">
                      <a:noFill/>
                      <a:headEnd/>
                      <a:tailEnd/>
                    </a:ln>
                  </pic:spPr>
                </pic:pic>
              </a:graphicData>
            </a:graphic>
          </wp:inline>
        </w:drawing>
      </w:r>
    </w:p>
    <w:p w:rsidR="008D5018" w:rsidRPr="009E669E" w:rsidRDefault="008D5018"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 xml:space="preserve">Figure 4.7: Significance </w:t>
      </w:r>
      <w:proofErr w:type="spellStart"/>
      <w:r w:rsidRPr="009E669E">
        <w:rPr>
          <w:rFonts w:ascii="Times New Roman" w:hAnsi="Times New Roman" w:cs="Times New Roman"/>
        </w:rPr>
        <w:t>Heatmap</w:t>
      </w:r>
      <w:proofErr w:type="spellEnd"/>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16761" w:rsidRPr="009E669E" w:rsidTr="00A8008A">
        <w:trPr>
          <w:cnfStyle w:val="100000000000" w:firstRow="1" w:lastRow="0" w:firstColumn="0" w:lastColumn="0" w:oddVBand="0" w:evenVBand="0" w:oddHBand="0" w:evenHBand="0" w:firstRowFirstColumn="0" w:firstRowLastColumn="0" w:lastRowFirstColumn="0" w:lastRowLastColumn="0"/>
          <w:tblHeader/>
        </w:trPr>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Machine Learning Model</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Primary Metric: F1-Macro</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AUC-ROC</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Matthews Correlation Coefficient (MCC)</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Overall Accuracy</w:t>
            </w:r>
          </w:p>
        </w:tc>
      </w:tr>
      <w:tr w:rsidR="00616761" w:rsidRPr="009E669E" w:rsidTr="00A8008A">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Light Gradient Boosting Machine (LightGBM)</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0.9054</w:t>
            </w:r>
            <w:r w:rsidRPr="009E669E">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0.0195</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0.9602</w:t>
            </w:r>
            <w:r w:rsidRPr="009E669E">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0.0336</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0.8140</w:t>
            </w:r>
            <w:r w:rsidRPr="009E669E">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0.0373</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0.9433</w:t>
            </w:r>
            <w:r w:rsidRPr="009E669E">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0.0135</m:t>
              </m:r>
            </m:oMath>
          </w:p>
        </w:tc>
      </w:tr>
      <w:tr w:rsidR="00616761" w:rsidRPr="009E669E" w:rsidTr="00A8008A">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eXtreme Gradient Boosting (XGBoost)</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0.8986 </w:t>
            </w:r>
            <m:oMath>
              <m:r>
                <m:rPr>
                  <m:sty m:val="p"/>
                </m:rPr>
                <w:rPr>
                  <w:rFonts w:ascii="Cambria Math" w:hAnsi="Cambria Math" w:cs="Times New Roman"/>
                </w:rPr>
                <m:t>±</m:t>
              </m:r>
              <m:r>
                <w:rPr>
                  <w:rFonts w:ascii="Cambria Math" w:hAnsi="Cambria Math" w:cs="Times New Roman"/>
                </w:rPr>
                <m:t>0.0260</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0.9634 </w:t>
            </w:r>
            <m:oMath>
              <m:r>
                <m:rPr>
                  <m:sty m:val="p"/>
                </m:rPr>
                <w:rPr>
                  <w:rFonts w:ascii="Cambria Math" w:hAnsi="Cambria Math" w:cs="Times New Roman"/>
                </w:rPr>
                <m:t>±</m:t>
              </m:r>
              <m:r>
                <w:rPr>
                  <w:rFonts w:ascii="Cambria Math" w:hAnsi="Cambria Math" w:cs="Times New Roman"/>
                </w:rPr>
                <m:t>0.0314</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0.7992 </w:t>
            </w:r>
            <m:oMath>
              <m:r>
                <m:rPr>
                  <m:sty m:val="p"/>
                </m:rPr>
                <w:rPr>
                  <w:rFonts w:ascii="Cambria Math" w:hAnsi="Cambria Math" w:cs="Times New Roman"/>
                </w:rPr>
                <m:t>±</m:t>
              </m:r>
              <m:r>
                <w:rPr>
                  <w:rFonts w:ascii="Cambria Math" w:hAnsi="Cambria Math" w:cs="Times New Roman"/>
                </w:rPr>
                <m:t>0.0516</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0.9390 </w:t>
            </w:r>
            <m:oMath>
              <m:r>
                <m:rPr>
                  <m:sty m:val="p"/>
                </m:rPr>
                <w:rPr>
                  <w:rFonts w:ascii="Cambria Math" w:hAnsi="Cambria Math" w:cs="Times New Roman"/>
                </w:rPr>
                <m:t>±</m:t>
              </m:r>
              <m:r>
                <w:rPr>
                  <w:rFonts w:ascii="Cambria Math" w:hAnsi="Cambria Math" w:cs="Times New Roman"/>
                </w:rPr>
                <m:t>0.0165</m:t>
              </m:r>
            </m:oMath>
          </w:p>
        </w:tc>
      </w:tr>
      <w:tr w:rsidR="00616761" w:rsidRPr="009E669E" w:rsidTr="00A8008A">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Advanced Stacking Ensemble</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0.8959 </w:t>
            </w:r>
            <m:oMath>
              <m:r>
                <m:rPr>
                  <m:sty m:val="p"/>
                </m:rPr>
                <w:rPr>
                  <w:rFonts w:ascii="Cambria Math" w:hAnsi="Cambria Math" w:cs="Times New Roman"/>
                </w:rPr>
                <m:t>±</m:t>
              </m:r>
              <m:r>
                <w:rPr>
                  <w:rFonts w:ascii="Cambria Math" w:hAnsi="Cambria Math" w:cs="Times New Roman"/>
                </w:rPr>
                <m:t>0.0188</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0.9655 </w:t>
            </w:r>
            <m:oMath>
              <m:r>
                <m:rPr>
                  <m:sty m:val="p"/>
                </m:rPr>
                <w:rPr>
                  <w:rFonts w:ascii="Cambria Math" w:hAnsi="Cambria Math" w:cs="Times New Roman"/>
                </w:rPr>
                <m:t>±</m:t>
              </m:r>
              <m:r>
                <w:rPr>
                  <w:rFonts w:ascii="Cambria Math" w:hAnsi="Cambria Math" w:cs="Times New Roman"/>
                </w:rPr>
                <m:t>0.0269</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0.7955 </w:t>
            </w:r>
            <m:oMath>
              <m:r>
                <m:rPr>
                  <m:sty m:val="p"/>
                </m:rPr>
                <w:rPr>
                  <w:rFonts w:ascii="Cambria Math" w:hAnsi="Cambria Math" w:cs="Times New Roman"/>
                </w:rPr>
                <m:t>±</m:t>
              </m:r>
              <m:r>
                <w:rPr>
                  <w:rFonts w:ascii="Cambria Math" w:hAnsi="Cambria Math" w:cs="Times New Roman"/>
                </w:rPr>
                <m:t>0.0369</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0.9390 </w:t>
            </w:r>
            <m:oMath>
              <m:r>
                <m:rPr>
                  <m:sty m:val="p"/>
                </m:rPr>
                <w:rPr>
                  <w:rFonts w:ascii="Cambria Math" w:hAnsi="Cambria Math" w:cs="Times New Roman"/>
                </w:rPr>
                <m:t>±</m:t>
              </m:r>
              <m:r>
                <w:rPr>
                  <w:rFonts w:ascii="Cambria Math" w:hAnsi="Cambria Math" w:cs="Times New Roman"/>
                </w:rPr>
                <m:t>0.0124</m:t>
              </m:r>
            </m:oMath>
          </w:p>
        </w:tc>
      </w:tr>
      <w:tr w:rsidR="00616761" w:rsidRPr="009E669E" w:rsidTr="00A8008A">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Support Vector Machine (RBF Kernel)</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0.8887 </w:t>
            </w:r>
            <m:oMath>
              <m:r>
                <m:rPr>
                  <m:sty m:val="p"/>
                </m:rPr>
                <w:rPr>
                  <w:rFonts w:ascii="Cambria Math" w:hAnsi="Cambria Math" w:cs="Times New Roman"/>
                </w:rPr>
                <m:t>±</m:t>
              </m:r>
              <m:r>
                <w:rPr>
                  <w:rFonts w:ascii="Cambria Math" w:hAnsi="Cambria Math" w:cs="Times New Roman"/>
                </w:rPr>
                <m:t>0.0495</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0.9524 </w:t>
            </w:r>
            <m:oMath>
              <m:r>
                <m:rPr>
                  <m:sty m:val="p"/>
                </m:rPr>
                <w:rPr>
                  <w:rFonts w:ascii="Cambria Math" w:hAnsi="Cambria Math" w:cs="Times New Roman"/>
                </w:rPr>
                <m:t>±</m:t>
              </m:r>
              <m:r>
                <w:rPr>
                  <w:rFonts w:ascii="Cambria Math" w:hAnsi="Cambria Math" w:cs="Times New Roman"/>
                </w:rPr>
                <m:t>0.0249</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0.7852 </w:t>
            </w:r>
            <m:oMath>
              <m:r>
                <m:rPr>
                  <m:sty m:val="p"/>
                </m:rPr>
                <w:rPr>
                  <w:rFonts w:ascii="Cambria Math" w:hAnsi="Cambria Math" w:cs="Times New Roman"/>
                </w:rPr>
                <m:t>±</m:t>
              </m:r>
              <m:r>
                <w:rPr>
                  <w:rFonts w:ascii="Cambria Math" w:hAnsi="Cambria Math" w:cs="Times New Roman"/>
                </w:rPr>
                <m:t>0.0901</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0.9376 </w:t>
            </w:r>
            <m:oMath>
              <m:r>
                <m:rPr>
                  <m:sty m:val="p"/>
                </m:rPr>
                <w:rPr>
                  <w:rFonts w:ascii="Cambria Math" w:hAnsi="Cambria Math" w:cs="Times New Roman"/>
                </w:rPr>
                <m:t>±</m:t>
              </m:r>
              <m:r>
                <w:rPr>
                  <w:rFonts w:ascii="Cambria Math" w:hAnsi="Cambria Math" w:cs="Times New Roman"/>
                </w:rPr>
                <m:t>0.0243</m:t>
              </m:r>
            </m:oMath>
          </w:p>
        </w:tc>
      </w:tr>
      <w:tr w:rsidR="00616761" w:rsidRPr="009E669E" w:rsidTr="00A8008A">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Random Forest Ensemble</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0.8801 </w:t>
            </w:r>
            <m:oMath>
              <m:r>
                <m:rPr>
                  <m:sty m:val="p"/>
                </m:rPr>
                <w:rPr>
                  <w:rFonts w:ascii="Cambria Math" w:hAnsi="Cambria Math" w:cs="Times New Roman"/>
                </w:rPr>
                <m:t>±</m:t>
              </m:r>
              <m:r>
                <w:rPr>
                  <w:rFonts w:ascii="Cambria Math" w:hAnsi="Cambria Math" w:cs="Times New Roman"/>
                </w:rPr>
                <m:t>0.0377</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0.9608 </w:t>
            </w:r>
            <m:oMath>
              <m:r>
                <m:rPr>
                  <m:sty m:val="p"/>
                </m:rPr>
                <w:rPr>
                  <w:rFonts w:ascii="Cambria Math" w:hAnsi="Cambria Math" w:cs="Times New Roman"/>
                </w:rPr>
                <m:t>±</m:t>
              </m:r>
              <m:r>
                <w:rPr>
                  <w:rFonts w:ascii="Cambria Math" w:hAnsi="Cambria Math" w:cs="Times New Roman"/>
                </w:rPr>
                <m:t>0.0273</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0.7675 </w:t>
            </w:r>
            <m:oMath>
              <m:r>
                <m:rPr>
                  <m:sty m:val="p"/>
                </m:rPr>
                <w:rPr>
                  <w:rFonts w:ascii="Cambria Math" w:hAnsi="Cambria Math" w:cs="Times New Roman"/>
                </w:rPr>
                <m:t>±</m:t>
              </m:r>
              <m:r>
                <w:rPr>
                  <w:rFonts w:ascii="Cambria Math" w:hAnsi="Cambria Math" w:cs="Times New Roman"/>
                </w:rPr>
                <m:t>0.0698</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0.9319 </w:t>
            </w:r>
            <m:oMath>
              <m:r>
                <m:rPr>
                  <m:sty m:val="p"/>
                </m:rPr>
                <w:rPr>
                  <w:rFonts w:ascii="Cambria Math" w:hAnsi="Cambria Math" w:cs="Times New Roman"/>
                </w:rPr>
                <m:t>±</m:t>
              </m:r>
              <m:r>
                <w:rPr>
                  <w:rFonts w:ascii="Cambria Math" w:hAnsi="Cambria Math" w:cs="Times New Roman"/>
                </w:rPr>
                <m:t>0.0204</m:t>
              </m:r>
            </m:oMath>
          </w:p>
        </w:tc>
      </w:tr>
      <w:tr w:rsidR="00616761" w:rsidRPr="009E669E" w:rsidTr="00A8008A">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Logistic Regression (Regularized)</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0.8409 </w:t>
            </w:r>
            <m:oMath>
              <m:r>
                <m:rPr>
                  <m:sty m:val="p"/>
                </m:rPr>
                <w:rPr>
                  <w:rFonts w:ascii="Cambria Math" w:hAnsi="Cambria Math" w:cs="Times New Roman"/>
                </w:rPr>
                <m:t>±</m:t>
              </m:r>
              <m:r>
                <w:rPr>
                  <w:rFonts w:ascii="Cambria Math" w:hAnsi="Cambria Math" w:cs="Times New Roman"/>
                </w:rPr>
                <m:t>0.0226</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0.9231 </w:t>
            </w:r>
            <m:oMath>
              <m:r>
                <m:rPr>
                  <m:sty m:val="p"/>
                </m:rPr>
                <w:rPr>
                  <w:rFonts w:ascii="Cambria Math" w:hAnsi="Cambria Math" w:cs="Times New Roman"/>
                </w:rPr>
                <m:t>±</m:t>
              </m:r>
              <m:r>
                <w:rPr>
                  <w:rFonts w:ascii="Cambria Math" w:hAnsi="Cambria Math" w:cs="Times New Roman"/>
                </w:rPr>
                <m:t>0.0368</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0.6888 </w:t>
            </w:r>
            <m:oMath>
              <m:r>
                <m:rPr>
                  <m:sty m:val="p"/>
                </m:rPr>
                <w:rPr>
                  <w:rFonts w:ascii="Cambria Math" w:hAnsi="Cambria Math" w:cs="Times New Roman"/>
                </w:rPr>
                <m:t>±</m:t>
              </m:r>
              <m:r>
                <w:rPr>
                  <w:rFonts w:ascii="Cambria Math" w:hAnsi="Cambria Math" w:cs="Times New Roman"/>
                </w:rPr>
                <m:t>0.0387</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0.8979 </w:t>
            </w:r>
            <m:oMath>
              <m:r>
                <m:rPr>
                  <m:sty m:val="p"/>
                </m:rPr>
                <w:rPr>
                  <w:rFonts w:ascii="Cambria Math" w:hAnsi="Cambria Math" w:cs="Times New Roman"/>
                </w:rPr>
                <m:t>±</m:t>
              </m:r>
              <m:r>
                <w:rPr>
                  <w:rFonts w:ascii="Cambria Math" w:hAnsi="Cambria Math" w:cs="Times New Roman"/>
                </w:rPr>
                <m:t>0.0204</m:t>
              </m:r>
            </m:oMath>
          </w:p>
        </w:tc>
      </w:tr>
      <w:tr w:rsidR="00616761" w:rsidRPr="009E669E" w:rsidTr="00A8008A">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Naive Bayes Classifier</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0.7922 </w:t>
            </w:r>
            <m:oMath>
              <m:r>
                <m:rPr>
                  <m:sty m:val="p"/>
                </m:rPr>
                <w:rPr>
                  <w:rFonts w:ascii="Cambria Math" w:hAnsi="Cambria Math" w:cs="Times New Roman"/>
                </w:rPr>
                <m:t>±</m:t>
              </m:r>
              <m:r>
                <w:rPr>
                  <w:rFonts w:ascii="Cambria Math" w:hAnsi="Cambria Math" w:cs="Times New Roman"/>
                </w:rPr>
                <m:t>0.0289</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0.9155 </w:t>
            </w:r>
            <m:oMath>
              <m:r>
                <m:rPr>
                  <m:sty m:val="p"/>
                </m:rPr>
                <w:rPr>
                  <w:rFonts w:ascii="Cambria Math" w:hAnsi="Cambria Math" w:cs="Times New Roman"/>
                </w:rPr>
                <m:t>±</m:t>
              </m:r>
              <m:r>
                <w:rPr>
                  <w:rFonts w:ascii="Cambria Math" w:hAnsi="Cambria Math" w:cs="Times New Roman"/>
                </w:rPr>
                <m:t>0.0321</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0.6117 </w:t>
            </w:r>
            <m:oMath>
              <m:r>
                <m:rPr>
                  <m:sty m:val="p"/>
                </m:rPr>
                <w:rPr>
                  <w:rFonts w:ascii="Cambria Math" w:hAnsi="Cambria Math" w:cs="Times New Roman"/>
                </w:rPr>
                <m:t>±</m:t>
              </m:r>
              <m:r>
                <w:rPr>
                  <w:rFonts w:ascii="Cambria Math" w:hAnsi="Cambria Math" w:cs="Times New Roman"/>
                </w:rPr>
                <m:t>0.0547</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0.8511 </w:t>
            </w:r>
            <m:oMath>
              <m:r>
                <m:rPr>
                  <m:sty m:val="p"/>
                </m:rPr>
                <w:rPr>
                  <w:rFonts w:ascii="Cambria Math" w:hAnsi="Cambria Math" w:cs="Times New Roman"/>
                </w:rPr>
                <m:t>±</m:t>
              </m:r>
              <m:r>
                <w:rPr>
                  <w:rFonts w:ascii="Cambria Math" w:hAnsi="Cambria Math" w:cs="Times New Roman"/>
                </w:rPr>
                <m:t>0.0246</m:t>
              </m:r>
            </m:oMath>
          </w:p>
        </w:tc>
      </w:tr>
      <w:tr w:rsidR="00616761" w:rsidRPr="009E669E" w:rsidTr="00A8008A">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K-Nearest Neighbors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5</m:t>
              </m:r>
            </m:oMath>
            <w:r w:rsidRPr="009E669E">
              <w:rPr>
                <w:rFonts w:ascii="Times New Roman" w:hAnsi="Times New Roman" w:cs="Times New Roman"/>
                <w:b/>
                <w:bCs/>
              </w:rPr>
              <w:t>)</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0.7870 </w:t>
            </w:r>
            <m:oMath>
              <m:r>
                <m:rPr>
                  <m:sty m:val="p"/>
                </m:rPr>
                <w:rPr>
                  <w:rFonts w:ascii="Cambria Math" w:hAnsi="Cambria Math" w:cs="Times New Roman"/>
                </w:rPr>
                <m:t>±</m:t>
              </m:r>
              <m:r>
                <w:rPr>
                  <w:rFonts w:ascii="Cambria Math" w:hAnsi="Cambria Math" w:cs="Times New Roman"/>
                </w:rPr>
                <m:t>0.0519</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0.9260 </w:t>
            </w:r>
            <m:oMath>
              <m:r>
                <m:rPr>
                  <m:sty m:val="p"/>
                </m:rPr>
                <w:rPr>
                  <w:rFonts w:ascii="Cambria Math" w:hAnsi="Cambria Math" w:cs="Times New Roman"/>
                </w:rPr>
                <m:t>±</m:t>
              </m:r>
              <m:r>
                <w:rPr>
                  <w:rFonts w:ascii="Cambria Math" w:hAnsi="Cambria Math" w:cs="Times New Roman"/>
                </w:rPr>
                <m:t>0.0297</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0.6246 </w:t>
            </w:r>
            <m:oMath>
              <m:r>
                <m:rPr>
                  <m:sty m:val="p"/>
                </m:rPr>
                <w:rPr>
                  <w:rFonts w:ascii="Cambria Math" w:hAnsi="Cambria Math" w:cs="Times New Roman"/>
                </w:rPr>
                <m:t>±</m:t>
              </m:r>
              <m:r>
                <w:rPr>
                  <w:rFonts w:ascii="Cambria Math" w:hAnsi="Cambria Math" w:cs="Times New Roman"/>
                </w:rPr>
                <m:t>0.0821</m:t>
              </m:r>
            </m:oMath>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0.8369 </w:t>
            </w:r>
            <m:oMath>
              <m:r>
                <m:rPr>
                  <m:sty m:val="p"/>
                </m:rPr>
                <w:rPr>
                  <w:rFonts w:ascii="Cambria Math" w:hAnsi="Cambria Math" w:cs="Times New Roman"/>
                </w:rPr>
                <m:t>±</m:t>
              </m:r>
              <m:r>
                <w:rPr>
                  <w:rFonts w:ascii="Cambria Math" w:hAnsi="Cambria Math" w:cs="Times New Roman"/>
                </w:rPr>
                <m:t>0.0475</m:t>
              </m:r>
            </m:oMath>
          </w:p>
        </w:tc>
      </w:tr>
    </w:tbl>
    <w:p w:rsidR="008D5018" w:rsidRPr="009E669E" w:rsidRDefault="00A8008A" w:rsidP="00A3695E">
      <w:pPr>
        <w:pStyle w:val="BodyText"/>
        <w:spacing w:line="360" w:lineRule="auto"/>
        <w:jc w:val="center"/>
        <w:rPr>
          <w:rFonts w:ascii="Times New Roman" w:hAnsi="Times New Roman" w:cs="Times New Roman"/>
          <w:bCs/>
        </w:rPr>
      </w:pPr>
      <w:r w:rsidRPr="009E669E">
        <w:rPr>
          <w:rFonts w:ascii="Times New Roman" w:hAnsi="Times New Roman" w:cs="Times New Roman"/>
          <w:bCs/>
        </w:rPr>
        <w:t>Table 4.1: Comprehensive Primary Benchmark Performance of Diverse ML Architectures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lastRenderedPageBreak/>
        <w:t>Detailed Analytical Observations:</w:t>
      </w:r>
    </w:p>
    <w:p w:rsidR="00616761" w:rsidRPr="009E669E" w:rsidRDefault="00530AB9" w:rsidP="00A3695E">
      <w:pPr>
        <w:pStyle w:val="Compact"/>
        <w:numPr>
          <w:ilvl w:val="0"/>
          <w:numId w:val="18"/>
        </w:numPr>
        <w:spacing w:line="360" w:lineRule="auto"/>
        <w:jc w:val="both"/>
        <w:rPr>
          <w:rFonts w:ascii="Times New Roman" w:hAnsi="Times New Roman" w:cs="Times New Roman"/>
        </w:rPr>
      </w:pPr>
      <w:r w:rsidRPr="009E669E">
        <w:rPr>
          <w:rFonts w:ascii="Times New Roman" w:hAnsi="Times New Roman" w:cs="Times New Roman"/>
          <w:b/>
          <w:bCs/>
        </w:rPr>
        <w:t>Unequivocal Gradient Boosting Dominance:</w:t>
      </w:r>
      <w:r w:rsidRPr="009E669E">
        <w:rPr>
          <w:rFonts w:ascii="Times New Roman" w:hAnsi="Times New Roman" w:cs="Times New Roman"/>
        </w:rPr>
        <w:t xml:space="preserve"> The Light Gradient Boosting Machine (LightGBM) architecture conclusively emerged as the preeminent model in the entire comparative suite, achieving a superlative F1-Macro score of 0.9054 alongside a remarkably low standard deviation of 0.0195 across the rigorous evaluation folds. The exceptional performance of this highly specific architecture underscores its advanced, unparalleled capability in managing the high-dimensional, highly heterogeneous nature of the fused omics data space. Crucially, it simultaneously maintains profound resilience against the overfitting phenomena frequently observed in complex biological datasets [18]. Following closely in predictive efficacy, the eXtreme Gradient Boosting (XGBoost) model demonstrated comparable, massive computational strength, reinforcing the paradigm that tree-based gradient descent optimization algorithms are fundamentally and mathematically well-suited to the complex structural properties of multi-omics integration spaces.</w:t>
      </w:r>
    </w:p>
    <w:p w:rsidR="00616761" w:rsidRPr="009E669E" w:rsidRDefault="00530AB9" w:rsidP="00A3695E">
      <w:pPr>
        <w:pStyle w:val="Compact"/>
        <w:numPr>
          <w:ilvl w:val="0"/>
          <w:numId w:val="18"/>
        </w:numPr>
        <w:spacing w:line="360" w:lineRule="auto"/>
        <w:jc w:val="both"/>
        <w:rPr>
          <w:rFonts w:ascii="Times New Roman" w:hAnsi="Times New Roman" w:cs="Times New Roman"/>
        </w:rPr>
      </w:pPr>
      <w:r w:rsidRPr="009E669E">
        <w:rPr>
          <w:rFonts w:ascii="Times New Roman" w:hAnsi="Times New Roman" w:cs="Times New Roman"/>
          <w:b/>
          <w:bCs/>
        </w:rPr>
        <w:t>Ensemble Efficacy and Diminishing Returns:</w:t>
      </w:r>
      <w:r w:rsidRPr="009E669E">
        <w:rPr>
          <w:rFonts w:ascii="Times New Roman" w:hAnsi="Times New Roman" w:cs="Times New Roman"/>
        </w:rPr>
        <w:t xml:space="preserve"> Further expanding the ensemble strategies, the highly heterogeneous Stacking classifier—which intelligently integrates predictions from multiple optimized base learners (RF, XGBoost, LightGBM) through a regularized Logistic Regression meta-classification mechanism—exhibited highly competitive performance metrics (F1-Macro of 0.8959). However, while theoretically designed to expertly leverage the distinct, complementary advantages of diverse baseline models to achieve vastly superior generalization, the Stacking architecture did not significantly surpass the performance of the standalone LightGBM. This vital finding suggests that the individual, highly tuned gradient boosting framework inherently captured the vast majority of the exploitable, non-linear predictive variance present within the integrated feature set.</w:t>
      </w:r>
    </w:p>
    <w:p w:rsidR="00616761" w:rsidRPr="009E669E" w:rsidRDefault="00530AB9" w:rsidP="00A3695E">
      <w:pPr>
        <w:pStyle w:val="Compact"/>
        <w:numPr>
          <w:ilvl w:val="0"/>
          <w:numId w:val="18"/>
        </w:numPr>
        <w:spacing w:line="360" w:lineRule="auto"/>
        <w:jc w:val="both"/>
        <w:rPr>
          <w:rFonts w:ascii="Times New Roman" w:hAnsi="Times New Roman" w:cs="Times New Roman"/>
        </w:rPr>
      </w:pPr>
      <w:r w:rsidRPr="009E669E">
        <w:rPr>
          <w:rFonts w:ascii="Times New Roman" w:hAnsi="Times New Roman" w:cs="Times New Roman"/>
          <w:b/>
          <w:bCs/>
        </w:rPr>
        <w:t>Profound Inadequacy of Linear and Distance-Based Models:</w:t>
      </w:r>
      <w:r w:rsidRPr="009E669E">
        <w:rPr>
          <w:rFonts w:ascii="Times New Roman" w:hAnsi="Times New Roman" w:cs="Times New Roman"/>
        </w:rPr>
        <w:t xml:space="preserve"> Conversely, traditional linear and distance-based classification algorithms demonstrated a highly marked, precipitous degradation in predictive capability. Logistic Regression (F1=0.8409), Naive Bayes (F1=0.7922), and K-Nearest Neighbors (F1=0.7870) exhibited the lowest performance across all evaluated metrics. This significantly diminished performance strongly and unequivocally implies that the molecular signatures differentiating the </w:t>
      </w:r>
      <w:r w:rsidRPr="009E669E">
        <w:rPr>
          <w:rFonts w:ascii="Times New Roman" w:hAnsi="Times New Roman" w:cs="Times New Roman"/>
        </w:rPr>
        <w:lastRenderedPageBreak/>
        <w:t>cancer subtypes operate through highly complex, synergistic, and non-linear interactions. These intricate biological realities simply cannot be effectively resolved or mathematically modeled by simple probabilistic independence assumptions or standard Euclidean distance metrics in a highly dimensional continuous space [4].</w:t>
      </w:r>
    </w:p>
    <w:p w:rsidR="00616761" w:rsidRPr="009E669E" w:rsidRDefault="00530AB9" w:rsidP="00A3695E">
      <w:pPr>
        <w:pStyle w:val="Compact"/>
        <w:numPr>
          <w:ilvl w:val="0"/>
          <w:numId w:val="18"/>
        </w:numPr>
        <w:spacing w:line="360" w:lineRule="auto"/>
        <w:jc w:val="both"/>
        <w:rPr>
          <w:rFonts w:ascii="Times New Roman" w:hAnsi="Times New Roman" w:cs="Times New Roman"/>
        </w:rPr>
      </w:pPr>
      <w:r w:rsidRPr="009E669E">
        <w:rPr>
          <w:rFonts w:ascii="Times New Roman" w:hAnsi="Times New Roman" w:cs="Times New Roman"/>
          <w:b/>
          <w:bCs/>
        </w:rPr>
        <w:t>Visual Diagnostics and Threshold Stability:</w:t>
      </w:r>
      <w:r w:rsidRPr="009E669E">
        <w:rPr>
          <w:rFonts w:ascii="Times New Roman" w:hAnsi="Times New Roman" w:cs="Times New Roman"/>
        </w:rPr>
        <w:t xml:space="preserve"> The extensive visualization of Receiver Operating Characteristic (ROC) curves across the multiple models visually corroborates the dense statistical findings. The curves illustrate the vastly superior true positive rate maintenance of the tree-based ensembles across widely varying classification thresholds. Furthermore, detailed precision-recall curves profoundly highlight the exceptional robustness of the LightGBM and XGBoost models in managing the extreme class distributions, consistently maintaining high positive predictive values without incurring severe sacrifices in minority class sensitivity [18, 34].</w:t>
      </w:r>
    </w:p>
    <w:p w:rsidR="008D5018"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comprehensive evaluation at this primary benchmark stage conclusively and empirically establishes the Light Gradient Boosting Machine as the primary, most powerful analytical engine for the remainder of the investigation, providing the robust, highly stable predictive foundation required for deep biological interpretability.</w:t>
      </w:r>
    </w:p>
    <w:p w:rsidR="00A8008A" w:rsidRPr="009E669E" w:rsidRDefault="00A8008A" w:rsidP="00A3695E">
      <w:pPr>
        <w:pStyle w:val="BodyText"/>
        <w:spacing w:line="360" w:lineRule="auto"/>
        <w:rPr>
          <w:rFonts w:ascii="Times New Roman" w:hAnsi="Times New Roman" w:cs="Times New Roman"/>
          <w:sz w:val="4"/>
          <w:szCs w:val="4"/>
        </w:rPr>
      </w:pP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23" w:name="fusion-architecture-benchmark"/>
      <w:bookmarkEnd w:id="22"/>
      <w:r w:rsidRPr="009E669E">
        <w:rPr>
          <w:rFonts w:ascii="Times New Roman" w:hAnsi="Times New Roman" w:cs="Times New Roman"/>
          <w:b/>
          <w:color w:val="auto"/>
          <w:sz w:val="24"/>
        </w:rPr>
        <w:t>4.2 Fusion Architecture Benchmark</w:t>
      </w:r>
    </w:p>
    <w:p w:rsidR="00616761" w:rsidRPr="009E669E" w:rsidRDefault="00530AB9"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069ACAD4" wp14:editId="7B63D372">
            <wp:extent cx="5933319" cy="2743200"/>
            <wp:effectExtent l="0" t="0" r="0" b="0"/>
            <wp:docPr id="62" name="Picture" descr="Figure: Fusion Comparison"/>
            <wp:cNvGraphicFramePr/>
            <a:graphic xmlns:a="http://schemas.openxmlformats.org/drawingml/2006/main">
              <a:graphicData uri="http://schemas.openxmlformats.org/drawingml/2006/picture">
                <pic:pic xmlns:pic="http://schemas.openxmlformats.org/drawingml/2006/picture">
                  <pic:nvPicPr>
                    <pic:cNvPr id="63" name="Picture" descr="../outputs/figures/fig_11_fusion_comparison.png"/>
                    <pic:cNvPicPr>
                      <a:picLocks noChangeAspect="1" noChangeArrowheads="1"/>
                    </pic:cNvPicPr>
                  </pic:nvPicPr>
                  <pic:blipFill>
                    <a:blip r:embed="rId22"/>
                    <a:stretch>
                      <a:fillRect/>
                    </a:stretch>
                  </pic:blipFill>
                  <pic:spPr bwMode="auto">
                    <a:xfrm>
                      <a:off x="0" y="0"/>
                      <a:ext cx="5943600" cy="2747953"/>
                    </a:xfrm>
                    <a:prstGeom prst="rect">
                      <a:avLst/>
                    </a:prstGeom>
                    <a:noFill/>
                    <a:ln w="9525">
                      <a:noFill/>
                      <a:headEnd/>
                      <a:tailEnd/>
                    </a:ln>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A149D2" w:rsidRPr="009E669E">
        <w:rPr>
          <w:rFonts w:ascii="Times New Roman" w:hAnsi="Times New Roman" w:cs="Times New Roman"/>
        </w:rPr>
        <w:t xml:space="preserve"> </w:t>
      </w:r>
      <w:r w:rsidR="003727B7" w:rsidRPr="009E669E">
        <w:rPr>
          <w:rFonts w:ascii="Times New Roman" w:hAnsi="Times New Roman" w:cs="Times New Roman"/>
        </w:rPr>
        <w:t>4.8</w:t>
      </w:r>
      <w:r w:rsidRPr="009E669E">
        <w:rPr>
          <w:rFonts w:ascii="Times New Roman" w:hAnsi="Times New Roman" w:cs="Times New Roman"/>
        </w:rPr>
        <w:t>: Fusion Comparison</w:t>
      </w:r>
    </w:p>
    <w:p w:rsidR="003727B7" w:rsidRPr="009E669E" w:rsidRDefault="003727B7"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Having successfully established the baseline predictive capacities of various algorithmic structures on a generalized data representation, the analytical focus of the thesis deliberately shifts toward a highly critical evaluation of different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data integration strategies, commonly referred to in bioinformatics literature as fusion architectures. The specific methodology chosen to combine disparate molecular data types—ranging from dynamic </w:t>
      </w:r>
      <w:proofErr w:type="spellStart"/>
      <w:r w:rsidRPr="009E669E">
        <w:rPr>
          <w:rFonts w:ascii="Times New Roman" w:hAnsi="Times New Roman" w:cs="Times New Roman"/>
        </w:rPr>
        <w:t>transcriptomic</w:t>
      </w:r>
      <w:proofErr w:type="spellEnd"/>
      <w:r w:rsidRPr="009E669E">
        <w:rPr>
          <w:rFonts w:ascii="Times New Roman" w:hAnsi="Times New Roman" w:cs="Times New Roman"/>
        </w:rPr>
        <w:t xml:space="preserve"> expression profiles to functional proteomic abundances and regulatory epigenetic modifications—plays a pivotal, defining role in the ultimate performance, stability, and interpretability of the predictive model.</w:t>
      </w:r>
    </w:p>
    <w:p w:rsidR="003727B7" w:rsidRPr="009E669E" w:rsidRDefault="003727B7"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Two primary structural paradigms dominate this highly specialized landscape: 1. </w:t>
      </w:r>
      <w:r w:rsidRPr="009E669E">
        <w:rPr>
          <w:rFonts w:ascii="Times New Roman" w:hAnsi="Times New Roman" w:cs="Times New Roman"/>
          <w:b/>
          <w:bCs/>
        </w:rPr>
        <w:t>Early Fusion:</w:t>
      </w:r>
      <w:r w:rsidRPr="009E669E">
        <w:rPr>
          <w:rFonts w:ascii="Times New Roman" w:hAnsi="Times New Roman" w:cs="Times New Roman"/>
        </w:rPr>
        <w:t xml:space="preserve"> This approach directly concatenates the highly diverse </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features into a singular, massively high-dimensional data matrix strictly </w:t>
      </w:r>
      <w:r w:rsidRPr="009E669E">
        <w:rPr>
          <w:rFonts w:ascii="Times New Roman" w:hAnsi="Times New Roman" w:cs="Times New Roman"/>
          <w:i/>
          <w:iCs/>
        </w:rPr>
        <w:t>prior</w:t>
      </w:r>
      <w:r w:rsidRPr="009E669E">
        <w:rPr>
          <w:rFonts w:ascii="Times New Roman" w:hAnsi="Times New Roman" w:cs="Times New Roman"/>
        </w:rPr>
        <w:t xml:space="preserve"> to any model training. 2. </w:t>
      </w:r>
      <w:r w:rsidRPr="009E669E">
        <w:rPr>
          <w:rFonts w:ascii="Times New Roman" w:hAnsi="Times New Roman" w:cs="Times New Roman"/>
          <w:b/>
          <w:bCs/>
        </w:rPr>
        <w:t>Late Fusion:</w:t>
      </w:r>
      <w:r w:rsidRPr="009E669E">
        <w:rPr>
          <w:rFonts w:ascii="Times New Roman" w:hAnsi="Times New Roman" w:cs="Times New Roman"/>
        </w:rPr>
        <w:t xml:space="preserve"> This sophisticated approach trains completely independent, modality-specific base models and subsequently aggregates their localized, continuous probability predictions through a higher-level, optimized decision mechanism (meta-learner) [37].</w:t>
      </w:r>
    </w:p>
    <w:p w:rsidR="003727B7" w:rsidRPr="009E669E" w:rsidRDefault="003727B7"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This rigorous comparative assessment explicitly seeks to mathematically determine which structural approach most effectively captures the highly complementary biological information distributed across the distinct molecular layers. The goal is to strictly maximize predictive accuracy while simultaneously managing the unique dimensional and varied statistical properties inherent to each distinct </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platform. The evaluation rigorously contrasts the established, optimized baseline early fusion performance against a sophisticated, carefully calibrated late fusion ensemble to identify the optimal, most </w:t>
      </w:r>
      <w:proofErr w:type="spellStart"/>
      <w:r w:rsidRPr="009E669E">
        <w:rPr>
          <w:rFonts w:ascii="Times New Roman" w:hAnsi="Times New Roman" w:cs="Times New Roman"/>
        </w:rPr>
        <w:t>performant</w:t>
      </w:r>
      <w:proofErr w:type="spellEnd"/>
      <w:r w:rsidRPr="009E669E">
        <w:rPr>
          <w:rFonts w:ascii="Times New Roman" w:hAnsi="Times New Roman" w:cs="Times New Roman"/>
        </w:rPr>
        <w:t xml:space="preserve"> integration pathway for this specific clinical classification objective.</w:t>
      </w:r>
    </w:p>
    <w:tbl>
      <w:tblPr>
        <w:tblStyle w:val="Table"/>
        <w:tblW w:w="5000" w:type="pct"/>
        <w:tblLayout w:type="fixed"/>
        <w:tblLook w:val="0020" w:firstRow="1" w:lastRow="0" w:firstColumn="0" w:lastColumn="0" w:noHBand="0" w:noVBand="0"/>
      </w:tblPr>
      <w:tblGrid>
        <w:gridCol w:w="3978"/>
        <w:gridCol w:w="1890"/>
        <w:gridCol w:w="3708"/>
      </w:tblGrid>
      <w:tr w:rsidR="003727B7" w:rsidRPr="009E669E" w:rsidTr="00A3695E">
        <w:trPr>
          <w:cnfStyle w:val="100000000000" w:firstRow="1" w:lastRow="0" w:firstColumn="0" w:lastColumn="0" w:oddVBand="0" w:evenVBand="0" w:oddHBand="0" w:evenHBand="0" w:firstRowFirstColumn="0" w:firstRowLastColumn="0" w:lastRowFirstColumn="0" w:lastRowLastColumn="0"/>
          <w:tblHeader/>
        </w:trPr>
        <w:tc>
          <w:tcPr>
            <w:tcW w:w="3978" w:type="dxa"/>
          </w:tcPr>
          <w:p w:rsidR="003727B7" w:rsidRPr="009E669E" w:rsidRDefault="003727B7" w:rsidP="00A3695E">
            <w:pPr>
              <w:pStyle w:val="Compact"/>
              <w:spacing w:line="360" w:lineRule="auto"/>
              <w:jc w:val="both"/>
              <w:rPr>
                <w:rFonts w:ascii="Times New Roman" w:hAnsi="Times New Roman" w:cs="Times New Roman"/>
              </w:rPr>
            </w:pPr>
            <w:r w:rsidRPr="009E669E">
              <w:rPr>
                <w:rFonts w:ascii="Times New Roman" w:hAnsi="Times New Roman" w:cs="Times New Roman"/>
              </w:rPr>
              <w:t>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Integration Paradigm</w:t>
            </w:r>
          </w:p>
        </w:tc>
        <w:tc>
          <w:tcPr>
            <w:tcW w:w="1890" w:type="dxa"/>
          </w:tcPr>
          <w:p w:rsidR="003727B7" w:rsidRPr="009E669E" w:rsidRDefault="003727B7" w:rsidP="00A3695E">
            <w:pPr>
              <w:pStyle w:val="Compact"/>
              <w:spacing w:line="360" w:lineRule="auto"/>
              <w:jc w:val="both"/>
              <w:rPr>
                <w:rFonts w:ascii="Times New Roman" w:hAnsi="Times New Roman" w:cs="Times New Roman"/>
              </w:rPr>
            </w:pPr>
            <w:r w:rsidRPr="009E669E">
              <w:rPr>
                <w:rFonts w:ascii="Times New Roman" w:hAnsi="Times New Roman" w:cs="Times New Roman"/>
              </w:rPr>
              <w:t>F1-Macro Score</w:t>
            </w:r>
          </w:p>
        </w:tc>
        <w:tc>
          <w:tcPr>
            <w:tcW w:w="3708" w:type="dxa"/>
          </w:tcPr>
          <w:p w:rsidR="003727B7" w:rsidRPr="009E669E" w:rsidRDefault="003727B7" w:rsidP="00A3695E">
            <w:pPr>
              <w:pStyle w:val="Compact"/>
              <w:spacing w:line="360" w:lineRule="auto"/>
              <w:jc w:val="both"/>
              <w:rPr>
                <w:rFonts w:ascii="Times New Roman" w:hAnsi="Times New Roman" w:cs="Times New Roman"/>
              </w:rPr>
            </w:pPr>
            <w:r w:rsidRPr="009E669E">
              <w:rPr>
                <w:rFonts w:ascii="Times New Roman" w:hAnsi="Times New Roman" w:cs="Times New Roman"/>
              </w:rPr>
              <w:t>Area Under Curve (AUC-ROC)</w:t>
            </w:r>
          </w:p>
        </w:tc>
      </w:tr>
      <w:tr w:rsidR="003727B7" w:rsidRPr="009E669E" w:rsidTr="00A3695E">
        <w:tc>
          <w:tcPr>
            <w:tcW w:w="3978" w:type="dxa"/>
          </w:tcPr>
          <w:p w:rsidR="003727B7" w:rsidRPr="009E669E" w:rsidRDefault="003727B7" w:rsidP="00A3695E">
            <w:pPr>
              <w:pStyle w:val="Compact"/>
              <w:spacing w:line="360" w:lineRule="auto"/>
              <w:jc w:val="both"/>
              <w:rPr>
                <w:rFonts w:ascii="Times New Roman" w:hAnsi="Times New Roman" w:cs="Times New Roman"/>
                <w:b/>
              </w:rPr>
            </w:pPr>
            <w:r w:rsidRPr="009E669E">
              <w:rPr>
                <w:rFonts w:ascii="Times New Roman" w:hAnsi="Times New Roman" w:cs="Times New Roman"/>
                <w:b/>
                <w:bCs/>
              </w:rPr>
              <w:t>Early Fusion Architecture (Concatenation)</w:t>
            </w:r>
          </w:p>
        </w:tc>
        <w:tc>
          <w:tcPr>
            <w:tcW w:w="1890" w:type="dxa"/>
          </w:tcPr>
          <w:p w:rsidR="003727B7" w:rsidRPr="009E669E" w:rsidRDefault="003727B7"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0.8959 </w:t>
            </w:r>
            <m:oMath>
              <m:r>
                <m:rPr>
                  <m:sty m:val="p"/>
                </m:rPr>
                <w:rPr>
                  <w:rFonts w:ascii="Cambria Math" w:hAnsi="Cambria Math" w:cs="Times New Roman"/>
                </w:rPr>
                <m:t>±</m:t>
              </m:r>
              <m:r>
                <w:rPr>
                  <w:rFonts w:ascii="Cambria Math" w:hAnsi="Cambria Math" w:cs="Times New Roman"/>
                </w:rPr>
                <m:t>0.0188</m:t>
              </m:r>
            </m:oMath>
          </w:p>
        </w:tc>
        <w:tc>
          <w:tcPr>
            <w:tcW w:w="3708" w:type="dxa"/>
          </w:tcPr>
          <w:p w:rsidR="003727B7" w:rsidRPr="009E669E" w:rsidRDefault="003727B7"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0.9655 </w:t>
            </w:r>
            <m:oMath>
              <m:r>
                <m:rPr>
                  <m:sty m:val="p"/>
                </m:rPr>
                <w:rPr>
                  <w:rFonts w:ascii="Cambria Math" w:hAnsi="Cambria Math" w:cs="Times New Roman"/>
                </w:rPr>
                <m:t>±</m:t>
              </m:r>
              <m:r>
                <w:rPr>
                  <w:rFonts w:ascii="Cambria Math" w:hAnsi="Cambria Math" w:cs="Times New Roman"/>
                </w:rPr>
                <m:t>0.0269</m:t>
              </m:r>
            </m:oMath>
          </w:p>
        </w:tc>
      </w:tr>
      <w:tr w:rsidR="003727B7" w:rsidRPr="009E669E" w:rsidTr="00A3695E">
        <w:tc>
          <w:tcPr>
            <w:tcW w:w="3978" w:type="dxa"/>
          </w:tcPr>
          <w:p w:rsidR="003727B7" w:rsidRPr="009E669E" w:rsidRDefault="003727B7" w:rsidP="00A3695E">
            <w:pPr>
              <w:pStyle w:val="Compact"/>
              <w:spacing w:line="360" w:lineRule="auto"/>
              <w:jc w:val="both"/>
              <w:rPr>
                <w:rFonts w:ascii="Times New Roman" w:hAnsi="Times New Roman" w:cs="Times New Roman"/>
                <w:b/>
              </w:rPr>
            </w:pPr>
            <w:r w:rsidRPr="009E669E">
              <w:rPr>
                <w:rFonts w:ascii="Times New Roman" w:hAnsi="Times New Roman" w:cs="Times New Roman"/>
                <w:b/>
                <w:bCs/>
              </w:rPr>
              <w:t>Advanced Late Fusion Architecture (Decision-Level)</w:t>
            </w:r>
          </w:p>
        </w:tc>
        <w:tc>
          <w:tcPr>
            <w:tcW w:w="1890" w:type="dxa"/>
          </w:tcPr>
          <w:p w:rsidR="003727B7" w:rsidRPr="009E669E" w:rsidRDefault="003727B7" w:rsidP="00A3695E">
            <w:pPr>
              <w:pStyle w:val="Compact"/>
              <w:spacing w:line="360" w:lineRule="auto"/>
              <w:jc w:val="both"/>
              <w:rPr>
                <w:rFonts w:ascii="Times New Roman" w:hAnsi="Times New Roman" w:cs="Times New Roman"/>
                <w:b/>
              </w:rPr>
            </w:pPr>
            <w:r w:rsidRPr="009E669E">
              <w:rPr>
                <w:rFonts w:ascii="Times New Roman" w:hAnsi="Times New Roman" w:cs="Times New Roman"/>
                <w:b/>
                <w:bCs/>
              </w:rPr>
              <w:t>0.9247</w:t>
            </w:r>
          </w:p>
        </w:tc>
        <w:tc>
          <w:tcPr>
            <w:tcW w:w="3708" w:type="dxa"/>
          </w:tcPr>
          <w:p w:rsidR="003727B7" w:rsidRPr="009E669E" w:rsidRDefault="003727B7" w:rsidP="00A3695E">
            <w:pPr>
              <w:pStyle w:val="Compact"/>
              <w:spacing w:line="360" w:lineRule="auto"/>
              <w:jc w:val="both"/>
              <w:rPr>
                <w:rFonts w:ascii="Times New Roman" w:hAnsi="Times New Roman" w:cs="Times New Roman"/>
                <w:b/>
              </w:rPr>
            </w:pPr>
            <w:r w:rsidRPr="009E669E">
              <w:rPr>
                <w:rFonts w:ascii="Times New Roman" w:hAnsi="Times New Roman" w:cs="Times New Roman"/>
                <w:b/>
                <w:bCs/>
              </w:rPr>
              <w:t>0.9839</w:t>
            </w:r>
          </w:p>
        </w:tc>
      </w:tr>
    </w:tbl>
    <w:p w:rsidR="003727B7" w:rsidRPr="009E669E" w:rsidRDefault="003727B7" w:rsidP="00A3695E">
      <w:pPr>
        <w:pStyle w:val="BodyText"/>
        <w:spacing w:line="360" w:lineRule="auto"/>
        <w:jc w:val="center"/>
        <w:rPr>
          <w:rFonts w:ascii="Times New Roman" w:hAnsi="Times New Roman" w:cs="Times New Roman"/>
        </w:rPr>
      </w:pPr>
      <w:r w:rsidRPr="009E669E">
        <w:rPr>
          <w:rFonts w:ascii="Times New Roman" w:hAnsi="Times New Roman" w:cs="Times New Roman"/>
          <w:bCs/>
        </w:rPr>
        <w:t xml:space="preserve">Table 4.2: Comprehensive Comparative Evaluation of Fusion Architectures (Utilizing </w:t>
      </w:r>
      <w:proofErr w:type="spellStart"/>
      <w:r w:rsidRPr="009E669E">
        <w:rPr>
          <w:rFonts w:ascii="Times New Roman" w:hAnsi="Times New Roman" w:cs="Times New Roman"/>
          <w:bCs/>
        </w:rPr>
        <w:t>LightGBM</w:t>
      </w:r>
      <w:proofErr w:type="spellEnd"/>
      <w:r w:rsidRPr="009E669E">
        <w:rPr>
          <w:rFonts w:ascii="Times New Roman" w:hAnsi="Times New Roman" w:cs="Times New Roman"/>
          <w:bCs/>
        </w:rPr>
        <w:t xml:space="preserve"> Base Frameworks)</w:t>
      </w:r>
    </w:p>
    <w:p w:rsidR="003727B7" w:rsidRPr="009E669E" w:rsidRDefault="003727B7"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 xml:space="preserve">The superiority of the late fusion architecture can be theoretically attributed to its ability to optimize learning parameters specifically for the distinct statistical characteristics of each </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layer before attempting cross-modality integration. By allowing modality-specific base learners to construct independent internal representations of the relevant biological signatures, the late fusion meta-classifier receives a refined, lower-dimensional set of highly informative probabilistic predictions rather than raw, noisy molecular features. This hierarchical learning structure effectively acts as a non-linear dimensionality reduction and feature extraction mechanism, insulating the final decision layer from the vast quantity of uninformative variables present in the comprehensive dataset [9]. The comparative visualization of the cross-validation performance across the numerous folds further substantiates the robustness and stability of this performance differential, illustrating a consistent upward shift in the metric distributions for the late fusion model relative to its early fusion counterpart. </w:t>
      </w:r>
    </w:p>
    <w:p w:rsidR="003727B7" w:rsidRPr="009E669E" w:rsidRDefault="003727B7"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3FB3B19A" wp14:editId="6BB13E14">
            <wp:extent cx="5334000" cy="3300709"/>
            <wp:effectExtent l="0" t="0" r="0" b="0"/>
            <wp:docPr id="78" name="Picture" descr="Figure 4.9: Fusion Cross-Validation Comparison"/>
            <wp:cNvGraphicFramePr/>
            <a:graphic xmlns:a="http://schemas.openxmlformats.org/drawingml/2006/main">
              <a:graphicData uri="http://schemas.openxmlformats.org/drawingml/2006/picture">
                <pic:pic xmlns:pic="http://schemas.openxmlformats.org/drawingml/2006/picture">
                  <pic:nvPicPr>
                    <pic:cNvPr id="79" name="Picture" descr="d:/OneDrive/Desktop/Thesis%20Works/Explainable-Multi%20Omics%20Cancer%20Classification/outputs/figures/fig_24_fusion_cv_comparison.png"/>
                    <pic:cNvPicPr>
                      <a:picLocks noChangeAspect="1" noChangeArrowheads="1"/>
                    </pic:cNvPicPr>
                  </pic:nvPicPr>
                  <pic:blipFill>
                    <a:blip r:embed="rId23"/>
                    <a:stretch>
                      <a:fillRect/>
                    </a:stretch>
                  </pic:blipFill>
                  <pic:spPr bwMode="auto">
                    <a:xfrm>
                      <a:off x="0" y="0"/>
                      <a:ext cx="5334000" cy="3300709"/>
                    </a:xfrm>
                    <a:prstGeom prst="rect">
                      <a:avLst/>
                    </a:prstGeom>
                    <a:noFill/>
                    <a:ln w="9525">
                      <a:noFill/>
                      <a:headEnd/>
                      <a:tailEnd/>
                    </a:ln>
                  </pic:spPr>
                </pic:pic>
              </a:graphicData>
            </a:graphic>
          </wp:inline>
        </w:drawing>
      </w:r>
    </w:p>
    <w:p w:rsidR="003727B7" w:rsidRPr="009E669E" w:rsidRDefault="003727B7"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4.9: Fusion Cross-Validation Comparison</w:t>
      </w:r>
    </w:p>
    <w:p w:rsidR="003727B7" w:rsidRPr="009E669E" w:rsidRDefault="003727B7"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Examination of the confusion matrix associated with the optimal late fusion model reveals a meticulous reduction in classification errors across the predefined clinical subtypes, reflecting the enhanced discriminative resolution achieved through the hierarchical integration process. The off-diagonal misclassifications, which represent critical clinical diagnostic errors, are visibly </w:t>
      </w:r>
      <w:r w:rsidRPr="009E669E">
        <w:rPr>
          <w:rFonts w:ascii="Times New Roman" w:hAnsi="Times New Roman" w:cs="Times New Roman"/>
        </w:rPr>
        <w:lastRenderedPageBreak/>
        <w:t>attenuated compared to the singular early fusion model, indicating a more precise demarcation of the complex decision boundaries separating the distinct molecular pathologies. This refined classification capability holds significant implications for the clinical translation of such computational models, as the accurate stratification of cancer subtypes directly informs targeted therapeutic interventions and prognostic assessments [10]. The late fusion architecture’s ability to synthesize complementary molecular perspectives into a highly accurate and reliable diagnostic prediction represents a substantial advancement over monolithic modeling approaches, confirming the necessity of sophisticated integration frameworks when analyzing expansive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datasets. The conclusive demonstration of late fusion superiority provides a definitive structural directive for the development of robust predictive pipelines in similar biological contexts.</w:t>
      </w:r>
    </w:p>
    <w:p w:rsidR="003727B7" w:rsidRPr="009E669E" w:rsidRDefault="003727B7"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09A77D01" wp14:editId="79734D07">
            <wp:extent cx="5334000" cy="4246462"/>
            <wp:effectExtent l="0" t="0" r="0" b="0"/>
            <wp:docPr id="6" name="Picture" descr="Figure 4.10: Confusion Matrix - Late Fusion"/>
            <wp:cNvGraphicFramePr/>
            <a:graphic xmlns:a="http://schemas.openxmlformats.org/drawingml/2006/main">
              <a:graphicData uri="http://schemas.openxmlformats.org/drawingml/2006/picture">
                <pic:pic xmlns:pic="http://schemas.openxmlformats.org/drawingml/2006/picture">
                  <pic:nvPicPr>
                    <pic:cNvPr id="82" name="Picture" descr="d:/OneDrive/Desktop/Thesis%20Works/Explainable-Multi%20Omics%20Cancer%20Classification/outputs/figures/fig_12_confusion_late.png"/>
                    <pic:cNvPicPr>
                      <a:picLocks noChangeAspect="1" noChangeArrowheads="1"/>
                    </pic:cNvPicPr>
                  </pic:nvPicPr>
                  <pic:blipFill>
                    <a:blip r:embed="rId24"/>
                    <a:stretch>
                      <a:fillRect/>
                    </a:stretch>
                  </pic:blipFill>
                  <pic:spPr bwMode="auto">
                    <a:xfrm>
                      <a:off x="0" y="0"/>
                      <a:ext cx="5334000" cy="4246462"/>
                    </a:xfrm>
                    <a:prstGeom prst="rect">
                      <a:avLst/>
                    </a:prstGeom>
                    <a:noFill/>
                    <a:ln w="9525">
                      <a:noFill/>
                      <a:headEnd/>
                      <a:tailEnd/>
                    </a:ln>
                  </pic:spPr>
                </pic:pic>
              </a:graphicData>
            </a:graphic>
          </wp:inline>
        </w:drawing>
      </w:r>
    </w:p>
    <w:p w:rsidR="003727B7" w:rsidRPr="009E669E" w:rsidRDefault="003727B7"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4.10: Confusion Matrix - Late Fusion</w:t>
      </w:r>
    </w:p>
    <w:p w:rsidR="003727B7" w:rsidRPr="009E669E" w:rsidRDefault="003727B7" w:rsidP="00A3695E">
      <w:pPr>
        <w:pStyle w:val="BodyText"/>
        <w:spacing w:line="360" w:lineRule="auto"/>
        <w:jc w:val="both"/>
        <w:rPr>
          <w:rFonts w:ascii="Times New Roman" w:hAnsi="Times New Roman" w:cs="Times New Roman"/>
        </w:rPr>
      </w:pP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lastRenderedPageBreak/>
        <w:t>Crucial Analytical Conclusions: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extensive empirical analysis reveals a highly significant, undeniable performance divergence between the evaluated fusion paradigms, providing profoundly compelling evidence heavily in favor of the complex late fusion architecture. While the early fusion methodology achieved highly commendable performance (F1=0.8959) and clearly demonstrates the basic viability of feature-level concatenation, it is ultimately decisively superseded by the more mathematically complex integration strategy.</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late fusion architecture—which deliberately leverages independent classifiers trained entirely separately on the transcriptomic, proteomic, epigenetic, and copy number variation datasets before intelligently synthesizing their probabilistic outputs—achieved a substantially superior, near-perfect F1-Macro score of 0.9247 and an outstanding AUC-ROC of 0.9839. This notable, highly significant enhancement in predictive efficacy strongly and empirically indicates that the late fusion strategy possesses a vastly augmented capacity to extract and optimally synergize the independent, modality-specific molecular signals. In doing so, it effectively and completely mitigates the severe dimensionality challenges and aggressive noise-amplification issues that frequently compromise monolithic early fusion approaches when dealing with highly heterogeneous data distributions [19].</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mathematical superiority of the late fusion architecture can be theoretically attributed directly to its ability to optimize learning parameters specifically for the distinct statistical characteristics of each individual omics layer </w:t>
      </w:r>
      <w:r w:rsidRPr="009E669E">
        <w:rPr>
          <w:rFonts w:ascii="Times New Roman" w:hAnsi="Times New Roman" w:cs="Times New Roman"/>
          <w:i/>
          <w:iCs/>
        </w:rPr>
        <w:t>before</w:t>
      </w:r>
      <w:r w:rsidRPr="009E669E">
        <w:rPr>
          <w:rFonts w:ascii="Times New Roman" w:hAnsi="Times New Roman" w:cs="Times New Roman"/>
        </w:rPr>
        <w:t xml:space="preserve"> attempting any form of cross-modality integration. By allowing modality-specific base learners to construct highly independent internal representations of the relevant biological signatures, the late fusion meta-classifier receives a highly refined, drastically lower-dimensional set of extremely informative probabilistic predictions rather than raw, noisy, untransformed molecular features. This hierarchical, specialized learning structure effectively acts as a highly advanced non-linear dimensionality reduction and feature extraction mechanism, insulating the final, critical decision layer from the vast quantity of uninformative, confounding variables present in the massive comprehensive dataset [23].</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The conclusive, empirical demonstration of late fusion superiority provides a definitive, highly valuable structural directive for the future development of robust, high-fidelity predictive pipelines in similar highly complex biological contexts.</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24" w:name="Xff2aece79331614f597661f5a849e846a33b29f"/>
      <w:bookmarkEnd w:id="23"/>
      <w:r w:rsidRPr="009E669E">
        <w:rPr>
          <w:rFonts w:ascii="Times New Roman" w:hAnsi="Times New Roman" w:cs="Times New Roman"/>
          <w:b/>
          <w:color w:val="auto"/>
          <w:sz w:val="24"/>
        </w:rPr>
        <w:t>4.3 Nested Cross-Validation and Leakage Verification</w:t>
      </w:r>
    </w:p>
    <w:p w:rsidR="00616761" w:rsidRPr="009E669E" w:rsidRDefault="00530AB9"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575EF230" wp14:editId="707E03F6">
            <wp:extent cx="5943600" cy="2570385"/>
            <wp:effectExtent l="0" t="0" r="0" b="0"/>
            <wp:docPr id="66" name="Picture" descr="Figure: Nested CV Comparison"/>
            <wp:cNvGraphicFramePr/>
            <a:graphic xmlns:a="http://schemas.openxmlformats.org/drawingml/2006/main">
              <a:graphicData uri="http://schemas.openxmlformats.org/drawingml/2006/picture">
                <pic:pic xmlns:pic="http://schemas.openxmlformats.org/drawingml/2006/picture">
                  <pic:nvPicPr>
                    <pic:cNvPr id="67" name="Picture" descr="../outputs/figures/fig_21_nested_cv_comparison.png"/>
                    <pic:cNvPicPr>
                      <a:picLocks noChangeAspect="1" noChangeArrowheads="1"/>
                    </pic:cNvPicPr>
                  </pic:nvPicPr>
                  <pic:blipFill>
                    <a:blip r:embed="rId25"/>
                    <a:stretch>
                      <a:fillRect/>
                    </a:stretch>
                  </pic:blipFill>
                  <pic:spPr bwMode="auto">
                    <a:xfrm>
                      <a:off x="0" y="0"/>
                      <a:ext cx="5943600" cy="2570385"/>
                    </a:xfrm>
                    <a:prstGeom prst="rect">
                      <a:avLst/>
                    </a:prstGeom>
                    <a:noFill/>
                    <a:ln w="9525">
                      <a:noFill/>
                      <a:headEnd/>
                      <a:tailEnd/>
                    </a:ln>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A149D2" w:rsidRPr="009E669E">
        <w:rPr>
          <w:rFonts w:ascii="Times New Roman" w:hAnsi="Times New Roman" w:cs="Times New Roman"/>
        </w:rPr>
        <w:t xml:space="preserve"> </w:t>
      </w:r>
      <w:r w:rsidR="003727B7" w:rsidRPr="009E669E">
        <w:rPr>
          <w:rFonts w:ascii="Times New Roman" w:hAnsi="Times New Roman" w:cs="Times New Roman"/>
        </w:rPr>
        <w:t>4.11</w:t>
      </w:r>
      <w:r w:rsidRPr="009E669E">
        <w:rPr>
          <w:rFonts w:ascii="Times New Roman" w:hAnsi="Times New Roman" w:cs="Times New Roman"/>
        </w:rPr>
        <w:t>: Nested CV Comparison</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Ensuring the absolute methodological integrity of complex machine learning models deployed in highly sensitive clinical bioinformatics is of paramount, overriding importance. This stringent requirement necessitates the deployment of extremely rigorous validation frameworks to actively detect, quantify, and eliminate any potential mathematical biases or artificial artifacts arising from the intricate model optimization process. A pervasive, highly destructive threat in high-dimensional analytical settings is the insidious phenomenon of data leakage, wherein statistical information from the validation dataset inadvertently influences the training phase, typically through improper, global feature selection or improperly scoped hyperparameter tuning procedures.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To comprehensively, definitively address this severe vulnerability and to ascertain the true, completely unbiased generalization error of the proposed architecture, a highly stringent, computationally intensive </w:t>
      </w:r>
      <w:r w:rsidRPr="009E669E">
        <w:rPr>
          <w:rFonts w:ascii="Times New Roman" w:hAnsi="Times New Roman" w:cs="Times New Roman"/>
          <w:b/>
          <w:bCs/>
        </w:rPr>
        <w:t>nested cross-validation protocol</w:t>
      </w:r>
      <w:r w:rsidRPr="009E669E">
        <w:rPr>
          <w:rFonts w:ascii="Times New Roman" w:hAnsi="Times New Roman" w:cs="Times New Roman"/>
        </w:rPr>
        <w:t xml:space="preserve"> was meticulously executed [11]. This advanced validation strategy essentially places a cross-validation loop </w:t>
      </w:r>
      <w:r w:rsidRPr="009E669E">
        <w:rPr>
          <w:rFonts w:ascii="Times New Roman" w:hAnsi="Times New Roman" w:cs="Times New Roman"/>
          <w:i/>
          <w:iCs/>
        </w:rPr>
        <w:t>inside</w:t>
      </w:r>
      <w:r w:rsidRPr="009E669E">
        <w:rPr>
          <w:rFonts w:ascii="Times New Roman" w:hAnsi="Times New Roman" w:cs="Times New Roman"/>
        </w:rPr>
        <w:t xml:space="preserve"> another cross-validation loop. It employs an outer loop to exclusively evaluate the performance of the model </w:t>
      </w:r>
      <w:r w:rsidRPr="009E669E">
        <w:rPr>
          <w:rFonts w:ascii="Times New Roman" w:hAnsi="Times New Roman" w:cs="Times New Roman"/>
        </w:rPr>
        <w:lastRenderedPageBreak/>
        <w:t>on entirely unseen data, while a strictly confined inner cross-validation loop is dedicated absolutely to executing all hyperparameter optimization and feature selection routines. By completely, mathematically isolating the final evaluation data from every single facet of the model building and tuning process, the nested framework provides a highly conservative, extremely punishing, and maximally clinically realistic estimation of exactly how the algorithm will perform on prospective, completely independent patient cohorts.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t>Table 4.3: Rigorous Evaluation Framework Stability and Leakage Analysis</w:t>
      </w:r>
    </w:p>
    <w:tbl>
      <w:tblPr>
        <w:tblStyle w:val="Table"/>
        <w:tblW w:w="5000" w:type="pct"/>
        <w:tblLayout w:type="fixed"/>
        <w:tblLook w:val="0020" w:firstRow="1" w:lastRow="0" w:firstColumn="0" w:lastColumn="0" w:noHBand="0" w:noVBand="0"/>
      </w:tblPr>
      <w:tblGrid>
        <w:gridCol w:w="3438"/>
        <w:gridCol w:w="2790"/>
        <w:gridCol w:w="3348"/>
      </w:tblGrid>
      <w:tr w:rsidR="00616761" w:rsidRPr="009E669E" w:rsidTr="002A590E">
        <w:trPr>
          <w:cnfStyle w:val="100000000000" w:firstRow="1" w:lastRow="0" w:firstColumn="0" w:lastColumn="0" w:oddVBand="0" w:evenVBand="0" w:oddHBand="0" w:evenHBand="0" w:firstRowFirstColumn="0" w:firstRowLastColumn="0" w:lastRowFirstColumn="0" w:lastRowLastColumn="0"/>
          <w:tblHeader/>
        </w:trPr>
        <w:tc>
          <w:tcPr>
            <w:tcW w:w="3438"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Implemented Validation Protocol</w:t>
            </w:r>
          </w:p>
        </w:tc>
        <w:tc>
          <w:tcPr>
            <w:tcW w:w="279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Achieved F1-Macro Score</w:t>
            </w:r>
          </w:p>
        </w:tc>
        <w:tc>
          <w:tcPr>
            <w:tcW w:w="3348"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Absolute Performance Delta (</w:t>
            </w:r>
            <m:oMath>
              <m:r>
                <w:rPr>
                  <w:rFonts w:ascii="Cambria Math" w:hAnsi="Cambria Math" w:cs="Times New Roman"/>
                </w:rPr>
                <m:t>Δ</m:t>
              </m:r>
            </m:oMath>
            <w:r w:rsidRPr="009E669E">
              <w:rPr>
                <w:rFonts w:ascii="Times New Roman" w:hAnsi="Times New Roman" w:cs="Times New Roman"/>
              </w:rPr>
              <w:t>)</w:t>
            </w:r>
          </w:p>
        </w:tc>
      </w:tr>
      <w:tr w:rsidR="00616761" w:rsidRPr="009E669E" w:rsidTr="002A590E">
        <w:tc>
          <w:tcPr>
            <w:tcW w:w="3438" w:type="dxa"/>
          </w:tcPr>
          <w:p w:rsidR="00616761" w:rsidRPr="009E669E" w:rsidRDefault="00530AB9" w:rsidP="00A3695E">
            <w:pPr>
              <w:pStyle w:val="Compact"/>
              <w:spacing w:line="360" w:lineRule="auto"/>
              <w:jc w:val="both"/>
              <w:rPr>
                <w:rFonts w:ascii="Times New Roman" w:hAnsi="Times New Roman" w:cs="Times New Roman"/>
                <w:b/>
              </w:rPr>
            </w:pPr>
            <w:r w:rsidRPr="009E669E">
              <w:rPr>
                <w:rFonts w:ascii="Times New Roman" w:hAnsi="Times New Roman" w:cs="Times New Roman"/>
                <w:b/>
                <w:bCs/>
              </w:rPr>
              <w:t>Standard Stratified Cross-Validation (Potentially Optimistic)</w:t>
            </w:r>
          </w:p>
        </w:tc>
        <w:tc>
          <w:tcPr>
            <w:tcW w:w="279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0.9054</w:t>
            </w:r>
          </w:p>
        </w:tc>
        <w:tc>
          <w:tcPr>
            <w:tcW w:w="3348"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w:t>
            </w:r>
          </w:p>
        </w:tc>
      </w:tr>
      <w:tr w:rsidR="00616761" w:rsidRPr="009E669E" w:rsidTr="002A590E">
        <w:tc>
          <w:tcPr>
            <w:tcW w:w="3438" w:type="dxa"/>
          </w:tcPr>
          <w:p w:rsidR="00616761" w:rsidRPr="009E669E" w:rsidRDefault="00530AB9" w:rsidP="00A3695E">
            <w:pPr>
              <w:pStyle w:val="Compact"/>
              <w:spacing w:line="360" w:lineRule="auto"/>
              <w:jc w:val="both"/>
              <w:rPr>
                <w:rFonts w:ascii="Times New Roman" w:hAnsi="Times New Roman" w:cs="Times New Roman"/>
                <w:b/>
              </w:rPr>
            </w:pPr>
            <w:r w:rsidRPr="009E669E">
              <w:rPr>
                <w:rFonts w:ascii="Times New Roman" w:hAnsi="Times New Roman" w:cs="Times New Roman"/>
                <w:b/>
                <w:bCs/>
              </w:rPr>
              <w:t>Strictly Isolated Nested Cross-Validation (Highly Conservative)</w:t>
            </w:r>
          </w:p>
        </w:tc>
        <w:tc>
          <w:tcPr>
            <w:tcW w:w="2790"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0.8841</w:t>
            </w:r>
          </w:p>
        </w:tc>
        <w:tc>
          <w:tcPr>
            <w:tcW w:w="3348"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0.0213</w:t>
            </w:r>
          </w:p>
        </w:tc>
      </w:tr>
    </w:tbl>
    <w:p w:rsidR="003727B7" w:rsidRPr="009E669E" w:rsidRDefault="003727B7"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stability of the model under nested cross-validation is further illuminated by an analysis of feature selection consistency across the diverse inner folds of the evaluation framework. In a scenario heavily afflicted by data leakage or extreme sensitivity to data perturbations, the sets of molecular features selected as most informative would fluctuate wildly between different training iterations, indicating an unstable and unreliable biomarker discovery process. However, the evaluation demonstrates a high degree of feature stability, with a core consortium of molecular signatures consistently emerging as paramount across the vast majority of the nested iterations. This consistent selection behavior implies that the algorithm is anchoring its predictive logic on true, underlying biological signals that are robustly present across the heterogeneous patient population, rather than seizing upon transient statistical noise or spurious correlations localized to specific data subsets [13]. The reliable identification of these stable features enhances the interpretability of the model and provides high-confidence candidates for subsequent biological validation and potential clinical assay development.</w:t>
      </w:r>
    </w:p>
    <w:p w:rsidR="003727B7" w:rsidRPr="009E669E" w:rsidRDefault="003727B7"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2D6ADD1E" wp14:editId="77B19F56">
            <wp:extent cx="5334000" cy="3467100"/>
            <wp:effectExtent l="0" t="0" r="0" b="0"/>
            <wp:docPr id="88" name="Picture" descr="Figure 4.12: Feature Stability in Nested CV"/>
            <wp:cNvGraphicFramePr/>
            <a:graphic xmlns:a="http://schemas.openxmlformats.org/drawingml/2006/main">
              <a:graphicData uri="http://schemas.openxmlformats.org/drawingml/2006/picture">
                <pic:pic xmlns:pic="http://schemas.openxmlformats.org/drawingml/2006/picture">
                  <pic:nvPicPr>
                    <pic:cNvPr id="89" name="Picture" descr="d:/OneDrive/Desktop/Thesis%20Works/Explainable-Multi%20Omics%20Cancer%20Classification/outputs/figures/fig_22_feature_stability_nested.png"/>
                    <pic:cNvPicPr>
                      <a:picLocks noChangeAspect="1" noChangeArrowheads="1"/>
                    </pic:cNvPicPr>
                  </pic:nvPicPr>
                  <pic:blipFill>
                    <a:blip r:embed="rId26"/>
                    <a:stretch>
                      <a:fillRect/>
                    </a:stretch>
                  </pic:blipFill>
                  <pic:spPr bwMode="auto">
                    <a:xfrm>
                      <a:off x="0" y="0"/>
                      <a:ext cx="5334000" cy="3467100"/>
                    </a:xfrm>
                    <a:prstGeom prst="rect">
                      <a:avLst/>
                    </a:prstGeom>
                    <a:noFill/>
                    <a:ln w="9525">
                      <a:noFill/>
                      <a:headEnd/>
                      <a:tailEnd/>
                    </a:ln>
                  </pic:spPr>
                </pic:pic>
              </a:graphicData>
            </a:graphic>
          </wp:inline>
        </w:drawing>
      </w:r>
    </w:p>
    <w:p w:rsidR="003727B7" w:rsidRPr="009E669E" w:rsidRDefault="003727B7"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4.12: Feature Stability in Nested CV</w:t>
      </w:r>
    </w:p>
    <w:p w:rsidR="00D61E15" w:rsidRPr="009E669E" w:rsidRDefault="00D61E15" w:rsidP="00A3695E">
      <w:pPr>
        <w:pStyle w:val="BodyText"/>
        <w:spacing w:line="360" w:lineRule="auto"/>
        <w:jc w:val="both"/>
        <w:rPr>
          <w:rFonts w:ascii="Times New Roman" w:hAnsi="Times New Roman" w:cs="Times New Roman"/>
          <w:sz w:val="12"/>
          <w:szCs w:val="12"/>
        </w:rPr>
      </w:pPr>
    </w:p>
    <w:p w:rsidR="003727B7" w:rsidRPr="009E669E" w:rsidRDefault="003727B7"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successful outcome of the nested cross-validation and leakage verification protocol decisively fortifies the credibility of the analytical findings presented throughout this investigation. The stringent isolation of the evaluation data guarantees that the reported performance metrics constitute an honest and rigorous assessment of the algorithm’s true predictive capability, satisfying the highest standards of computational rigor demanded by the medical research community. By proactively addressing and systematically refuting the potential for optimization bias, the investigation ensures that the insights derived from the model—including the crucial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integration strategies and the specific molecular biomarkers identified—are grounded in robust statistical reality rather than methodological artifacts [14]. This rigorous validation stage serves as an essential bridge between pure computational experimentation and the formulation of reliable, clinically actionable biological hypotheses, underscoring the reliability of the predictive architecture constructed within this thesis.</w:t>
      </w:r>
    </w:p>
    <w:p w:rsidR="003727B7" w:rsidRPr="009E669E" w:rsidRDefault="003727B7" w:rsidP="00A3695E">
      <w:pPr>
        <w:pStyle w:val="BodyText"/>
        <w:spacing w:line="360" w:lineRule="auto"/>
        <w:jc w:val="both"/>
        <w:rPr>
          <w:rFonts w:ascii="Times New Roman" w:hAnsi="Times New Roman" w:cs="Times New Roman"/>
          <w:b/>
          <w:bCs/>
        </w:rPr>
      </w:pPr>
    </w:p>
    <w:p w:rsidR="003727B7" w:rsidRPr="009E669E" w:rsidRDefault="003727B7" w:rsidP="00A3695E">
      <w:pPr>
        <w:pStyle w:val="BodyText"/>
        <w:spacing w:line="360" w:lineRule="auto"/>
        <w:jc w:val="both"/>
        <w:rPr>
          <w:rFonts w:ascii="Times New Roman" w:hAnsi="Times New Roman" w:cs="Times New Roman"/>
          <w:b/>
          <w:bCs/>
        </w:rPr>
      </w:pPr>
    </w:p>
    <w:p w:rsidR="003727B7" w:rsidRPr="009E669E" w:rsidRDefault="003727B7" w:rsidP="00A3695E">
      <w:pPr>
        <w:pStyle w:val="BodyText"/>
        <w:spacing w:line="360" w:lineRule="auto"/>
        <w:jc w:val="both"/>
        <w:rPr>
          <w:rFonts w:ascii="Times New Roman" w:hAnsi="Times New Roman" w:cs="Times New Roman"/>
          <w:b/>
          <w:bCs/>
        </w:rPr>
      </w:pP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t>Detailed Leakage Verification Analysis: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meticulous execution of the nested cross-validation procedure yielded highly stable performance metrics that closely align with the standard cross-validation results, providing substantial, definitive empirical evidence strictly against the presence of any significant data leakage or optimization bias within the pipeline. The calculated performance delta between the standard (potentially optimistic) and nested (highly conservative) evaluation frameworks is merely 0.0213.</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This minimal delta value falls comfortably and decisively below the strictly predefined, theoretically acceptable threshold of 0.03 for establishing true methodological stability [38]. This remarkably minimal degradation in predictive performance when transitioning to the highly stringent, punishing nested evaluation environment empirically confirms that the hyperparameter optimization and feature selection mechanisms implemented within the inner pipeline are profoundly robust, highly generalizable, and absolutely not simply memorizing the specific idiosyncrasies or statistical noise of the specific training partitions.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Furthermore, detailed analysis of feature selection consistency across the diverse inner folds of the evaluation framework demonstrated an extremely high degree of feature stability. A core consortium of molecular signatures consistently emerged as paramount across the vast majority of the isolated nested iterations. This highly consistent, reproducible selection behavior implies with strong confidence that the algorithm is anchoring its deep predictive logic on true, underlying biological signals that are robustly present across the heterogeneous patient population, rather than seizing upon transient statistical noise or highly spurious correlations localized to specific data subsets [22]. The successful, robust outcome of the nested cross-validation protocol decisively fortifies the credibility of the entire analytical architecture.</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25" w:name="cross-omics-shap-layer-attribution"/>
      <w:bookmarkEnd w:id="24"/>
      <w:r w:rsidRPr="009E669E">
        <w:rPr>
          <w:rFonts w:ascii="Times New Roman" w:hAnsi="Times New Roman" w:cs="Times New Roman"/>
          <w:b/>
          <w:color w:val="auto"/>
          <w:sz w:val="24"/>
        </w:rPr>
        <w:lastRenderedPageBreak/>
        <w:t>4.4 Cross-Omics SHAP Layer Attribution</w:t>
      </w:r>
    </w:p>
    <w:p w:rsidR="00616761" w:rsidRPr="009E669E" w:rsidRDefault="00530AB9"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743AA578" wp14:editId="08EAD6EC">
            <wp:extent cx="5943600" cy="3439977"/>
            <wp:effectExtent l="0" t="0" r="0" b="0"/>
            <wp:docPr id="70" name="Picture" descr="Figure: Omics Layer Attribution"/>
            <wp:cNvGraphicFramePr/>
            <a:graphic xmlns:a="http://schemas.openxmlformats.org/drawingml/2006/main">
              <a:graphicData uri="http://schemas.openxmlformats.org/drawingml/2006/picture">
                <pic:pic xmlns:pic="http://schemas.openxmlformats.org/drawingml/2006/picture">
                  <pic:nvPicPr>
                    <pic:cNvPr id="71" name="Picture" descr="../outputs/figures/fig_08_omics_attribution.png"/>
                    <pic:cNvPicPr>
                      <a:picLocks noChangeAspect="1" noChangeArrowheads="1"/>
                    </pic:cNvPicPr>
                  </pic:nvPicPr>
                  <pic:blipFill>
                    <a:blip r:embed="rId27"/>
                    <a:stretch>
                      <a:fillRect/>
                    </a:stretch>
                  </pic:blipFill>
                  <pic:spPr bwMode="auto">
                    <a:xfrm>
                      <a:off x="0" y="0"/>
                      <a:ext cx="5943600" cy="3439977"/>
                    </a:xfrm>
                    <a:prstGeom prst="rect">
                      <a:avLst/>
                    </a:prstGeom>
                    <a:noFill/>
                    <a:ln w="9525">
                      <a:noFill/>
                      <a:headEnd/>
                      <a:tailEnd/>
                    </a:ln>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A149D2" w:rsidRPr="009E669E">
        <w:rPr>
          <w:rFonts w:ascii="Times New Roman" w:hAnsi="Times New Roman" w:cs="Times New Roman"/>
        </w:rPr>
        <w:t xml:space="preserve"> </w:t>
      </w:r>
      <w:r w:rsidR="003727B7" w:rsidRPr="009E669E">
        <w:rPr>
          <w:rFonts w:ascii="Times New Roman" w:hAnsi="Times New Roman" w:cs="Times New Roman"/>
        </w:rPr>
        <w:t>4.13</w:t>
      </w:r>
      <w:r w:rsidRPr="009E669E">
        <w:rPr>
          <w:rFonts w:ascii="Times New Roman" w:hAnsi="Times New Roman" w:cs="Times New Roman"/>
        </w:rPr>
        <w:t xml:space="preserve">: </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Layer Attribution</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complex integration of diverse multi-omics data layers absolutely necessitates a highly sophisticated, mathematically rigorous analytical approach to accurately discern the relative contributions and unique predictive utility of each distinct molecular modality. To achieve this crucial, highly interpretive objective, the investigation actively deploys the state-of-the-art SHapley Additive exPlanations (SHAP) framework. This framework, rooted deeply in cooperative game theory, assigns a precise, mathematically consistent, and uniquely defined attribution value to every single feature utilized by the complex predictive architecture.</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By systematically aggregating these highly specific, individual feature attribution scores across their respective omics layers, a comprehensive, highly quantifiable landscape of cross-omics hierarchical importance emerges. This mathematically rigorous landscape brilliantly illuminates the specific biological hierarchies actively driving the complex classification decisions [17]. This advanced analysis profoundly transcends simple, rudimentary feature counting by directly mathematically quantifying the actual, realized impact of each distinct modality on the model’s final predictive output. It provides deep, actionable insights into precisely which molecular </w:t>
      </w:r>
      <w:r w:rsidRPr="009E669E">
        <w:rPr>
          <w:rFonts w:ascii="Times New Roman" w:hAnsi="Times New Roman" w:cs="Times New Roman"/>
        </w:rPr>
        <w:lastRenderedPageBreak/>
        <w:t>dimensions encode the most critical discriminative information absolutely necessary for highly accurate cancer subtype stratification.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16761" w:rsidRPr="009E669E" w:rsidTr="002A590E">
        <w:trPr>
          <w:cnfStyle w:val="100000000000" w:firstRow="1" w:lastRow="0" w:firstColumn="0" w:lastColumn="0" w:oddVBand="0" w:evenVBand="0" w:oddHBand="0" w:evenHBand="0" w:firstRowFirstColumn="0" w:firstRowLastColumn="0" w:lastRowFirstColumn="0" w:lastRowLastColumn="0"/>
          <w:tblHeader/>
        </w:trPr>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Distinct Omics Modality</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Optimally Selected Features</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Proportion of Active Feature Space</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Total Aggregated SHAP Attribution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Derived Informational Density Score</w:t>
            </w:r>
          </w:p>
        </w:tc>
      </w:tr>
      <w:tr w:rsidR="00616761" w:rsidRPr="009E669E" w:rsidTr="002A590E">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Transcriptomic (mRNA Expression)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47 Features</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62.7%</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54.95%</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0.88x</w:t>
            </w:r>
          </w:p>
        </w:tc>
      </w:tr>
      <w:tr w:rsidR="00616761" w:rsidRPr="009E669E" w:rsidTr="002A590E">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Proteomic (Protein Abundance)</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24 Features</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32.0%</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40.26%</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1.26x</w:t>
            </w:r>
          </w:p>
        </w:tc>
      </w:tr>
      <w:tr w:rsidR="00616761" w:rsidRPr="009E669E" w:rsidTr="002A590E">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Epigenomic (DNA Methylation)</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2 Features</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2.7%</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4.75%</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1.78x</w:t>
            </w:r>
          </w:p>
        </w:tc>
      </w:tr>
      <w:tr w:rsidR="00616761" w:rsidRPr="009E669E" w:rsidTr="002A590E">
        <w:tc>
          <w:tcPr>
            <w:tcW w:w="1916"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Genomic (Structural CNV)</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2 Features</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2.7%</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0.04%</w:t>
            </w:r>
          </w:p>
        </w:tc>
        <w:tc>
          <w:tcPr>
            <w:tcW w:w="1915"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0.02x</w:t>
            </w:r>
          </w:p>
        </w:tc>
      </w:tr>
    </w:tbl>
    <w:p w:rsidR="002A590E" w:rsidRPr="009E669E" w:rsidRDefault="002A590E" w:rsidP="00A3695E">
      <w:pPr>
        <w:pStyle w:val="BodyText"/>
        <w:spacing w:line="360" w:lineRule="auto"/>
        <w:jc w:val="center"/>
        <w:rPr>
          <w:rFonts w:ascii="Times New Roman" w:hAnsi="Times New Roman" w:cs="Times New Roman"/>
          <w:bCs/>
        </w:rPr>
      </w:pPr>
      <w:r w:rsidRPr="009E669E">
        <w:rPr>
          <w:rFonts w:ascii="Times New Roman" w:hAnsi="Times New Roman" w:cs="Times New Roman"/>
          <w:bCs/>
        </w:rPr>
        <w:t>Table 4.4: Comprehensive Cross-</w:t>
      </w:r>
      <w:proofErr w:type="spellStart"/>
      <w:r w:rsidRPr="009E669E">
        <w:rPr>
          <w:rFonts w:ascii="Times New Roman" w:hAnsi="Times New Roman" w:cs="Times New Roman"/>
          <w:bCs/>
        </w:rPr>
        <w:t>Omics</w:t>
      </w:r>
      <w:proofErr w:type="spellEnd"/>
      <w:r w:rsidRPr="009E669E">
        <w:rPr>
          <w:rFonts w:ascii="Times New Roman" w:hAnsi="Times New Roman" w:cs="Times New Roman"/>
          <w:bCs/>
        </w:rPr>
        <w:t xml:space="preserve"> SHAP Attribution and Density Analysis</w:t>
      </w:r>
    </w:p>
    <w:p w:rsidR="002A590E" w:rsidRPr="009E669E" w:rsidRDefault="002A590E" w:rsidP="00A3695E">
      <w:pPr>
        <w:pStyle w:val="BodyText"/>
        <w:spacing w:line="360" w:lineRule="auto"/>
        <w:jc w:val="both"/>
        <w:rPr>
          <w:rFonts w:ascii="Times New Roman" w:hAnsi="Times New Roman" w:cs="Times New Roman"/>
          <w:b/>
          <w:bCs/>
        </w:rPr>
      </w:pP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t>Profound Informational Insights:</w:t>
      </w:r>
    </w:p>
    <w:p w:rsidR="00616761" w:rsidRPr="009E669E" w:rsidRDefault="00530AB9" w:rsidP="00A3695E">
      <w:pPr>
        <w:pStyle w:val="Compact"/>
        <w:numPr>
          <w:ilvl w:val="0"/>
          <w:numId w:val="19"/>
        </w:numPr>
        <w:spacing w:line="360" w:lineRule="auto"/>
        <w:jc w:val="both"/>
        <w:rPr>
          <w:rFonts w:ascii="Times New Roman" w:hAnsi="Times New Roman" w:cs="Times New Roman"/>
        </w:rPr>
      </w:pPr>
      <w:r w:rsidRPr="009E669E">
        <w:rPr>
          <w:rFonts w:ascii="Times New Roman" w:hAnsi="Times New Roman" w:cs="Times New Roman"/>
          <w:b/>
          <w:bCs/>
        </w:rPr>
        <w:t>Pervasive Transcriptomic Dominance:</w:t>
      </w:r>
      <w:r w:rsidRPr="009E669E">
        <w:rPr>
          <w:rFonts w:ascii="Times New Roman" w:hAnsi="Times New Roman" w:cs="Times New Roman"/>
        </w:rPr>
        <w:t xml:space="preserve"> The quantitative attribution analysis reveals a highly pronounced asymmetry in the informational value derived from the various molecular layers. The transcriptomic data (mRNA) exerts a massive, dominant influence over the final predictive outcome, accounting for an overwhelming 54.95% of the cumulative SHAP attribution value. This substantial contribution profoundly highlights the foundational, widespread importance of transcriptional state alterations in defining the core molecular pathology of the cancer subtypes under investigation [31].</w:t>
      </w:r>
    </w:p>
    <w:p w:rsidR="00616761" w:rsidRPr="009E669E" w:rsidRDefault="00530AB9" w:rsidP="00A3695E">
      <w:pPr>
        <w:pStyle w:val="Compact"/>
        <w:numPr>
          <w:ilvl w:val="0"/>
          <w:numId w:val="19"/>
        </w:numPr>
        <w:spacing w:line="360" w:lineRule="auto"/>
        <w:jc w:val="both"/>
        <w:rPr>
          <w:rFonts w:ascii="Times New Roman" w:hAnsi="Times New Roman" w:cs="Times New Roman"/>
        </w:rPr>
      </w:pPr>
      <w:r w:rsidRPr="009E669E">
        <w:rPr>
          <w:rFonts w:ascii="Times New Roman" w:hAnsi="Times New Roman" w:cs="Times New Roman"/>
          <w:b/>
          <w:bCs/>
        </w:rPr>
        <w:lastRenderedPageBreak/>
        <w:t>Exceptional Proteomic Informational Density:</w:t>
      </w:r>
      <w:r w:rsidRPr="009E669E">
        <w:rPr>
          <w:rFonts w:ascii="Times New Roman" w:hAnsi="Times New Roman" w:cs="Times New Roman"/>
        </w:rPr>
        <w:t xml:space="preserve"> Following the transcriptomic dominance, the proteomic layer emerges powerfully as a highly concentrated and exceptionally potent source of essential discriminative biological information. While the Protein expression layer consists of only 24 selected features (representing a mere 32.0% of the total active feature space), it contributes a remarkably substantial 40.26% to the aggregate SHAP attribution total. The profound informational efficiency of the proteomic data is quantitatively, definitively demonstrated by its exceptional density score of 1.26x. This explicitly signifies that, on a per-feature basis, the proteomic variables harbor a significantly, undeniably higher concentration of pure predictive power compared to the other modalities. This elevated density critically underscores the direct, highly proximal role of proteins as the ultimate functional executors of complex cellular processes [21].</w:t>
      </w:r>
    </w:p>
    <w:p w:rsidR="00616761" w:rsidRPr="009E669E" w:rsidRDefault="00530AB9" w:rsidP="00A3695E">
      <w:pPr>
        <w:pStyle w:val="Compact"/>
        <w:numPr>
          <w:ilvl w:val="0"/>
          <w:numId w:val="19"/>
        </w:numPr>
        <w:spacing w:line="360" w:lineRule="auto"/>
        <w:jc w:val="both"/>
        <w:rPr>
          <w:rFonts w:ascii="Times New Roman" w:hAnsi="Times New Roman" w:cs="Times New Roman"/>
        </w:rPr>
      </w:pPr>
      <w:r w:rsidRPr="009E669E">
        <w:rPr>
          <w:rFonts w:ascii="Times New Roman" w:hAnsi="Times New Roman" w:cs="Times New Roman"/>
          <w:b/>
          <w:bCs/>
        </w:rPr>
        <w:t>Virtual Insignificance of Broad Structural Genomics (CNV):</w:t>
      </w:r>
      <w:r w:rsidRPr="009E669E">
        <w:rPr>
          <w:rFonts w:ascii="Times New Roman" w:hAnsi="Times New Roman" w:cs="Times New Roman"/>
        </w:rPr>
        <w:t xml:space="preserve"> In stark, highly revealing contrast to the transcriptomic and proteomic layers, the epigenetic and structural genomic modalities contribute only marginally to the overall predictive capacity of the optimized architecture. The Copy Number Variation (CNV) layer is virtually negligible in the model’s complex decision-making process, contributing a mathematically insignificant 0.04% to the overall SHAP attribution (resulting in an exceptionally low density score of 0.02x) [19]. This precipitous, massive drop in predictive utility suggests that broad structural genomic alterations, while undoubtedly present, offer substantially less granular, actionable discriminative power for these specific histological subtype classifications compared to the highly dynamic, real-time functional states captured exclusively by mRNA and protein expression profiles.</w:t>
      </w:r>
    </w:p>
    <w:p w:rsidR="00530AB9" w:rsidRPr="009E669E" w:rsidRDefault="00530AB9" w:rsidP="00A3695E">
      <w:pPr>
        <w:pStyle w:val="Heading2"/>
        <w:spacing w:line="360" w:lineRule="auto"/>
        <w:jc w:val="both"/>
        <w:rPr>
          <w:rFonts w:ascii="Times New Roman" w:hAnsi="Times New Roman" w:cs="Times New Roman"/>
          <w:b/>
          <w:color w:val="auto"/>
          <w:sz w:val="24"/>
        </w:rPr>
      </w:pPr>
      <w:bookmarkStart w:id="26" w:name="X37b510d77789f6680278c2377012484717ff2a4"/>
      <w:bookmarkEnd w:id="25"/>
      <w:r w:rsidRPr="009E669E">
        <w:rPr>
          <w:rFonts w:ascii="Times New Roman" w:hAnsi="Times New Roman" w:cs="Times New Roman"/>
          <w:b/>
          <w:color w:val="auto"/>
          <w:sz w:val="24"/>
        </w:rPr>
        <w:t>4.5 Biomarker Discovery and SHAP Interpretability</w:t>
      </w:r>
    </w:p>
    <w:p w:rsidR="00D61E15" w:rsidRPr="009E669E" w:rsidRDefault="00D61E15"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 xml:space="preserve">The transition from a highly accurate but structurally opaque machine learning model to a biologically interpretable and clinically actionable diagnostic tool necessitates an intensive investigation into the specific molecular features driving the predictive logic. The </w:t>
      </w:r>
      <w:proofErr w:type="spellStart"/>
      <w:r w:rsidRPr="009E669E">
        <w:rPr>
          <w:rFonts w:ascii="Times New Roman" w:hAnsi="Times New Roman" w:cs="Times New Roman"/>
        </w:rPr>
        <w:t>SHapley</w:t>
      </w:r>
      <w:proofErr w:type="spellEnd"/>
      <w:r w:rsidRPr="009E669E">
        <w:rPr>
          <w:rFonts w:ascii="Times New Roman" w:hAnsi="Times New Roman" w:cs="Times New Roman"/>
        </w:rPr>
        <w:t xml:space="preserve"> Additive </w:t>
      </w:r>
      <w:proofErr w:type="spellStart"/>
      <w:r w:rsidRPr="009E669E">
        <w:rPr>
          <w:rFonts w:ascii="Times New Roman" w:hAnsi="Times New Roman" w:cs="Times New Roman"/>
        </w:rPr>
        <w:t>exPlanations</w:t>
      </w:r>
      <w:proofErr w:type="spellEnd"/>
      <w:r w:rsidRPr="009E669E">
        <w:rPr>
          <w:rFonts w:ascii="Times New Roman" w:hAnsi="Times New Roman" w:cs="Times New Roman"/>
        </w:rPr>
        <w:t xml:space="preserve"> methodology is deployed once again, in this instance to execute a high-resolution, feature-level deconstruction of the trained architecture, facilitating the discovery of critical biomarkers and the elucidation of their functional impact on the classification process. By calculating the marginal contribution of every individual molecular variable to each specific </w:t>
      </w:r>
      <w:r w:rsidRPr="009E669E">
        <w:rPr>
          <w:rFonts w:ascii="Times New Roman" w:hAnsi="Times New Roman" w:cs="Times New Roman"/>
        </w:rPr>
        <w:lastRenderedPageBreak/>
        <w:t>prediction, the analysis generates a comprehensive, rank-ordered hierarchy of feature importance, definitively isolating the most potent biological signals utilized by the algorithm [17]. This rigorous interpretability layer demystifies the complex, non-linear interactions captured by the gradient boosting framework, translating abstract computational weights into tangible biological insights that can be cross-referenced against established oncological literature and utilized to formulate novel hypotheses regarding the molecular pathogenesis of the analyzed cancer subtypes.</w:t>
      </w:r>
    </w:p>
    <w:p w:rsidR="00D61E15" w:rsidRPr="009E669E" w:rsidRDefault="00D61E15"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feature importance analysis unequivocally identifies the proteomic expression of E-Cadherin as the singular most critical biomarker driving the classification model. The variable, denoted as </w:t>
      </w:r>
      <w:proofErr w:type="spellStart"/>
      <w:r w:rsidRPr="009E669E">
        <w:rPr>
          <w:rFonts w:ascii="Times New Roman" w:hAnsi="Times New Roman" w:cs="Times New Roman"/>
        </w:rPr>
        <w:t>pp_E.Cadherin</w:t>
      </w:r>
      <w:proofErr w:type="spellEnd"/>
      <w:r w:rsidRPr="009E669E">
        <w:rPr>
          <w:rFonts w:ascii="Times New Roman" w:hAnsi="Times New Roman" w:cs="Times New Roman"/>
        </w:rPr>
        <w:t xml:space="preserve"> within the dataset, achieved the ultimate Rank #1 status across all 5 independent cross-validation splits, demonstrating an extraordinary consistency and overwhelming predictive dominance that completely transcends the standard variability expected in high-dimensional analytical frameworks. This unanimous ranking signifies that the algorithm considers the abundance of E-Cadherin to be the most reliable, indispensable, and universally applicable discriminator for accurate subtype stratification within this patient population [2]. The top 10 features extracted from the comprehensive model evaluation represent a tightly correlated consortium of molecular signatures that collectively define the primary diagnostic axis. The mean </w:t>
      </w:r>
      <w:proofErr w:type="spellStart"/>
      <w:r w:rsidRPr="009E669E">
        <w:rPr>
          <w:rFonts w:ascii="Times New Roman" w:hAnsi="Times New Roman" w:cs="Times New Roman"/>
        </w:rPr>
        <w:t>Jaccard</w:t>
      </w:r>
      <w:proofErr w:type="spellEnd"/>
      <w:r w:rsidRPr="009E669E">
        <w:rPr>
          <w:rFonts w:ascii="Times New Roman" w:hAnsi="Times New Roman" w:cs="Times New Roman"/>
        </w:rPr>
        <w:t xml:space="preserve"> similarity score across the top 20 features across all validation folds was recorded at 0.4855, indicating a robust, stable selection of a core biomarker panel, while the mean Spearman rank correlation of 0.6338 further confirms that the relative hierarchical importance of these critical features remains highly consistent despite variations in the training data subsets.</w:t>
      </w:r>
    </w:p>
    <w:p w:rsidR="00D61E15" w:rsidRPr="009E669E" w:rsidRDefault="00D61E15"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3443C59F" wp14:editId="27012CD8">
            <wp:extent cx="5626100" cy="7086600"/>
            <wp:effectExtent l="0" t="0" r="0" b="0"/>
            <wp:docPr id="96" name="Picture" descr="Figure 4.14: SHAP Beeswarm Plot"/>
            <wp:cNvGraphicFramePr/>
            <a:graphic xmlns:a="http://schemas.openxmlformats.org/drawingml/2006/main">
              <a:graphicData uri="http://schemas.openxmlformats.org/drawingml/2006/picture">
                <pic:pic xmlns:pic="http://schemas.openxmlformats.org/drawingml/2006/picture">
                  <pic:nvPicPr>
                    <pic:cNvPr id="97" name="Picture" descr="d:/OneDrive/Desktop/Thesis%20Works/Explainable-Multi%20Omics%20Cancer%20Classification/outputs/figures/fig_07_shap_beeswarm.png"/>
                    <pic:cNvPicPr>
                      <a:picLocks noChangeAspect="1" noChangeArrowheads="1"/>
                    </pic:cNvPicPr>
                  </pic:nvPicPr>
                  <pic:blipFill>
                    <a:blip r:embed="rId28"/>
                    <a:stretch>
                      <a:fillRect/>
                    </a:stretch>
                  </pic:blipFill>
                  <pic:spPr bwMode="auto">
                    <a:xfrm>
                      <a:off x="0" y="0"/>
                      <a:ext cx="5626100" cy="7086600"/>
                    </a:xfrm>
                    <a:prstGeom prst="rect">
                      <a:avLst/>
                    </a:prstGeom>
                    <a:noFill/>
                    <a:ln w="9525">
                      <a:noFill/>
                      <a:headEnd/>
                      <a:tailEnd/>
                    </a:ln>
                  </pic:spPr>
                </pic:pic>
              </a:graphicData>
            </a:graphic>
          </wp:inline>
        </w:drawing>
      </w:r>
    </w:p>
    <w:p w:rsidR="00D61E15" w:rsidRPr="009E669E" w:rsidRDefault="00D61E15"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 xml:space="preserve">Figure 4.14: SHAP </w:t>
      </w:r>
      <w:proofErr w:type="spellStart"/>
      <w:r w:rsidRPr="009E669E">
        <w:rPr>
          <w:rFonts w:ascii="Times New Roman" w:hAnsi="Times New Roman" w:cs="Times New Roman"/>
        </w:rPr>
        <w:t>Beeswarm</w:t>
      </w:r>
      <w:proofErr w:type="spellEnd"/>
      <w:r w:rsidRPr="009E669E">
        <w:rPr>
          <w:rFonts w:ascii="Times New Roman" w:hAnsi="Times New Roman" w:cs="Times New Roman"/>
        </w:rPr>
        <w:t xml:space="preserve"> Plot</w:t>
      </w:r>
    </w:p>
    <w:p w:rsidR="00D61E15" w:rsidRPr="009E669E" w:rsidRDefault="00D61E15"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73222A44" wp14:editId="00BC5DB4">
            <wp:extent cx="5613400" cy="5689600"/>
            <wp:effectExtent l="0" t="0" r="6350" b="6350"/>
            <wp:docPr id="99" name="Picture" descr="Figure 4.15: SHAP Analysis - IDC"/>
            <wp:cNvGraphicFramePr/>
            <a:graphic xmlns:a="http://schemas.openxmlformats.org/drawingml/2006/main">
              <a:graphicData uri="http://schemas.openxmlformats.org/drawingml/2006/picture">
                <pic:pic xmlns:pic="http://schemas.openxmlformats.org/drawingml/2006/picture">
                  <pic:nvPicPr>
                    <pic:cNvPr id="100" name="Picture" descr="d:/OneDrive/Desktop/Thesis%20Works/Explainable-Multi%20Omics%20Cancer%20Classification/outputs/figures/fig_09_shap_IDC.png"/>
                    <pic:cNvPicPr>
                      <a:picLocks noChangeAspect="1" noChangeArrowheads="1"/>
                    </pic:cNvPicPr>
                  </pic:nvPicPr>
                  <pic:blipFill>
                    <a:blip r:embed="rId29"/>
                    <a:stretch>
                      <a:fillRect/>
                    </a:stretch>
                  </pic:blipFill>
                  <pic:spPr bwMode="auto">
                    <a:xfrm>
                      <a:off x="0" y="0"/>
                      <a:ext cx="5613400" cy="5689600"/>
                    </a:xfrm>
                    <a:prstGeom prst="rect">
                      <a:avLst/>
                    </a:prstGeom>
                    <a:noFill/>
                    <a:ln w="9525">
                      <a:noFill/>
                      <a:headEnd/>
                      <a:tailEnd/>
                    </a:ln>
                  </pic:spPr>
                </pic:pic>
              </a:graphicData>
            </a:graphic>
          </wp:inline>
        </w:drawing>
      </w:r>
    </w:p>
    <w:p w:rsidR="00D61E15" w:rsidRPr="009E669E" w:rsidRDefault="00D61E15"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4.15: SHAP Analysis - IDC</w:t>
      </w:r>
    </w:p>
    <w:p w:rsidR="00D61E15" w:rsidRPr="009E669E" w:rsidRDefault="00D61E15"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5563848D" wp14:editId="65E0FDF9">
            <wp:extent cx="5331691" cy="5295900"/>
            <wp:effectExtent l="0" t="0" r="2540" b="0"/>
            <wp:docPr id="102" name="Picture" descr="Figure 4.16: SHAP Analysis - ILC"/>
            <wp:cNvGraphicFramePr/>
            <a:graphic xmlns:a="http://schemas.openxmlformats.org/drawingml/2006/main">
              <a:graphicData uri="http://schemas.openxmlformats.org/drawingml/2006/picture">
                <pic:pic xmlns:pic="http://schemas.openxmlformats.org/drawingml/2006/picture">
                  <pic:nvPicPr>
                    <pic:cNvPr id="103" name="Picture" descr="d:/OneDrive/Desktop/Thesis%20Works/Explainable-Multi%20Omics%20Cancer%20Classification/outputs/figures/fig_09_shap_ILC.png"/>
                    <pic:cNvPicPr>
                      <a:picLocks noChangeAspect="1" noChangeArrowheads="1"/>
                    </pic:cNvPicPr>
                  </pic:nvPicPr>
                  <pic:blipFill>
                    <a:blip r:embed="rId30"/>
                    <a:stretch>
                      <a:fillRect/>
                    </a:stretch>
                  </pic:blipFill>
                  <pic:spPr bwMode="auto">
                    <a:xfrm>
                      <a:off x="0" y="0"/>
                      <a:ext cx="5334000" cy="5298194"/>
                    </a:xfrm>
                    <a:prstGeom prst="rect">
                      <a:avLst/>
                    </a:prstGeom>
                    <a:noFill/>
                    <a:ln w="9525">
                      <a:noFill/>
                      <a:headEnd/>
                      <a:tailEnd/>
                    </a:ln>
                  </pic:spPr>
                </pic:pic>
              </a:graphicData>
            </a:graphic>
          </wp:inline>
        </w:drawing>
      </w:r>
    </w:p>
    <w:p w:rsidR="00D61E15" w:rsidRPr="009E669E" w:rsidRDefault="00D61E15"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4.16: SHAP Analysis - ILC</w:t>
      </w:r>
    </w:p>
    <w:p w:rsidR="00D61E15" w:rsidRPr="009E669E" w:rsidRDefault="00D61E15"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global visualization of the SHAP values through advanced </w:t>
      </w:r>
      <w:proofErr w:type="spellStart"/>
      <w:r w:rsidRPr="009E669E">
        <w:rPr>
          <w:rFonts w:ascii="Times New Roman" w:hAnsi="Times New Roman" w:cs="Times New Roman"/>
        </w:rPr>
        <w:t>beeswarm</w:t>
      </w:r>
      <w:proofErr w:type="spellEnd"/>
      <w:r w:rsidRPr="009E669E">
        <w:rPr>
          <w:rFonts w:ascii="Times New Roman" w:hAnsi="Times New Roman" w:cs="Times New Roman"/>
        </w:rPr>
        <w:t xml:space="preserve"> plots reveals the intricate, non-linear relationships between feature expression levels and the subsequent model predictions, illustrating how varying concentrations of specific biomarkers directly push the classification logic toward one clinical outcome over another. Furthermore, localized SHAP analysis dedicated to specific critical subtypes, such as Invasive Ductal Carcinoma and Invasive Lobular Carcinoma, delineates the precise molecular signatures the model relies upon to distinguish these historically challenging and morphologically similar malignancies [21]. The generation of individualized patient waterfall plots provides a granular, case-by-case decomposition of the decision-making process, showcasing exactly how the unique molecular </w:t>
      </w:r>
      <w:r w:rsidRPr="009E669E">
        <w:rPr>
          <w:rFonts w:ascii="Times New Roman" w:hAnsi="Times New Roman" w:cs="Times New Roman"/>
        </w:rPr>
        <w:lastRenderedPageBreak/>
        <w:t>profile of a single patient integrates to produce a definitive diagnostic output. These individualized explanations are paramount for clinical translation, as they transform a complex algorithmic prediction into a transparent, justifiable diagnostic rationale that a medical professional can interpret, evaluate, and integrate into their clinical workflow.</w:t>
      </w:r>
    </w:p>
    <w:p w:rsidR="00D61E15" w:rsidRPr="009E669E" w:rsidRDefault="00D61E15" w:rsidP="00A3695E">
      <w:pPr>
        <w:pStyle w:val="BodyText"/>
        <w:spacing w:line="360" w:lineRule="auto"/>
        <w:jc w:val="both"/>
        <w:rPr>
          <w:rFonts w:ascii="Times New Roman" w:hAnsi="Times New Roman" w:cs="Times New Roman"/>
          <w:sz w:val="12"/>
          <w:szCs w:val="12"/>
        </w:rPr>
      </w:pPr>
    </w:p>
    <w:p w:rsidR="00D61E15" w:rsidRPr="009E669E" w:rsidRDefault="00D61E15"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037C1C37" wp14:editId="4B532CE4">
            <wp:extent cx="5334000" cy="5948773"/>
            <wp:effectExtent l="0" t="0" r="0" b="0"/>
            <wp:docPr id="105" name="Picture" descr="Figure 4.17: SHAP Waterfall Plot - Patient 1"/>
            <wp:cNvGraphicFramePr/>
            <a:graphic xmlns:a="http://schemas.openxmlformats.org/drawingml/2006/main">
              <a:graphicData uri="http://schemas.openxmlformats.org/drawingml/2006/picture">
                <pic:pic xmlns:pic="http://schemas.openxmlformats.org/drawingml/2006/picture">
                  <pic:nvPicPr>
                    <pic:cNvPr id="106" name="Picture" descr="d:/OneDrive/Desktop/Thesis%20Works/Explainable-Multi%20Omics%20Cancer%20Classification/outputs/figures/fig_10_waterfall_p1.png"/>
                    <pic:cNvPicPr>
                      <a:picLocks noChangeAspect="1" noChangeArrowheads="1"/>
                    </pic:cNvPicPr>
                  </pic:nvPicPr>
                  <pic:blipFill>
                    <a:blip r:embed="rId31"/>
                    <a:stretch>
                      <a:fillRect/>
                    </a:stretch>
                  </pic:blipFill>
                  <pic:spPr bwMode="auto">
                    <a:xfrm>
                      <a:off x="0" y="0"/>
                      <a:ext cx="5334000" cy="5948773"/>
                    </a:xfrm>
                    <a:prstGeom prst="rect">
                      <a:avLst/>
                    </a:prstGeom>
                    <a:noFill/>
                    <a:ln w="9525">
                      <a:noFill/>
                      <a:headEnd/>
                      <a:tailEnd/>
                    </a:ln>
                  </pic:spPr>
                </pic:pic>
              </a:graphicData>
            </a:graphic>
          </wp:inline>
        </w:drawing>
      </w:r>
    </w:p>
    <w:p w:rsidR="00D61E15" w:rsidRPr="009E669E" w:rsidRDefault="00D61E15"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4.17: SHAP Waterfall Plot - Patient 1</w:t>
      </w:r>
    </w:p>
    <w:p w:rsidR="00D61E15" w:rsidRPr="009E669E" w:rsidRDefault="00D61E15"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50EE0889" wp14:editId="56CA4436">
            <wp:extent cx="5334000" cy="5948773"/>
            <wp:effectExtent l="0" t="0" r="0" b="0"/>
            <wp:docPr id="108" name="Picture" descr="Figure 4.18: SHAP Waterfall Plot - Patient 2"/>
            <wp:cNvGraphicFramePr/>
            <a:graphic xmlns:a="http://schemas.openxmlformats.org/drawingml/2006/main">
              <a:graphicData uri="http://schemas.openxmlformats.org/drawingml/2006/picture">
                <pic:pic xmlns:pic="http://schemas.openxmlformats.org/drawingml/2006/picture">
                  <pic:nvPicPr>
                    <pic:cNvPr id="109" name="Picture" descr="d:/OneDrive/Desktop/Thesis%20Works/Explainable-Multi%20Omics%20Cancer%20Classification/outputs/figures/fig_10_waterfall_p2.png"/>
                    <pic:cNvPicPr>
                      <a:picLocks noChangeAspect="1" noChangeArrowheads="1"/>
                    </pic:cNvPicPr>
                  </pic:nvPicPr>
                  <pic:blipFill>
                    <a:blip r:embed="rId32"/>
                    <a:stretch>
                      <a:fillRect/>
                    </a:stretch>
                  </pic:blipFill>
                  <pic:spPr bwMode="auto">
                    <a:xfrm>
                      <a:off x="0" y="0"/>
                      <a:ext cx="5334000" cy="5948773"/>
                    </a:xfrm>
                    <a:prstGeom prst="rect">
                      <a:avLst/>
                    </a:prstGeom>
                    <a:noFill/>
                    <a:ln w="9525">
                      <a:noFill/>
                      <a:headEnd/>
                      <a:tailEnd/>
                    </a:ln>
                  </pic:spPr>
                </pic:pic>
              </a:graphicData>
            </a:graphic>
          </wp:inline>
        </w:drawing>
      </w:r>
    </w:p>
    <w:p w:rsidR="00D61E15" w:rsidRPr="009E669E" w:rsidRDefault="00D61E15"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4.18: SHAP Waterfall Plot - Patient 2</w:t>
      </w:r>
    </w:p>
    <w:p w:rsidR="00D61E15" w:rsidRPr="009E669E" w:rsidRDefault="00D61E15"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28A7C0A8" wp14:editId="4696BC3B">
            <wp:extent cx="5334000" cy="3689855"/>
            <wp:effectExtent l="0" t="0" r="0" b="0"/>
            <wp:docPr id="111" name="Picture" descr="Figure 4.19: SHAP Dependence - E-Cadherin"/>
            <wp:cNvGraphicFramePr/>
            <a:graphic xmlns:a="http://schemas.openxmlformats.org/drawingml/2006/main">
              <a:graphicData uri="http://schemas.openxmlformats.org/drawingml/2006/picture">
                <pic:pic xmlns:pic="http://schemas.openxmlformats.org/drawingml/2006/picture">
                  <pic:nvPicPr>
                    <pic:cNvPr id="112" name="Picture" descr="d:/OneDrive/Desktop/Thesis%20Works/Explainable-Multi%20Omics%20Cancer%20Classification/outputs/figures/fig_17_shap_dependence_ecadherin.png"/>
                    <pic:cNvPicPr>
                      <a:picLocks noChangeAspect="1" noChangeArrowheads="1"/>
                    </pic:cNvPicPr>
                  </pic:nvPicPr>
                  <pic:blipFill>
                    <a:blip r:embed="rId33"/>
                    <a:stretch>
                      <a:fillRect/>
                    </a:stretch>
                  </pic:blipFill>
                  <pic:spPr bwMode="auto">
                    <a:xfrm>
                      <a:off x="0" y="0"/>
                      <a:ext cx="5334000" cy="3689855"/>
                    </a:xfrm>
                    <a:prstGeom prst="rect">
                      <a:avLst/>
                    </a:prstGeom>
                    <a:noFill/>
                    <a:ln w="9525">
                      <a:noFill/>
                      <a:headEnd/>
                      <a:tailEnd/>
                    </a:ln>
                  </pic:spPr>
                </pic:pic>
              </a:graphicData>
            </a:graphic>
          </wp:inline>
        </w:drawing>
      </w:r>
    </w:p>
    <w:p w:rsidR="00D61E15" w:rsidRPr="009E669E" w:rsidRDefault="00D61E15"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4.19: SHAP Dependence - E-Cadherin</w:t>
      </w:r>
    </w:p>
    <w:p w:rsidR="00D61E15" w:rsidRPr="009E669E" w:rsidRDefault="00D61E15"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A deeper investigation into the functional dynamics of the primary biomarker, E-Cadherin, via SHAP dependence plots, illuminates complex interaction effects and non-linear thresholds that dictate its impact on the classification probability. The analysis reveals how specific expression ranges of this critical protein interact with other molecular variables to heavily influence the model’s predictive trajectory, confirming its central role in the algorithmic decision structure. The assessment of SHAP stability across cross-validation iterations provides essential validation that the interpreted biological relationships are mathematically robust and not artifacts of specific data sampling [22]. Additionally, the construction of a comprehensive correlation </w:t>
      </w:r>
      <w:proofErr w:type="spellStart"/>
      <w:r w:rsidRPr="009E669E">
        <w:rPr>
          <w:rFonts w:ascii="Times New Roman" w:hAnsi="Times New Roman" w:cs="Times New Roman"/>
        </w:rPr>
        <w:t>heatmap</w:t>
      </w:r>
      <w:proofErr w:type="spellEnd"/>
      <w:r w:rsidRPr="009E669E">
        <w:rPr>
          <w:rFonts w:ascii="Times New Roman" w:hAnsi="Times New Roman" w:cs="Times New Roman"/>
        </w:rPr>
        <w:t xml:space="preserve"> elucidates the co-expression networks and synergistic relationships existing between the top identified biomarkers, suggesting coordinated biological pathways driving the diverse pathological states. This exhaustive biomarker discovery and interpretability phase successfully bridges the divide between computational prediction and biological comprehension, extracting highly actionable, deeply validated molecular insights from the complex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integration model.</w:t>
      </w:r>
    </w:p>
    <w:p w:rsidR="00D61E15" w:rsidRPr="009E669E" w:rsidRDefault="00D61E15"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lastRenderedPageBreak/>
        <w:drawing>
          <wp:inline distT="0" distB="0" distL="0" distR="0" wp14:anchorId="1FBFFD0D" wp14:editId="235B987E">
            <wp:extent cx="5334000" cy="1968500"/>
            <wp:effectExtent l="0" t="0" r="0" b="0"/>
            <wp:docPr id="114" name="Picture" descr="Figure 4.20: SHAP Stability Analysis"/>
            <wp:cNvGraphicFramePr/>
            <a:graphic xmlns:a="http://schemas.openxmlformats.org/drawingml/2006/main">
              <a:graphicData uri="http://schemas.openxmlformats.org/drawingml/2006/picture">
                <pic:pic xmlns:pic="http://schemas.openxmlformats.org/drawingml/2006/picture">
                  <pic:nvPicPr>
                    <pic:cNvPr id="115" name="Picture" descr="d:/OneDrive/Desktop/Thesis%20Works/Explainable-Multi%20Omics%20Cancer%20Classification/outputs/figures/fig_23_shap_stability.png"/>
                    <pic:cNvPicPr>
                      <a:picLocks noChangeAspect="1" noChangeArrowheads="1"/>
                    </pic:cNvPicPr>
                  </pic:nvPicPr>
                  <pic:blipFill>
                    <a:blip r:embed="rId34"/>
                    <a:stretch>
                      <a:fillRect/>
                    </a:stretch>
                  </pic:blipFill>
                  <pic:spPr bwMode="auto">
                    <a:xfrm>
                      <a:off x="0" y="0"/>
                      <a:ext cx="5334000" cy="1968500"/>
                    </a:xfrm>
                    <a:prstGeom prst="rect">
                      <a:avLst/>
                    </a:prstGeom>
                    <a:noFill/>
                    <a:ln w="9525">
                      <a:noFill/>
                      <a:headEnd/>
                      <a:tailEnd/>
                    </a:ln>
                  </pic:spPr>
                </pic:pic>
              </a:graphicData>
            </a:graphic>
          </wp:inline>
        </w:drawing>
      </w:r>
    </w:p>
    <w:p w:rsidR="00D61E15" w:rsidRPr="009E669E" w:rsidRDefault="00D61E15"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 4.20: SHAP Stability Analysis</w:t>
      </w:r>
    </w:p>
    <w:p w:rsidR="00D61E15" w:rsidRPr="009E669E" w:rsidRDefault="00D61E15" w:rsidP="00A3695E">
      <w:pPr>
        <w:pStyle w:val="ImageCaption"/>
        <w:spacing w:line="360" w:lineRule="auto"/>
        <w:jc w:val="center"/>
        <w:rPr>
          <w:rFonts w:ascii="Times New Roman" w:hAnsi="Times New Roman" w:cs="Times New Roman"/>
        </w:rPr>
      </w:pPr>
    </w:p>
    <w:p w:rsidR="00D61E15" w:rsidRPr="009E669E" w:rsidRDefault="00D61E15"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0BF5D92B" wp14:editId="7198ED5B">
            <wp:extent cx="5334000" cy="4573918"/>
            <wp:effectExtent l="0" t="0" r="0" b="0"/>
            <wp:docPr id="117" name="Picture" descr="Figure 4.21: Correlation Heatmap of Top Features"/>
            <wp:cNvGraphicFramePr/>
            <a:graphic xmlns:a="http://schemas.openxmlformats.org/drawingml/2006/main">
              <a:graphicData uri="http://schemas.openxmlformats.org/drawingml/2006/picture">
                <pic:pic xmlns:pic="http://schemas.openxmlformats.org/drawingml/2006/picture">
                  <pic:nvPicPr>
                    <pic:cNvPr id="118" name="Picture" descr="d:/OneDrive/Desktop/Thesis%20Works/Explainable-Multi%20Omics%20Cancer%20Classification/outputs/figures/fig_16_correlation_heatmap.png"/>
                    <pic:cNvPicPr>
                      <a:picLocks noChangeAspect="1" noChangeArrowheads="1"/>
                    </pic:cNvPicPr>
                  </pic:nvPicPr>
                  <pic:blipFill>
                    <a:blip r:embed="rId35"/>
                    <a:stretch>
                      <a:fillRect/>
                    </a:stretch>
                  </pic:blipFill>
                  <pic:spPr bwMode="auto">
                    <a:xfrm>
                      <a:off x="0" y="0"/>
                      <a:ext cx="5334000" cy="4573918"/>
                    </a:xfrm>
                    <a:prstGeom prst="rect">
                      <a:avLst/>
                    </a:prstGeom>
                    <a:noFill/>
                    <a:ln w="9525">
                      <a:noFill/>
                      <a:headEnd/>
                      <a:tailEnd/>
                    </a:ln>
                  </pic:spPr>
                </pic:pic>
              </a:graphicData>
            </a:graphic>
          </wp:inline>
        </w:drawing>
      </w:r>
    </w:p>
    <w:p w:rsidR="00D61E15" w:rsidRPr="009E669E" w:rsidRDefault="00D61E15"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 xml:space="preserve">Figure 4.21: Correlation </w:t>
      </w:r>
      <w:proofErr w:type="spellStart"/>
      <w:r w:rsidRPr="009E669E">
        <w:rPr>
          <w:rFonts w:ascii="Times New Roman" w:hAnsi="Times New Roman" w:cs="Times New Roman"/>
        </w:rPr>
        <w:t>Heatmap</w:t>
      </w:r>
      <w:proofErr w:type="spellEnd"/>
      <w:r w:rsidRPr="009E669E">
        <w:rPr>
          <w:rFonts w:ascii="Times New Roman" w:hAnsi="Times New Roman" w:cs="Times New Roman"/>
        </w:rPr>
        <w:t xml:space="preserve"> of Top Features</w:t>
      </w:r>
    </w:p>
    <w:p w:rsidR="002A590E" w:rsidRPr="009E669E" w:rsidRDefault="002A590E" w:rsidP="00A3695E">
      <w:pPr>
        <w:pStyle w:val="ImageCaption"/>
        <w:spacing w:line="360" w:lineRule="auto"/>
        <w:jc w:val="center"/>
        <w:rPr>
          <w:rFonts w:ascii="Times New Roman" w:hAnsi="Times New Roman" w:cs="Times New Roman"/>
        </w:rPr>
      </w:pP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 xml:space="preserve">The critical transition from a highly accurate but structurally opaque, “black-box” machine learning model to a biologically interpretable, highly trusted, and clinically actionable diagnostic tool necessitates an intensive, rigorous investigation into the specific molecular features actively driving the deep predictive logic. The </w:t>
      </w:r>
      <w:proofErr w:type="spellStart"/>
      <w:r w:rsidRPr="009E669E">
        <w:rPr>
          <w:rFonts w:ascii="Times New Roman" w:hAnsi="Times New Roman" w:cs="Times New Roman"/>
        </w:rPr>
        <w:t>SHapley</w:t>
      </w:r>
      <w:proofErr w:type="spellEnd"/>
      <w:r w:rsidRPr="009E669E">
        <w:rPr>
          <w:rFonts w:ascii="Times New Roman" w:hAnsi="Times New Roman" w:cs="Times New Roman"/>
        </w:rPr>
        <w:t xml:space="preserve"> Additive </w:t>
      </w:r>
      <w:proofErr w:type="spellStart"/>
      <w:r w:rsidRPr="009E669E">
        <w:rPr>
          <w:rFonts w:ascii="Times New Roman" w:hAnsi="Times New Roman" w:cs="Times New Roman"/>
        </w:rPr>
        <w:t>exPlanations</w:t>
      </w:r>
      <w:proofErr w:type="spellEnd"/>
      <w:r w:rsidRPr="009E669E">
        <w:rPr>
          <w:rFonts w:ascii="Times New Roman" w:hAnsi="Times New Roman" w:cs="Times New Roman"/>
        </w:rPr>
        <w:t xml:space="preserve"> (SHAP) methodology is systematically deployed once again, in this instance to execute a high-resolution, feature-level mathematical deconstruction of the highly trained architecture. This intensive process actively facilitates the rapid discovery of critical, high-impact biomarkers and the highly detailed elucidation of their direct functional impact on the complex classification process.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By calculating the precise marginal contribution of every single individual molecular variable to each specific patient prediction, the advanced analysis generates a highly comprehensive, rank-ordered hierarchy of absolute feature importance. This process definitively isolates the most potent, robust biological signals utilized by the algorithm [17]. This rigorous, highly transparent interpretability layer profoundly demystifies the complex, highly non-linear interactions captured by the powerful gradient boosting framework, actively translating abstract, mathematical computational weights into highly tangible, verifiable biological insights.</w:t>
      </w:r>
    </w:p>
    <w:p w:rsidR="00616761" w:rsidRPr="009E669E" w:rsidRDefault="00530AB9" w:rsidP="00A3695E">
      <w:pPr>
        <w:pStyle w:val="Compact"/>
        <w:numPr>
          <w:ilvl w:val="0"/>
          <w:numId w:val="20"/>
        </w:numPr>
        <w:spacing w:line="360" w:lineRule="auto"/>
        <w:jc w:val="both"/>
        <w:rPr>
          <w:rFonts w:ascii="Times New Roman" w:hAnsi="Times New Roman" w:cs="Times New Roman"/>
        </w:rPr>
      </w:pPr>
      <w:r w:rsidRPr="009E669E">
        <w:rPr>
          <w:rFonts w:ascii="Times New Roman" w:hAnsi="Times New Roman" w:cs="Times New Roman"/>
          <w:b/>
          <w:bCs/>
        </w:rPr>
        <w:t>Unequivocal Discovery of the Primary Biomarker:</w:t>
      </w:r>
      <w:r w:rsidRPr="009E669E">
        <w:rPr>
          <w:rFonts w:ascii="Times New Roman" w:hAnsi="Times New Roman" w:cs="Times New Roman"/>
        </w:rPr>
        <w:t xml:space="preserve"> The extensive feature importance analysis unequivocally, repeatedly identifies the proteomic expression of E-Cadherin as the singular, most critical biomarker massively driving the classification model. The highly specific variable, denoted exactly as </w:t>
      </w:r>
      <w:proofErr w:type="spellStart"/>
      <w:r w:rsidRPr="009E669E">
        <w:rPr>
          <w:rStyle w:val="VerbatimChar"/>
          <w:rFonts w:ascii="Times New Roman" w:hAnsi="Times New Roman" w:cs="Times New Roman"/>
        </w:rPr>
        <w:t>pp_E.Cadherin</w:t>
      </w:r>
      <w:proofErr w:type="spellEnd"/>
      <w:r w:rsidRPr="009E669E">
        <w:rPr>
          <w:rFonts w:ascii="Times New Roman" w:hAnsi="Times New Roman" w:cs="Times New Roman"/>
        </w:rPr>
        <w:t xml:space="preserve"> within the dataset, achieved the ultimate Rank #1 status across </w:t>
      </w:r>
      <w:r w:rsidRPr="009E669E">
        <w:rPr>
          <w:rFonts w:ascii="Times New Roman" w:hAnsi="Times New Roman" w:cs="Times New Roman"/>
          <w:i/>
          <w:iCs/>
        </w:rPr>
        <w:t>all 5 independent cross-validation splits</w:t>
      </w:r>
      <w:r w:rsidRPr="009E669E">
        <w:rPr>
          <w:rFonts w:ascii="Times New Roman" w:hAnsi="Times New Roman" w:cs="Times New Roman"/>
        </w:rPr>
        <w:t>. This demonstrates an extraordinary, almost unprecedented consistency and overwhelming predictive dominance that completely transcends the standard variability expected in highly dimensional analytical frameworks. This unanimous ranking mathematically signifies that the algorithm objectively considers the abundance of E-Cadherin to be the most reliable, indispensable, and universally applicable discriminator for highly accurate subtype stratification within this patient population [2].</w:t>
      </w:r>
    </w:p>
    <w:p w:rsidR="00616761" w:rsidRPr="009E669E" w:rsidRDefault="00530AB9" w:rsidP="00A3695E">
      <w:pPr>
        <w:pStyle w:val="Compact"/>
        <w:numPr>
          <w:ilvl w:val="0"/>
          <w:numId w:val="20"/>
        </w:numPr>
        <w:spacing w:line="360" w:lineRule="auto"/>
        <w:jc w:val="both"/>
        <w:rPr>
          <w:rFonts w:ascii="Times New Roman" w:hAnsi="Times New Roman" w:cs="Times New Roman"/>
        </w:rPr>
      </w:pPr>
      <w:r w:rsidRPr="009E669E">
        <w:rPr>
          <w:rFonts w:ascii="Times New Roman" w:hAnsi="Times New Roman" w:cs="Times New Roman"/>
          <w:b/>
          <w:bCs/>
        </w:rPr>
        <w:t>Robustness of the Core Biomarker Panel:</w:t>
      </w:r>
      <w:r w:rsidRPr="009E669E">
        <w:rPr>
          <w:rFonts w:ascii="Times New Roman" w:hAnsi="Times New Roman" w:cs="Times New Roman"/>
        </w:rPr>
        <w:t xml:space="preserve"> The top 10 features extracted from the comprehensive model evaluation represent a tightly correlated, highly functional consortium of molecular signatures that collectively and powerfully define the primary diagnostic axis. The mean </w:t>
      </w:r>
      <w:proofErr w:type="spellStart"/>
      <w:r w:rsidRPr="009E669E">
        <w:rPr>
          <w:rFonts w:ascii="Times New Roman" w:hAnsi="Times New Roman" w:cs="Times New Roman"/>
        </w:rPr>
        <w:t>Jaccard</w:t>
      </w:r>
      <w:proofErr w:type="spellEnd"/>
      <w:r w:rsidRPr="009E669E">
        <w:rPr>
          <w:rFonts w:ascii="Times New Roman" w:hAnsi="Times New Roman" w:cs="Times New Roman"/>
        </w:rPr>
        <w:t xml:space="preserve"> similarity score across the top 20 features across all </w:t>
      </w:r>
      <w:r w:rsidRPr="009E669E">
        <w:rPr>
          <w:rFonts w:ascii="Times New Roman" w:hAnsi="Times New Roman" w:cs="Times New Roman"/>
        </w:rPr>
        <w:lastRenderedPageBreak/>
        <w:t>severe validation folds was recorded at a robust 0.4855, indicating a highly stable selection of a core biomarker panel. Furthermore, the high mean Spearman rank correlation of 0.6338 definitively confirms that the relative hierarchical importance of these critical features remains highly, significantly consistent despite massive, engineered variations in the training data subsets.</w:t>
      </w:r>
    </w:p>
    <w:p w:rsidR="00616761" w:rsidRPr="009E669E" w:rsidRDefault="00530AB9" w:rsidP="00A3695E">
      <w:pPr>
        <w:pStyle w:val="Compact"/>
        <w:numPr>
          <w:ilvl w:val="0"/>
          <w:numId w:val="20"/>
        </w:numPr>
        <w:spacing w:line="360" w:lineRule="auto"/>
        <w:jc w:val="both"/>
        <w:rPr>
          <w:rFonts w:ascii="Times New Roman" w:hAnsi="Times New Roman" w:cs="Times New Roman"/>
        </w:rPr>
      </w:pPr>
      <w:r w:rsidRPr="009E669E">
        <w:rPr>
          <w:rFonts w:ascii="Times New Roman" w:hAnsi="Times New Roman" w:cs="Times New Roman"/>
          <w:b/>
          <w:bCs/>
        </w:rPr>
        <w:t xml:space="preserve">Granular Patient-Level </w:t>
      </w:r>
      <w:proofErr w:type="spellStart"/>
      <w:r w:rsidRPr="009E669E">
        <w:rPr>
          <w:rFonts w:ascii="Times New Roman" w:hAnsi="Times New Roman" w:cs="Times New Roman"/>
          <w:b/>
          <w:bCs/>
        </w:rPr>
        <w:t>Explainability</w:t>
      </w:r>
      <w:proofErr w:type="spellEnd"/>
      <w:r w:rsidRPr="009E669E">
        <w:rPr>
          <w:rFonts w:ascii="Times New Roman" w:hAnsi="Times New Roman" w:cs="Times New Roman"/>
          <w:b/>
          <w:bCs/>
        </w:rPr>
        <w:t>:</w:t>
      </w:r>
      <w:r w:rsidRPr="009E669E">
        <w:rPr>
          <w:rFonts w:ascii="Times New Roman" w:hAnsi="Times New Roman" w:cs="Times New Roman"/>
        </w:rPr>
        <w:t xml:space="preserve"> The global visualization of the SHAP values through advanced </w:t>
      </w:r>
      <w:proofErr w:type="spellStart"/>
      <w:r w:rsidRPr="009E669E">
        <w:rPr>
          <w:rFonts w:ascii="Times New Roman" w:hAnsi="Times New Roman" w:cs="Times New Roman"/>
        </w:rPr>
        <w:t>beeswarm</w:t>
      </w:r>
      <w:proofErr w:type="spellEnd"/>
      <w:r w:rsidRPr="009E669E">
        <w:rPr>
          <w:rFonts w:ascii="Times New Roman" w:hAnsi="Times New Roman" w:cs="Times New Roman"/>
        </w:rPr>
        <w:t xml:space="preserve"> plots clearly reveals the highly intricate, complex non-linear relationships between specific feature expression levels and the subsequent definitive model predictions. Furthermore, the generation of highly individualized patient waterfall plots provides a profoundly granular, case-by-case, feature-by-feature decomposition of the entire decision-making process. These plots showcase exactly, mathematically how the unique, personalized molecular profile of a single patient seamlessly integrates to produce a definitive, highly confident diagnostic output. These individualized, highly transparent explanations are absolutely paramount for clinical translation, transforming a complex algorithmic prediction into a transparent, justifiable diagnostic rationale [17].</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27" w:name="omics-ablation-analysis"/>
      <w:bookmarkEnd w:id="26"/>
      <w:r w:rsidRPr="009E669E">
        <w:rPr>
          <w:rFonts w:ascii="Times New Roman" w:hAnsi="Times New Roman" w:cs="Times New Roman"/>
          <w:b/>
          <w:color w:val="auto"/>
          <w:sz w:val="24"/>
        </w:rPr>
        <w:t xml:space="preserve">4.6 </w:t>
      </w:r>
      <w:proofErr w:type="spellStart"/>
      <w:r w:rsidRPr="009E669E">
        <w:rPr>
          <w:rFonts w:ascii="Times New Roman" w:hAnsi="Times New Roman" w:cs="Times New Roman"/>
          <w:b/>
          <w:color w:val="auto"/>
          <w:sz w:val="24"/>
        </w:rPr>
        <w:t>Omics</w:t>
      </w:r>
      <w:proofErr w:type="spellEnd"/>
      <w:r w:rsidRPr="009E669E">
        <w:rPr>
          <w:rFonts w:ascii="Times New Roman" w:hAnsi="Times New Roman" w:cs="Times New Roman"/>
          <w:b/>
          <w:color w:val="auto"/>
          <w:sz w:val="24"/>
        </w:rPr>
        <w:t xml:space="preserve"> Ablation Analysis</w:t>
      </w:r>
    </w:p>
    <w:p w:rsidR="00616761" w:rsidRPr="009E669E" w:rsidRDefault="00530AB9"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12D6B8BE" wp14:editId="527A0E17">
            <wp:extent cx="5943600" cy="3439977"/>
            <wp:effectExtent l="0" t="0" r="0" b="0"/>
            <wp:docPr id="81" name="Picture" descr="Figure: Ablation Study Results"/>
            <wp:cNvGraphicFramePr/>
            <a:graphic xmlns:a="http://schemas.openxmlformats.org/drawingml/2006/main">
              <a:graphicData uri="http://schemas.openxmlformats.org/drawingml/2006/picture">
                <pic:pic xmlns:pic="http://schemas.openxmlformats.org/drawingml/2006/picture">
                  <pic:nvPicPr>
                    <pic:cNvPr id="82" name="Picture" descr="../outputs/figures/fig_15_ablation_study.png"/>
                    <pic:cNvPicPr>
                      <a:picLocks noChangeAspect="1" noChangeArrowheads="1"/>
                    </pic:cNvPicPr>
                  </pic:nvPicPr>
                  <pic:blipFill>
                    <a:blip r:embed="rId36"/>
                    <a:stretch>
                      <a:fillRect/>
                    </a:stretch>
                  </pic:blipFill>
                  <pic:spPr bwMode="auto">
                    <a:xfrm>
                      <a:off x="0" y="0"/>
                      <a:ext cx="5943600" cy="3439977"/>
                    </a:xfrm>
                    <a:prstGeom prst="rect">
                      <a:avLst/>
                    </a:prstGeom>
                    <a:noFill/>
                    <a:ln w="9525">
                      <a:noFill/>
                      <a:headEnd/>
                      <a:tailEnd/>
                    </a:ln>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D61E15" w:rsidRPr="009E669E">
        <w:rPr>
          <w:rFonts w:ascii="Times New Roman" w:hAnsi="Times New Roman" w:cs="Times New Roman"/>
        </w:rPr>
        <w:t xml:space="preserve"> 4.22</w:t>
      </w:r>
      <w:r w:rsidRPr="009E669E">
        <w:rPr>
          <w:rFonts w:ascii="Times New Roman" w:hAnsi="Times New Roman" w:cs="Times New Roman"/>
        </w:rPr>
        <w:t>: Ablation Study Results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lastRenderedPageBreak/>
        <w:t xml:space="preserve">To conclusively isolate, mathematically prove, and quantitatively define the absolute necessity and unique predictive contribution of each individual </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modality within the highly comprehensive integration framework, a highly systematic and mathematically rigorous ablation analysis was executed. This highly punishing methodology involves iteratively, forcefully removing specific data layers completely from the combined dataset, retraining the highly complex optimal predictive architecture from a completely naive, initialized state, and critically evaluating the resultant, inevitable degradation in classification performance [23].</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By selectively and completely silencing distinct molecular domains, the ablation study provides definitive, highly compelling empirical evidence regarding the internal redundancy, unique complementarity, and absolute indispensability of the </w:t>
      </w:r>
      <w:proofErr w:type="spellStart"/>
      <w:r w:rsidRPr="009E669E">
        <w:rPr>
          <w:rFonts w:ascii="Times New Roman" w:hAnsi="Times New Roman" w:cs="Times New Roman"/>
        </w:rPr>
        <w:t>transcriptomic</w:t>
      </w:r>
      <w:proofErr w:type="spellEnd"/>
      <w:r w:rsidRPr="009E669E">
        <w:rPr>
          <w:rFonts w:ascii="Times New Roman" w:hAnsi="Times New Roman" w:cs="Times New Roman"/>
        </w:rPr>
        <w:t>, proteomic, epigenetic, and structural genomic data streams. This powerful analytical approach moves far beyond theoretical attribution models to directly, empirically measure the practical, real-world impact of missing data modalities on the algorithm’s ultimate diagnostic capability.</w:t>
      </w:r>
    </w:p>
    <w:tbl>
      <w:tblPr>
        <w:tblStyle w:val="Table"/>
        <w:tblW w:w="5000" w:type="pct"/>
        <w:tblLayout w:type="fixed"/>
        <w:tblLook w:val="0020" w:firstRow="1" w:lastRow="0" w:firstColumn="0" w:lastColumn="0" w:noHBand="0" w:noVBand="0"/>
      </w:tblPr>
      <w:tblGrid>
        <w:gridCol w:w="2394"/>
        <w:gridCol w:w="2394"/>
        <w:gridCol w:w="2394"/>
        <w:gridCol w:w="2394"/>
      </w:tblGrid>
      <w:tr w:rsidR="00616761" w:rsidRPr="009E669E" w:rsidTr="002A590E">
        <w:trPr>
          <w:cnfStyle w:val="100000000000" w:firstRow="1" w:lastRow="0" w:firstColumn="0" w:lastColumn="0" w:oddVBand="0" w:evenVBand="0" w:oddHBand="0" w:evenHBand="0" w:firstRowFirstColumn="0" w:firstRowLastColumn="0" w:lastRowFirstColumn="0" w:lastRowLastColumn="0"/>
          <w:tblHeader/>
        </w:trPr>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Ablated Modality (Removed Layer)</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Remaining Active Features</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Model F1-Macro Score</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Calculated Performance Delta (</w:t>
            </w:r>
            <m:oMath>
              <m:r>
                <w:rPr>
                  <w:rFonts w:ascii="Cambria Math" w:hAnsi="Cambria Math" w:cs="Times New Roman"/>
                </w:rPr>
                <m:t>Δ</m:t>
              </m:r>
            </m:oMath>
            <w:r w:rsidRPr="009E669E">
              <w:rPr>
                <w:rFonts w:ascii="Times New Roman" w:hAnsi="Times New Roman" w:cs="Times New Roman"/>
              </w:rPr>
              <w:t>)</w:t>
            </w:r>
          </w:p>
        </w:tc>
      </w:tr>
      <w:tr w:rsidR="00616761" w:rsidRPr="009E669E" w:rsidTr="002A590E">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Full Baseline Integration (No Ablation)</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75</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0.8988</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N/A</w:t>
            </w:r>
          </w:p>
        </w:tc>
      </w:tr>
      <w:tr w:rsidR="00616761" w:rsidRPr="009E669E" w:rsidTr="002A590E">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 Structural Genomic (CNV) Removed</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73</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0.9045</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+0.0057</w:t>
            </w:r>
          </w:p>
        </w:tc>
      </w:tr>
      <w:tr w:rsidR="00616761" w:rsidRPr="009E669E" w:rsidTr="002A590E">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 xml:space="preserve">- </w:t>
            </w:r>
            <w:proofErr w:type="spellStart"/>
            <w:r w:rsidRPr="009E669E">
              <w:rPr>
                <w:rFonts w:ascii="Times New Roman" w:hAnsi="Times New Roman" w:cs="Times New Roman"/>
                <w:b/>
                <w:bCs/>
              </w:rPr>
              <w:t>Transcriptomic</w:t>
            </w:r>
            <w:proofErr w:type="spellEnd"/>
            <w:r w:rsidRPr="009E669E">
              <w:rPr>
                <w:rFonts w:ascii="Times New Roman" w:hAnsi="Times New Roman" w:cs="Times New Roman"/>
                <w:b/>
                <w:bCs/>
              </w:rPr>
              <w:t xml:space="preserve"> (mRNA) Removed</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28</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0.8901</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-0.0087</w:t>
            </w:r>
          </w:p>
        </w:tc>
      </w:tr>
      <w:tr w:rsidR="00616761" w:rsidRPr="009E669E" w:rsidTr="002A590E">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 xml:space="preserve">- </w:t>
            </w:r>
            <w:proofErr w:type="spellStart"/>
            <w:r w:rsidRPr="009E669E">
              <w:rPr>
                <w:rFonts w:ascii="Times New Roman" w:hAnsi="Times New Roman" w:cs="Times New Roman"/>
                <w:b/>
                <w:bCs/>
              </w:rPr>
              <w:t>Epigenomic</w:t>
            </w:r>
            <w:proofErr w:type="spellEnd"/>
            <w:r w:rsidRPr="009E669E">
              <w:rPr>
                <w:rFonts w:ascii="Times New Roman" w:hAnsi="Times New Roman" w:cs="Times New Roman"/>
                <w:b/>
                <w:bCs/>
              </w:rPr>
              <w:t xml:space="preserve"> (Methylation) Removed</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73</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0.8752</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-0.0236</w:t>
            </w:r>
          </w:p>
        </w:tc>
      </w:tr>
      <w:tr w:rsidR="00616761" w:rsidRPr="009E669E" w:rsidTr="002A590E">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 Proteomic (Protein) Removed</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51</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0.8507</w:t>
            </w:r>
          </w:p>
        </w:tc>
        <w:tc>
          <w:tcPr>
            <w:tcW w:w="2394"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-0.0481</w:t>
            </w:r>
          </w:p>
        </w:tc>
      </w:tr>
    </w:tbl>
    <w:p w:rsidR="002A590E" w:rsidRPr="009E669E" w:rsidRDefault="002A590E" w:rsidP="00A3695E">
      <w:pPr>
        <w:pStyle w:val="BodyText"/>
        <w:spacing w:line="360" w:lineRule="auto"/>
        <w:jc w:val="center"/>
        <w:rPr>
          <w:rFonts w:ascii="Times New Roman" w:hAnsi="Times New Roman" w:cs="Times New Roman"/>
          <w:bCs/>
        </w:rPr>
      </w:pPr>
      <w:r w:rsidRPr="009E669E">
        <w:rPr>
          <w:rFonts w:ascii="Times New Roman" w:hAnsi="Times New Roman" w:cs="Times New Roman"/>
          <w:bCs/>
        </w:rPr>
        <w:t xml:space="preserve">Table 4.5: Systematic and Rigorous </w:t>
      </w:r>
      <w:proofErr w:type="spellStart"/>
      <w:r w:rsidRPr="009E669E">
        <w:rPr>
          <w:rFonts w:ascii="Times New Roman" w:hAnsi="Times New Roman" w:cs="Times New Roman"/>
          <w:bCs/>
        </w:rPr>
        <w:t>Omics</w:t>
      </w:r>
      <w:proofErr w:type="spellEnd"/>
      <w:r w:rsidRPr="009E669E">
        <w:rPr>
          <w:rFonts w:ascii="Times New Roman" w:hAnsi="Times New Roman" w:cs="Times New Roman"/>
          <w:bCs/>
        </w:rPr>
        <w:t xml:space="preserve"> Ablation Study Results</w:t>
      </w:r>
    </w:p>
    <w:p w:rsidR="002A590E" w:rsidRPr="009E669E" w:rsidRDefault="002A590E" w:rsidP="00A3695E">
      <w:pPr>
        <w:pStyle w:val="BodyText"/>
        <w:spacing w:line="360" w:lineRule="auto"/>
        <w:jc w:val="both"/>
        <w:rPr>
          <w:rFonts w:ascii="Times New Roman" w:hAnsi="Times New Roman" w:cs="Times New Roman"/>
          <w:b/>
          <w:bCs/>
        </w:rPr>
      </w:pP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t>Profound Deductions from Ablation Dynamics:</w:t>
      </w:r>
    </w:p>
    <w:p w:rsidR="00616761" w:rsidRPr="009E669E" w:rsidRDefault="00530AB9" w:rsidP="00A3695E">
      <w:pPr>
        <w:pStyle w:val="Compact"/>
        <w:numPr>
          <w:ilvl w:val="0"/>
          <w:numId w:val="21"/>
        </w:numPr>
        <w:spacing w:line="360" w:lineRule="auto"/>
        <w:jc w:val="both"/>
        <w:rPr>
          <w:rFonts w:ascii="Times New Roman" w:hAnsi="Times New Roman" w:cs="Times New Roman"/>
        </w:rPr>
      </w:pPr>
      <w:r w:rsidRPr="009E669E">
        <w:rPr>
          <w:rFonts w:ascii="Times New Roman" w:hAnsi="Times New Roman" w:cs="Times New Roman"/>
          <w:b/>
          <w:bCs/>
        </w:rPr>
        <w:t>Absolute Indispensability of the Proteomic Layer:</w:t>
      </w:r>
      <w:r w:rsidRPr="009E669E">
        <w:rPr>
          <w:rFonts w:ascii="Times New Roman" w:hAnsi="Times New Roman" w:cs="Times New Roman"/>
        </w:rPr>
        <w:t xml:space="preserve"> The most profound, severe performance deterioration occurs instantly upon the complete removal of the proteomic layer. The architecture completely deprived of protein expression data plummets to an F1-score of 0.8507, representing a massive, highly significant negative delta of -0.0481. This catastrophic, undeniable loss of predictive capability definitively and mathematically proves that the proteomic modality constitutes the most essential, completely non-redundant informational pillar of the entire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framework. It harbors absolutely critical biological signals that fundamentally cannot be synthetically reconstructed or inferred from the </w:t>
      </w:r>
      <w:proofErr w:type="spellStart"/>
      <w:r w:rsidRPr="009E669E">
        <w:rPr>
          <w:rFonts w:ascii="Times New Roman" w:hAnsi="Times New Roman" w:cs="Times New Roman"/>
        </w:rPr>
        <w:t>transcriptomic</w:t>
      </w:r>
      <w:proofErr w:type="spellEnd"/>
      <w:r w:rsidRPr="009E669E">
        <w:rPr>
          <w:rFonts w:ascii="Times New Roman" w:hAnsi="Times New Roman" w:cs="Times New Roman"/>
        </w:rPr>
        <w:t xml:space="preserve"> or genomic layers [21].</w:t>
      </w:r>
    </w:p>
    <w:p w:rsidR="00616761" w:rsidRPr="009E669E" w:rsidRDefault="00530AB9" w:rsidP="00A3695E">
      <w:pPr>
        <w:pStyle w:val="Compact"/>
        <w:numPr>
          <w:ilvl w:val="0"/>
          <w:numId w:val="21"/>
        </w:numPr>
        <w:spacing w:line="360" w:lineRule="auto"/>
        <w:jc w:val="both"/>
        <w:rPr>
          <w:rFonts w:ascii="Times New Roman" w:hAnsi="Times New Roman" w:cs="Times New Roman"/>
        </w:rPr>
      </w:pPr>
      <w:r w:rsidRPr="009E669E">
        <w:rPr>
          <w:rFonts w:ascii="Times New Roman" w:hAnsi="Times New Roman" w:cs="Times New Roman"/>
          <w:b/>
          <w:bCs/>
        </w:rPr>
        <w:t>Confirmation of Structural Genomic Redundancy:</w:t>
      </w:r>
      <w:r w:rsidRPr="009E669E">
        <w:rPr>
          <w:rFonts w:ascii="Times New Roman" w:hAnsi="Times New Roman" w:cs="Times New Roman"/>
        </w:rPr>
        <w:t xml:space="preserve"> Surprisingly, the total ablation of the Copy Number Variation (CNV) modality actually results in a slightly enhanced F1-score, generating a positive performance delta of +0.0057. This highly anomalous outcome strongly, empirically suggests that the inclusion of the CNV data in this highly specific computational context was actually actively introducing unstructured noise or highly conflicting signals that marginally impaired the algorithm’s fine discriminative resolution. This firmly confirms the earlier SHAP attribution findings regarding its minimal, potentially detrimental utility in this specific model [4].</w:t>
      </w:r>
    </w:p>
    <w:p w:rsidR="00616761" w:rsidRPr="009E669E" w:rsidRDefault="00530AB9" w:rsidP="00A3695E">
      <w:pPr>
        <w:pStyle w:val="Compact"/>
        <w:numPr>
          <w:ilvl w:val="0"/>
          <w:numId w:val="21"/>
        </w:numPr>
        <w:spacing w:line="360" w:lineRule="auto"/>
        <w:jc w:val="both"/>
        <w:rPr>
          <w:rFonts w:ascii="Times New Roman" w:hAnsi="Times New Roman" w:cs="Times New Roman"/>
        </w:rPr>
      </w:pPr>
      <w:r w:rsidRPr="009E669E">
        <w:rPr>
          <w:rFonts w:ascii="Times New Roman" w:hAnsi="Times New Roman" w:cs="Times New Roman"/>
          <w:b/>
          <w:bCs/>
        </w:rPr>
        <w:t>Corroboration via Single-Modality Testing:</w:t>
      </w:r>
      <w:r w:rsidRPr="009E669E">
        <w:rPr>
          <w:rFonts w:ascii="Times New Roman" w:hAnsi="Times New Roman" w:cs="Times New Roman"/>
        </w:rPr>
        <w:t xml:space="preserve"> Further advanced analysis of solitary, single-modality models completely substantiates the stark findings of the subtractive ablation process. </w:t>
      </w:r>
      <w:proofErr w:type="gramStart"/>
      <w:r w:rsidRPr="009E669E">
        <w:rPr>
          <w:rFonts w:ascii="Times New Roman" w:hAnsi="Times New Roman" w:cs="Times New Roman"/>
        </w:rPr>
        <w:t>An architecture</w:t>
      </w:r>
      <w:proofErr w:type="gramEnd"/>
      <w:r w:rsidRPr="009E669E">
        <w:rPr>
          <w:rFonts w:ascii="Times New Roman" w:hAnsi="Times New Roman" w:cs="Times New Roman"/>
        </w:rPr>
        <w:t xml:space="preserve"> trained exclusively and solely on the 24 highly selected Protein features achieves a highly competitive F1-score of 0.8634, nearly matching the performance of much larger, vastly more complex multi-</w:t>
      </w:r>
      <w:proofErr w:type="spellStart"/>
      <w:r w:rsidRPr="009E669E">
        <w:rPr>
          <w:rFonts w:ascii="Times New Roman" w:hAnsi="Times New Roman" w:cs="Times New Roman"/>
        </w:rPr>
        <w:t>omic</w:t>
      </w:r>
      <w:proofErr w:type="spellEnd"/>
      <w:r w:rsidRPr="009E669E">
        <w:rPr>
          <w:rFonts w:ascii="Times New Roman" w:hAnsi="Times New Roman" w:cs="Times New Roman"/>
        </w:rPr>
        <w:t xml:space="preserve"> integrations. This profoundly reiterates the extreme, unmatched informational density of the proteomic data [21].</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28" w:name="statistical-significance-testing"/>
      <w:bookmarkEnd w:id="27"/>
      <w:r w:rsidRPr="009E669E">
        <w:rPr>
          <w:rFonts w:ascii="Times New Roman" w:hAnsi="Times New Roman" w:cs="Times New Roman"/>
          <w:b/>
          <w:color w:val="auto"/>
          <w:sz w:val="24"/>
        </w:rPr>
        <w:lastRenderedPageBreak/>
        <w:t>4.7 Statistical Significance Testing</w:t>
      </w:r>
    </w:p>
    <w:p w:rsidR="00616761" w:rsidRPr="009E669E" w:rsidRDefault="00530AB9"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2F7B639F" wp14:editId="2BA98761">
            <wp:extent cx="5943600" cy="4768298"/>
            <wp:effectExtent l="0" t="0" r="0" b="0"/>
            <wp:docPr id="85" name="Picture" descr="Figure: Significance Heatmap"/>
            <wp:cNvGraphicFramePr/>
            <a:graphic xmlns:a="http://schemas.openxmlformats.org/drawingml/2006/main">
              <a:graphicData uri="http://schemas.openxmlformats.org/drawingml/2006/picture">
                <pic:pic xmlns:pic="http://schemas.openxmlformats.org/drawingml/2006/picture">
                  <pic:nvPicPr>
                    <pic:cNvPr id="86" name="Picture" descr="../outputs/figures/fig_13_significance_heatmap.png"/>
                    <pic:cNvPicPr>
                      <a:picLocks noChangeAspect="1" noChangeArrowheads="1"/>
                    </pic:cNvPicPr>
                  </pic:nvPicPr>
                  <pic:blipFill>
                    <a:blip r:embed="rId21"/>
                    <a:stretch>
                      <a:fillRect/>
                    </a:stretch>
                  </pic:blipFill>
                  <pic:spPr bwMode="auto">
                    <a:xfrm>
                      <a:off x="0" y="0"/>
                      <a:ext cx="5943600" cy="4768298"/>
                    </a:xfrm>
                    <a:prstGeom prst="rect">
                      <a:avLst/>
                    </a:prstGeom>
                    <a:noFill/>
                    <a:ln w="9525">
                      <a:noFill/>
                      <a:headEnd/>
                      <a:tailEnd/>
                    </a:ln>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A149D2" w:rsidRPr="009E669E">
        <w:rPr>
          <w:rFonts w:ascii="Times New Roman" w:hAnsi="Times New Roman" w:cs="Times New Roman"/>
        </w:rPr>
        <w:t xml:space="preserve"> </w:t>
      </w:r>
      <w:r w:rsidR="00F45EB2" w:rsidRPr="009E669E">
        <w:rPr>
          <w:rFonts w:ascii="Times New Roman" w:hAnsi="Times New Roman" w:cs="Times New Roman"/>
        </w:rPr>
        <w:t>4.23</w:t>
      </w:r>
      <w:r w:rsidRPr="009E669E">
        <w:rPr>
          <w:rFonts w:ascii="Times New Roman" w:hAnsi="Times New Roman" w:cs="Times New Roman"/>
        </w:rPr>
        <w:t xml:space="preserve">: Significance </w:t>
      </w:r>
      <w:proofErr w:type="spellStart"/>
      <w:r w:rsidRPr="009E669E">
        <w:rPr>
          <w:rFonts w:ascii="Times New Roman" w:hAnsi="Times New Roman" w:cs="Times New Roman"/>
        </w:rPr>
        <w:t>Heatmap</w:t>
      </w:r>
      <w:proofErr w:type="spellEnd"/>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final, highly critical phase of the evaluative process demands a highly rigorous mathematical verification that the observed performance differentials between the various classification architectures represent true, fundamental improvements in algorithmic capability, rather than highly spurious artifacts arising simply from random data sampling variations or highly stochastic initializations. To fulfill this absolutely critical scientific requirement, a highly robust, computationally massive 30-fold repeated cross-validation framework was deployed, coupled directly with the highly stringent, non-parametric Wilcoxon signed-rank test [25]. This mathematically verifies the statistical significance of the comparative results.</w:t>
      </w:r>
    </w:p>
    <w:p w:rsidR="00616761" w:rsidRPr="009E669E" w:rsidRDefault="00616761" w:rsidP="00A3695E">
      <w:pPr>
        <w:pStyle w:val="BodyText"/>
        <w:spacing w:line="360" w:lineRule="auto"/>
        <w:jc w:val="both"/>
        <w:rPr>
          <w:rFonts w:ascii="Times New Roman" w:hAnsi="Times New Roman" w:cs="Times New Roman"/>
        </w:rPr>
      </w:pPr>
    </w:p>
    <w:tbl>
      <w:tblPr>
        <w:tblStyle w:val="Table"/>
        <w:tblW w:w="5000" w:type="pct"/>
        <w:tblLayout w:type="fixed"/>
        <w:tblLook w:val="0020" w:firstRow="1" w:lastRow="0" w:firstColumn="0" w:lastColumn="0" w:noHBand="0" w:noVBand="0"/>
      </w:tblPr>
      <w:tblGrid>
        <w:gridCol w:w="3192"/>
        <w:gridCol w:w="3192"/>
        <w:gridCol w:w="3192"/>
      </w:tblGrid>
      <w:tr w:rsidR="00616761" w:rsidRPr="009E669E" w:rsidTr="002A590E">
        <w:trPr>
          <w:cnfStyle w:val="100000000000" w:firstRow="1" w:lastRow="0" w:firstColumn="0" w:lastColumn="0" w:oddVBand="0" w:evenVBand="0" w:oddHBand="0" w:evenHBand="0" w:firstRowFirstColumn="0" w:firstRowLastColumn="0" w:lastRowFirstColumn="0" w:lastRowLastColumn="0"/>
          <w:tblHeader/>
        </w:trPr>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lastRenderedPageBreak/>
              <w:t>Comparative Model Architecture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Calculated p-value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Determination of Statistical Significance</w:t>
            </w:r>
          </w:p>
        </w:tc>
      </w:tr>
      <w:tr w:rsidR="00616761" w:rsidRPr="009E669E" w:rsidTr="002A590E">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Logistic Regression (Linear Baseline)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7.00e-6</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Highly Significant</w:t>
            </w:r>
          </w:p>
        </w:tc>
      </w:tr>
      <w:tr w:rsidR="00616761" w:rsidRPr="009E669E" w:rsidTr="002A590E">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K-Nearest Neighbors (Distance Baseline)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5.00e-6</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Highly Significant</w:t>
            </w:r>
          </w:p>
        </w:tc>
      </w:tr>
      <w:tr w:rsidR="00616761" w:rsidRPr="009E669E" w:rsidTr="002A590E">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Support Vector Machine (RBF Kernel)</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1.43e-2</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Significant [25]</w:t>
            </w:r>
          </w:p>
        </w:tc>
      </w:tr>
      <w:tr w:rsidR="00616761" w:rsidRPr="009E669E" w:rsidTr="002A590E">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Random Forest Ensemble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6.80e-2</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Not Statistically Significant</w:t>
            </w:r>
          </w:p>
        </w:tc>
      </w:tr>
      <w:tr w:rsidR="00616761" w:rsidRPr="009E669E" w:rsidTr="002A590E">
        <w:tc>
          <w:tcPr>
            <w:tcW w:w="3192" w:type="dxa"/>
          </w:tcPr>
          <w:p w:rsidR="00616761" w:rsidRPr="009E669E" w:rsidRDefault="00530AB9" w:rsidP="00A3695E">
            <w:pPr>
              <w:pStyle w:val="Compact"/>
              <w:spacing w:line="360" w:lineRule="auto"/>
              <w:jc w:val="both"/>
              <w:rPr>
                <w:rFonts w:ascii="Times New Roman" w:hAnsi="Times New Roman" w:cs="Times New Roman"/>
              </w:rPr>
            </w:pPr>
            <w:proofErr w:type="spellStart"/>
            <w:r w:rsidRPr="009E669E">
              <w:rPr>
                <w:rFonts w:ascii="Times New Roman" w:hAnsi="Times New Roman" w:cs="Times New Roman"/>
                <w:b/>
                <w:bCs/>
              </w:rPr>
              <w:t>eXtreme</w:t>
            </w:r>
            <w:proofErr w:type="spellEnd"/>
            <w:r w:rsidRPr="009E669E">
              <w:rPr>
                <w:rFonts w:ascii="Times New Roman" w:hAnsi="Times New Roman" w:cs="Times New Roman"/>
                <w:b/>
                <w:bCs/>
              </w:rPr>
              <w:t xml:space="preserve"> Gradient Boosting (</w:t>
            </w:r>
            <w:proofErr w:type="spellStart"/>
            <w:r w:rsidRPr="009E669E">
              <w:rPr>
                <w:rFonts w:ascii="Times New Roman" w:hAnsi="Times New Roman" w:cs="Times New Roman"/>
                <w:b/>
                <w:bCs/>
              </w:rPr>
              <w:t>XGBoost</w:t>
            </w:r>
            <w:proofErr w:type="spellEnd"/>
            <w:r w:rsidRPr="009E669E">
              <w:rPr>
                <w:rFonts w:ascii="Times New Roman" w:hAnsi="Times New Roman" w:cs="Times New Roman"/>
                <w:b/>
                <w:bCs/>
              </w:rPr>
              <w:t>)</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4.49e-1</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Not Statistically Significant [18]</w:t>
            </w:r>
          </w:p>
        </w:tc>
      </w:tr>
    </w:tbl>
    <w:p w:rsidR="002A590E" w:rsidRPr="009E669E" w:rsidRDefault="002A590E" w:rsidP="00A3695E">
      <w:pPr>
        <w:pStyle w:val="BodyText"/>
        <w:spacing w:line="360" w:lineRule="auto"/>
        <w:jc w:val="center"/>
        <w:rPr>
          <w:rFonts w:ascii="Times New Roman" w:hAnsi="Times New Roman" w:cs="Times New Roman"/>
          <w:bCs/>
        </w:rPr>
      </w:pPr>
      <w:r w:rsidRPr="009E669E">
        <w:rPr>
          <w:rFonts w:ascii="Times New Roman" w:hAnsi="Times New Roman" w:cs="Times New Roman"/>
          <w:bCs/>
        </w:rPr>
        <w:t xml:space="preserve">Table 4.6: Wilcoxon Signed-Rank Test Results (Benchmarking against Optimal </w:t>
      </w:r>
      <w:proofErr w:type="spellStart"/>
      <w:r w:rsidRPr="009E669E">
        <w:rPr>
          <w:rFonts w:ascii="Times New Roman" w:hAnsi="Times New Roman" w:cs="Times New Roman"/>
          <w:bCs/>
        </w:rPr>
        <w:t>LightGBM</w:t>
      </w:r>
      <w:proofErr w:type="spellEnd"/>
      <w:r w:rsidRPr="009E669E">
        <w:rPr>
          <w:rFonts w:ascii="Times New Roman" w:hAnsi="Times New Roman" w:cs="Times New Roman"/>
          <w:bCs/>
        </w:rPr>
        <w:t>)</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t>Definitive Statistical Conclusions:</w:t>
      </w:r>
    </w:p>
    <w:p w:rsidR="002A590E"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rigorous application of the Wilcoxon signed-rank test across the massive 30-fold evaluation matrix reveals profound and highly significant performance disparities. The optimized </w:t>
      </w:r>
      <w:proofErr w:type="spellStart"/>
      <w:r w:rsidRPr="009E669E">
        <w:rPr>
          <w:rFonts w:ascii="Times New Roman" w:hAnsi="Times New Roman" w:cs="Times New Roman"/>
        </w:rPr>
        <w:t>LightGBM</w:t>
      </w:r>
      <w:proofErr w:type="spellEnd"/>
      <w:r w:rsidRPr="009E669E">
        <w:rPr>
          <w:rFonts w:ascii="Times New Roman" w:hAnsi="Times New Roman" w:cs="Times New Roman"/>
        </w:rPr>
        <w:t xml:space="preserve"> model significantly, undeniably outperforms standard linear models (Logistic Regression, p=7.00e-6) and distance-based metrics (KNN, p=5.00e-6). These vanishingly small, highly decisive probability values provide overwhelming statistical evidence to completely reject the null hypothesis. </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Crucially, the direct statistical comparison between the two absolute leading architectures—</w:t>
      </w:r>
      <w:proofErr w:type="spellStart"/>
      <w:r w:rsidRPr="009E669E">
        <w:rPr>
          <w:rFonts w:ascii="Times New Roman" w:hAnsi="Times New Roman" w:cs="Times New Roman"/>
        </w:rPr>
        <w:t>LightGBM</w:t>
      </w:r>
      <w:proofErr w:type="spellEnd"/>
      <w:r w:rsidRPr="009E669E">
        <w:rPr>
          <w:rFonts w:ascii="Times New Roman" w:hAnsi="Times New Roman" w:cs="Times New Roman"/>
        </w:rPr>
        <w:t xml:space="preserve"> and </w:t>
      </w:r>
      <w:proofErr w:type="spellStart"/>
      <w:r w:rsidRPr="009E669E">
        <w:rPr>
          <w:rFonts w:ascii="Times New Roman" w:hAnsi="Times New Roman" w:cs="Times New Roman"/>
        </w:rPr>
        <w:t>XGBoost</w:t>
      </w:r>
      <w:proofErr w:type="spellEnd"/>
      <w:r w:rsidRPr="009E669E">
        <w:rPr>
          <w:rFonts w:ascii="Times New Roman" w:hAnsi="Times New Roman" w:cs="Times New Roman"/>
        </w:rPr>
        <w:t>—yields a remarkably high p-value of 4.49e-1. This exceptionally high probability value definitively confirms that there is absolutely no statistically significant difference in predictive capability between these two advanced gradient boosting frameworks within the strict context of this specific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dataset. This implies strongly that the ultimate, absolute predictive ceiling of the available molecular features has likely been successfully reached by these state-of-the-art models. </w:t>
      </w:r>
    </w:p>
    <w:p w:rsidR="002A590E" w:rsidRPr="009E669E" w:rsidRDefault="002A590E" w:rsidP="00A3695E">
      <w:pPr>
        <w:pStyle w:val="BodyText"/>
        <w:spacing w:line="360" w:lineRule="auto"/>
        <w:jc w:val="both"/>
        <w:rPr>
          <w:rFonts w:ascii="Times New Roman" w:hAnsi="Times New Roman" w:cs="Times New Roman"/>
        </w:rPr>
      </w:pPr>
    </w:p>
    <w:p w:rsidR="00616761" w:rsidRPr="009E669E" w:rsidRDefault="00530AB9" w:rsidP="00A3695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lastRenderedPageBreak/>
        <w:t>CHAPTER V</w:t>
      </w:r>
    </w:p>
    <w:p w:rsidR="00616761" w:rsidRPr="009E669E" w:rsidRDefault="00530AB9" w:rsidP="00A3695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t>Biological Validation and Pathway Analysis</w:t>
      </w:r>
    </w:p>
    <w:p w:rsidR="00616761" w:rsidRPr="009E669E" w:rsidRDefault="00616761" w:rsidP="00A3695E">
      <w:pPr>
        <w:pStyle w:val="BodyText"/>
        <w:spacing w:line="360" w:lineRule="auto"/>
        <w:jc w:val="both"/>
        <w:rPr>
          <w:rFonts w:ascii="Times New Roman" w:hAnsi="Times New Roman" w:cs="Times New Roman"/>
        </w:rPr>
      </w:pP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29" w:name="Xb29982b566ee2d7bd5ddf7f9ac0a4c5fdcac0d8"/>
      <w:bookmarkEnd w:id="28"/>
      <w:r w:rsidRPr="009E669E">
        <w:rPr>
          <w:rFonts w:ascii="Times New Roman" w:hAnsi="Times New Roman" w:cs="Times New Roman"/>
          <w:b/>
          <w:color w:val="auto"/>
          <w:sz w:val="24"/>
        </w:rPr>
        <w:t>5.1 Pathognomonic Role of E-Cadherin in Lobular Carcinoma</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 xml:space="preserve">The rigorous evaluation of complex, high-dimensional machine learning models in computational oncology must transcend mere statistical performance metrics. A fundamental, unyielding requirement for clinical translation is the biological validation of the derived algorithmic signatures. The model must demonstrably reflect profound underlying pathophysiological realities rather than superficial statistical correlations or </w:t>
      </w:r>
      <w:proofErr w:type="spellStart"/>
      <w:r w:rsidRPr="009E669E">
        <w:rPr>
          <w:rFonts w:ascii="Times New Roman" w:hAnsi="Times New Roman" w:cs="Times New Roman"/>
        </w:rPr>
        <w:t>artifactual</w:t>
      </w:r>
      <w:proofErr w:type="spellEnd"/>
      <w:r w:rsidRPr="009E669E">
        <w:rPr>
          <w:rFonts w:ascii="Times New Roman" w:hAnsi="Times New Roman" w:cs="Times New Roman"/>
        </w:rPr>
        <w:t xml:space="preserve"> data noise. Central to this critical validation process within the context of this thesis is the deep molecular characterization of the </w:t>
      </w:r>
      <w:r w:rsidRPr="009E669E">
        <w:rPr>
          <w:rFonts w:ascii="Times New Roman" w:hAnsi="Times New Roman" w:cs="Times New Roman"/>
          <w:i/>
          <w:iCs/>
        </w:rPr>
        <w:t>CDH1</w:t>
      </w:r>
      <w:r w:rsidRPr="009E669E">
        <w:rPr>
          <w:rFonts w:ascii="Times New Roman" w:hAnsi="Times New Roman" w:cs="Times New Roman"/>
        </w:rPr>
        <w:t xml:space="preserve"> gene. Located at chromosomal locus 16q22.1, the </w:t>
      </w:r>
      <w:r w:rsidRPr="009E669E">
        <w:rPr>
          <w:rFonts w:ascii="Times New Roman" w:hAnsi="Times New Roman" w:cs="Times New Roman"/>
          <w:i/>
          <w:iCs/>
        </w:rPr>
        <w:t>CDH1</w:t>
      </w:r>
      <w:r w:rsidRPr="009E669E">
        <w:rPr>
          <w:rFonts w:ascii="Times New Roman" w:hAnsi="Times New Roman" w:cs="Times New Roman"/>
        </w:rPr>
        <w:t xml:space="preserve"> gene is the critical genomic blueprint responsible for encoding the classical cadherin protein, E-Cadherin [1].</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biological significance of E-Cadherin within normal cellular physiology and its profound perturbation during carcinogenesis cannot be overstated: * </w:t>
      </w:r>
      <w:r w:rsidRPr="009E669E">
        <w:rPr>
          <w:rFonts w:ascii="Times New Roman" w:hAnsi="Times New Roman" w:cs="Times New Roman"/>
          <w:b/>
          <w:bCs/>
        </w:rPr>
        <w:t>Essential Cellular Function:</w:t>
      </w:r>
      <w:r w:rsidRPr="009E669E">
        <w:rPr>
          <w:rFonts w:ascii="Times New Roman" w:hAnsi="Times New Roman" w:cs="Times New Roman"/>
        </w:rPr>
        <w:t xml:space="preserve"> E-Cadherin operates as the core </w:t>
      </w:r>
      <w:proofErr w:type="spellStart"/>
      <w:r w:rsidRPr="009E669E">
        <w:rPr>
          <w:rFonts w:ascii="Times New Roman" w:hAnsi="Times New Roman" w:cs="Times New Roman"/>
        </w:rPr>
        <w:t>transmembrane</w:t>
      </w:r>
      <w:proofErr w:type="spellEnd"/>
      <w:r w:rsidRPr="009E669E">
        <w:rPr>
          <w:rFonts w:ascii="Times New Roman" w:hAnsi="Times New Roman" w:cs="Times New Roman"/>
        </w:rPr>
        <w:t xml:space="preserve"> protein of </w:t>
      </w:r>
      <w:proofErr w:type="spellStart"/>
      <w:r w:rsidRPr="009E669E">
        <w:rPr>
          <w:rFonts w:ascii="Times New Roman" w:hAnsi="Times New Roman" w:cs="Times New Roman"/>
        </w:rPr>
        <w:t>adherens</w:t>
      </w:r>
      <w:proofErr w:type="spellEnd"/>
      <w:r w:rsidRPr="009E669E">
        <w:rPr>
          <w:rFonts w:ascii="Times New Roman" w:hAnsi="Times New Roman" w:cs="Times New Roman"/>
        </w:rPr>
        <w:t xml:space="preserve"> junctions in epithelial tissues. It is absolutely indispensable for mediating </w:t>
      </w:r>
      <w:proofErr w:type="spellStart"/>
      <w:r w:rsidRPr="009E669E">
        <w:rPr>
          <w:rFonts w:ascii="Times New Roman" w:hAnsi="Times New Roman" w:cs="Times New Roman"/>
        </w:rPr>
        <w:t>homophilic</w:t>
      </w:r>
      <w:proofErr w:type="spellEnd"/>
      <w:r w:rsidRPr="009E669E">
        <w:rPr>
          <w:rFonts w:ascii="Times New Roman" w:hAnsi="Times New Roman" w:cs="Times New Roman"/>
        </w:rPr>
        <w:t xml:space="preserve">, calcium-dependent intercellular adhesion. By physically linking adjacent cells and dynamically connecting to the intracellular actin cytoskeleton via the highly complex catenin network, E-Cadherin is the primary architect responsible for maintaining cellular polarity, structural tissue integrity, and complex tissue architecture. * </w:t>
      </w:r>
      <w:r w:rsidRPr="009E669E">
        <w:rPr>
          <w:rFonts w:ascii="Times New Roman" w:hAnsi="Times New Roman" w:cs="Times New Roman"/>
          <w:b/>
          <w:bCs/>
        </w:rPr>
        <w:t>Oncogenic Disruption and EMT:</w:t>
      </w:r>
      <w:r w:rsidRPr="009E669E">
        <w:rPr>
          <w:rFonts w:ascii="Times New Roman" w:hAnsi="Times New Roman" w:cs="Times New Roman"/>
        </w:rPr>
        <w:t xml:space="preserve"> The pathological perturbation, </w:t>
      </w:r>
      <w:proofErr w:type="spellStart"/>
      <w:r w:rsidRPr="009E669E">
        <w:rPr>
          <w:rFonts w:ascii="Times New Roman" w:hAnsi="Times New Roman" w:cs="Times New Roman"/>
        </w:rPr>
        <w:t>downregulation</w:t>
      </w:r>
      <w:proofErr w:type="spellEnd"/>
      <w:r w:rsidRPr="009E669E">
        <w:rPr>
          <w:rFonts w:ascii="Times New Roman" w:hAnsi="Times New Roman" w:cs="Times New Roman"/>
        </w:rPr>
        <w:t>, or complete functional loss of E-Cadherin expression is a quintessential, pivotal event in the oncogenic cascade. This loss is heavily and classically implicated in the Epithelial-</w:t>
      </w:r>
      <w:proofErr w:type="spellStart"/>
      <w:r w:rsidRPr="009E669E">
        <w:rPr>
          <w:rFonts w:ascii="Times New Roman" w:hAnsi="Times New Roman" w:cs="Times New Roman"/>
        </w:rPr>
        <w:t>Mesenchymal</w:t>
      </w:r>
      <w:proofErr w:type="spellEnd"/>
      <w:r w:rsidRPr="009E669E">
        <w:rPr>
          <w:rFonts w:ascii="Times New Roman" w:hAnsi="Times New Roman" w:cs="Times New Roman"/>
        </w:rPr>
        <w:t xml:space="preserve"> Transition (EMT), a complex biological program where epithelial cells shed their defining characteristics, disrupt intercellular bonds, and acquire highly </w:t>
      </w:r>
      <w:proofErr w:type="spellStart"/>
      <w:r w:rsidRPr="009E669E">
        <w:rPr>
          <w:rFonts w:ascii="Times New Roman" w:hAnsi="Times New Roman" w:cs="Times New Roman"/>
        </w:rPr>
        <w:t>motile</w:t>
      </w:r>
      <w:proofErr w:type="spellEnd"/>
      <w:r w:rsidRPr="009E669E">
        <w:rPr>
          <w:rFonts w:ascii="Times New Roman" w:hAnsi="Times New Roman" w:cs="Times New Roman"/>
        </w:rPr>
        <w:t xml:space="preserve">, invasive capabilities. * </w:t>
      </w:r>
      <w:r w:rsidRPr="009E669E">
        <w:rPr>
          <w:rFonts w:ascii="Times New Roman" w:hAnsi="Times New Roman" w:cs="Times New Roman"/>
          <w:b/>
          <w:bCs/>
        </w:rPr>
        <w:t>Pathognomonic Hallmark of ILC:</w:t>
      </w:r>
      <w:r w:rsidRPr="009E669E">
        <w:rPr>
          <w:rFonts w:ascii="Times New Roman" w:hAnsi="Times New Roman" w:cs="Times New Roman"/>
        </w:rPr>
        <w:t xml:space="preserve"> Crucially, the complete, unmitigated abrogation of E-Cadherin function is not merely a common oncogenic event; it represents the defining, pathognomonic hallmark of Invasive Lobular Carcinoma (ILC). It is the primary molecular feature that distinguishes ILC fundamentally from the vastly more heterogeneous Invasive </w:t>
      </w:r>
      <w:r w:rsidRPr="009E669E">
        <w:rPr>
          <w:rFonts w:ascii="Times New Roman" w:hAnsi="Times New Roman" w:cs="Times New Roman"/>
        </w:rPr>
        <w:lastRenderedPageBreak/>
        <w:t xml:space="preserve">Ductal Carcinoma (IDC). This profound functional loss typically arises through a diverse array of molecular mechanisms, including early </w:t>
      </w:r>
      <w:proofErr w:type="spellStart"/>
      <w:r w:rsidRPr="009E669E">
        <w:rPr>
          <w:rFonts w:ascii="Times New Roman" w:hAnsi="Times New Roman" w:cs="Times New Roman"/>
        </w:rPr>
        <w:t>frameshift</w:t>
      </w:r>
      <w:proofErr w:type="spellEnd"/>
      <w:r w:rsidRPr="009E669E">
        <w:rPr>
          <w:rFonts w:ascii="Times New Roman" w:hAnsi="Times New Roman" w:cs="Times New Roman"/>
        </w:rPr>
        <w:t xml:space="preserve"> mutations, pervasive loss of </w:t>
      </w:r>
      <w:proofErr w:type="spellStart"/>
      <w:r w:rsidRPr="009E669E">
        <w:rPr>
          <w:rFonts w:ascii="Times New Roman" w:hAnsi="Times New Roman" w:cs="Times New Roman"/>
        </w:rPr>
        <w:t>heterozygosity</w:t>
      </w:r>
      <w:proofErr w:type="spellEnd"/>
      <w:r w:rsidRPr="009E669E">
        <w:rPr>
          <w:rFonts w:ascii="Times New Roman" w:hAnsi="Times New Roman" w:cs="Times New Roman"/>
        </w:rPr>
        <w:t xml:space="preserve"> (LOH) at the 16q locus, or complex epigenetic silencing [3].</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t>Robust Computational Validation:</w:t>
      </w:r>
      <w:r w:rsidRPr="009E669E">
        <w:rPr>
          <w:rFonts w:ascii="Times New Roman" w:hAnsi="Times New Roman" w:cs="Times New Roman"/>
        </w:rPr>
        <w:t xml:space="preserve"> The sophisticated,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analytical pipeline developed in this research resoundingly and unequivocally corroborated this established clinical consensus. The advanced SHAP attribution framework, tasked with dissecting the deep logic of the optimal </w:t>
      </w:r>
      <w:proofErr w:type="spellStart"/>
      <w:r w:rsidRPr="009E669E">
        <w:rPr>
          <w:rFonts w:ascii="Times New Roman" w:hAnsi="Times New Roman" w:cs="Times New Roman"/>
        </w:rPr>
        <w:t>LightGBM</w:t>
      </w:r>
      <w:proofErr w:type="spellEnd"/>
      <w:r w:rsidRPr="009E669E">
        <w:rPr>
          <w:rFonts w:ascii="Times New Roman" w:hAnsi="Times New Roman" w:cs="Times New Roman"/>
        </w:rPr>
        <w:t xml:space="preserve"> architecture, identified the specific proteomic feature </w:t>
      </w:r>
      <w:proofErr w:type="spellStart"/>
      <w:r w:rsidRPr="009E669E">
        <w:rPr>
          <w:rStyle w:val="VerbatimChar"/>
          <w:rFonts w:ascii="Times New Roman" w:hAnsi="Times New Roman" w:cs="Times New Roman"/>
        </w:rPr>
        <w:t>pp_E.Cadherin</w:t>
      </w:r>
      <w:proofErr w:type="spellEnd"/>
      <w:r w:rsidRPr="009E669E">
        <w:rPr>
          <w:rFonts w:ascii="Times New Roman" w:hAnsi="Times New Roman" w:cs="Times New Roman"/>
        </w:rPr>
        <w:t xml:space="preserve"> as the undisputed, overwhelmingly dominant determinant of the model’s predictions. The E-Cadherin protein abundance feature seamlessly secured the absolute Rank 1 position in the comprehensive SHAP feature importance hierarchies across all highly strenuous cross-validation splits. This unwavering, practically unanimous consistency—despite massive variations in the training data folds—strongly and definitively implies that its vast discriminative power is rooted in a fundamental, inescapable biological reality of the disease, rather than manifesting as a stochastic artifact of high-dimensional machine learning [2].</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 xml:space="preserve">The flawless alignment between the unbiased algorithmic discovery generated by the “black-box” model and the established, canonical </w:t>
      </w:r>
      <w:proofErr w:type="spellStart"/>
      <w:r w:rsidRPr="009E669E">
        <w:rPr>
          <w:rFonts w:ascii="Times New Roman" w:hAnsi="Times New Roman" w:cs="Times New Roman"/>
        </w:rPr>
        <w:t>histopathological</w:t>
      </w:r>
      <w:proofErr w:type="spellEnd"/>
      <w:r w:rsidRPr="009E669E">
        <w:rPr>
          <w:rFonts w:ascii="Times New Roman" w:hAnsi="Times New Roman" w:cs="Times New Roman"/>
        </w:rPr>
        <w:t xml:space="preserve"> reality of lobular carcinoma provides profound validation of the computational methodology’s immense capacity to independently rediscover critical biological truths.</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30" w:name="multi-omics-convergence-on-cdh1"/>
      <w:bookmarkEnd w:id="29"/>
      <w:r w:rsidRPr="009E669E">
        <w:rPr>
          <w:rFonts w:ascii="Times New Roman" w:hAnsi="Times New Roman" w:cs="Times New Roman"/>
          <w:b/>
          <w:color w:val="auto"/>
          <w:sz w:val="24"/>
        </w:rPr>
        <w:t>5.2 Multi-</w:t>
      </w:r>
      <w:proofErr w:type="spellStart"/>
      <w:r w:rsidRPr="009E669E">
        <w:rPr>
          <w:rFonts w:ascii="Times New Roman" w:hAnsi="Times New Roman" w:cs="Times New Roman"/>
          <w:b/>
          <w:color w:val="auto"/>
          <w:sz w:val="24"/>
        </w:rPr>
        <w:t>Omics</w:t>
      </w:r>
      <w:proofErr w:type="spellEnd"/>
      <w:r w:rsidRPr="009E669E">
        <w:rPr>
          <w:rFonts w:ascii="Times New Roman" w:hAnsi="Times New Roman" w:cs="Times New Roman"/>
          <w:b/>
          <w:color w:val="auto"/>
          <w:sz w:val="24"/>
        </w:rPr>
        <w:t xml:space="preserve"> Convergence on CDH1</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A defining strength and primary theoretical advantage of the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strategy, as contrasted against single-modality approaches, lies in its capacity to elucidate complex, overlapping regulatory networks spanning diverse biological strata. This profound synergy is vividly illustrated by the fascinating convergence observed upon the </w:t>
      </w:r>
      <w:r w:rsidRPr="009E669E">
        <w:rPr>
          <w:rFonts w:ascii="Times New Roman" w:hAnsi="Times New Roman" w:cs="Times New Roman"/>
          <w:i/>
          <w:iCs/>
        </w:rPr>
        <w:t>CDH1</w:t>
      </w:r>
      <w:r w:rsidRPr="009E669E">
        <w:rPr>
          <w:rFonts w:ascii="Times New Roman" w:hAnsi="Times New Roman" w:cs="Times New Roman"/>
        </w:rPr>
        <w:t xml:space="preserve"> locus during the advanced feature selection and SHAP interpretation phases.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analytical pipeline did not merely identify the downstream protein product; it successfully traced the regulatory dysfunction across multiple distinct biological layers.</w:t>
      </w:r>
    </w:p>
    <w:p w:rsidR="00616761" w:rsidRPr="009E669E" w:rsidRDefault="00530AB9" w:rsidP="00A3695E">
      <w:pPr>
        <w:pStyle w:val="Compact"/>
        <w:numPr>
          <w:ilvl w:val="0"/>
          <w:numId w:val="22"/>
        </w:numPr>
        <w:spacing w:line="360" w:lineRule="auto"/>
        <w:jc w:val="both"/>
        <w:rPr>
          <w:rFonts w:ascii="Times New Roman" w:hAnsi="Times New Roman" w:cs="Times New Roman"/>
        </w:rPr>
      </w:pPr>
      <w:r w:rsidRPr="009E669E">
        <w:rPr>
          <w:rFonts w:ascii="Times New Roman" w:hAnsi="Times New Roman" w:cs="Times New Roman"/>
          <w:b/>
          <w:bCs/>
        </w:rPr>
        <w:t>Proteomic Discovery:</w:t>
      </w:r>
      <w:r w:rsidRPr="009E669E">
        <w:rPr>
          <w:rFonts w:ascii="Times New Roman" w:hAnsi="Times New Roman" w:cs="Times New Roman"/>
        </w:rPr>
        <w:t xml:space="preserve"> Initial, dominant isolation of </w:t>
      </w:r>
      <w:proofErr w:type="spellStart"/>
      <w:r w:rsidRPr="009E669E">
        <w:rPr>
          <w:rStyle w:val="VerbatimChar"/>
          <w:rFonts w:ascii="Times New Roman" w:hAnsi="Times New Roman" w:cs="Times New Roman"/>
        </w:rPr>
        <w:t>pp_E.Cadherin</w:t>
      </w:r>
      <w:proofErr w:type="spellEnd"/>
      <w:r w:rsidRPr="009E669E">
        <w:rPr>
          <w:rFonts w:ascii="Times New Roman" w:hAnsi="Times New Roman" w:cs="Times New Roman"/>
        </w:rPr>
        <w:t xml:space="preserve"> as the Rank 1 overall feature, indicating a critical loss of functional protein abundance at the cell membrane.</w:t>
      </w:r>
    </w:p>
    <w:p w:rsidR="00616761" w:rsidRPr="009E669E" w:rsidRDefault="00530AB9" w:rsidP="00A3695E">
      <w:pPr>
        <w:pStyle w:val="Compact"/>
        <w:numPr>
          <w:ilvl w:val="0"/>
          <w:numId w:val="22"/>
        </w:numPr>
        <w:spacing w:line="360" w:lineRule="auto"/>
        <w:jc w:val="both"/>
        <w:rPr>
          <w:rFonts w:ascii="Times New Roman" w:hAnsi="Times New Roman" w:cs="Times New Roman"/>
        </w:rPr>
      </w:pPr>
      <w:r w:rsidRPr="009E669E">
        <w:rPr>
          <w:rFonts w:ascii="Times New Roman" w:hAnsi="Times New Roman" w:cs="Times New Roman"/>
          <w:b/>
          <w:bCs/>
        </w:rPr>
        <w:lastRenderedPageBreak/>
        <w:t>Epigenetic Discovery:</w:t>
      </w:r>
      <w:r w:rsidRPr="009E669E">
        <w:rPr>
          <w:rFonts w:ascii="Times New Roman" w:hAnsi="Times New Roman" w:cs="Times New Roman"/>
        </w:rPr>
        <w:t xml:space="preserve"> Concurrent, highly significant isolation of the corresponding epigenetic regulatory signature, </w:t>
      </w:r>
      <w:r w:rsidRPr="009E669E">
        <w:rPr>
          <w:rStyle w:val="VerbatimChar"/>
          <w:rFonts w:ascii="Times New Roman" w:hAnsi="Times New Roman" w:cs="Times New Roman"/>
        </w:rPr>
        <w:t>mu_CDH1</w:t>
      </w:r>
      <w:r w:rsidRPr="009E669E">
        <w:rPr>
          <w:rFonts w:ascii="Times New Roman" w:hAnsi="Times New Roman" w:cs="Times New Roman"/>
        </w:rPr>
        <w:t>, which emerged as the Rank 3 most important feature globally across the entire 1,837-feature landscape [4].</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b/>
          <w:bCs/>
        </w:rPr>
        <w:t>Mechanistic Linkage and Epigenetic Silencing:</w:t>
      </w:r>
      <w:r w:rsidRPr="009E669E">
        <w:rPr>
          <w:rFonts w:ascii="Times New Roman" w:hAnsi="Times New Roman" w:cs="Times New Roman"/>
        </w:rPr>
        <w:t xml:space="preserve"> The complex epigenetic regulation of </w:t>
      </w:r>
      <w:r w:rsidRPr="009E669E">
        <w:rPr>
          <w:rFonts w:ascii="Times New Roman" w:hAnsi="Times New Roman" w:cs="Times New Roman"/>
          <w:i/>
          <w:iCs/>
        </w:rPr>
        <w:t>CDH1</w:t>
      </w:r>
      <w:r w:rsidRPr="009E669E">
        <w:rPr>
          <w:rFonts w:ascii="Times New Roman" w:hAnsi="Times New Roman" w:cs="Times New Roman"/>
        </w:rPr>
        <w:t xml:space="preserve"> through DNA promoter </w:t>
      </w:r>
      <w:proofErr w:type="spellStart"/>
      <w:r w:rsidRPr="009E669E">
        <w:rPr>
          <w:rFonts w:ascii="Times New Roman" w:hAnsi="Times New Roman" w:cs="Times New Roman"/>
        </w:rPr>
        <w:t>hypermethylation</w:t>
      </w:r>
      <w:proofErr w:type="spellEnd"/>
      <w:r w:rsidRPr="009E669E">
        <w:rPr>
          <w:rFonts w:ascii="Times New Roman" w:hAnsi="Times New Roman" w:cs="Times New Roman"/>
        </w:rPr>
        <w:t xml:space="preserve"> is a well-documented, powerful mechanism of prolonged transcriptional silencing in various malignancies, including breast cancer [5]. The machine learning model’s simultaneous, massive reliance on both the diminished physical abundance of the E-Cadherin protein </w:t>
      </w:r>
      <w:r w:rsidRPr="009E669E">
        <w:rPr>
          <w:rFonts w:ascii="Times New Roman" w:hAnsi="Times New Roman" w:cs="Times New Roman"/>
          <w:i/>
          <w:iCs/>
        </w:rPr>
        <w:t>and</w:t>
      </w:r>
      <w:r w:rsidRPr="009E669E">
        <w:rPr>
          <w:rFonts w:ascii="Times New Roman" w:hAnsi="Times New Roman" w:cs="Times New Roman"/>
        </w:rPr>
        <w:t xml:space="preserve"> the heightened DNA methylation signal at the exact corresponding gene locus indicates a remarkable level of algorithmic intelligence. The model successfully and independently captured the direct mechanistic linkage between the upstream epigenetic modification (the silencer) and its downstream translational consequence (the absent protein).</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This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convergence effectively and powerfully mitigates the inherent noise and missing data problems typical of single-platform assays. By identifying corresponding signals across diverse biological layers, the analytical framework achieves a profoundly resilient characterization of the tumor’s state. It perfectly aligns the highly complex, abstract decision boundaries formed by the late fusion architecture with canonical understandings of tumor suppression mechanisms, thereby elevating the computational output from a mere statistical correlation to a validated biological insight [6].</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31" w:name="pathway-enrichment-analysis"/>
      <w:bookmarkEnd w:id="30"/>
      <w:r w:rsidRPr="009E669E">
        <w:rPr>
          <w:rFonts w:ascii="Times New Roman" w:hAnsi="Times New Roman" w:cs="Times New Roman"/>
          <w:b/>
          <w:color w:val="auto"/>
          <w:sz w:val="24"/>
        </w:rPr>
        <w:lastRenderedPageBreak/>
        <w:t>5.3 Pathway Enrichment Analysis</w:t>
      </w:r>
    </w:p>
    <w:p w:rsidR="00616761" w:rsidRPr="009E669E" w:rsidRDefault="00530AB9" w:rsidP="00A3695E">
      <w:pPr>
        <w:pStyle w:val="CaptionedFigure"/>
        <w:spacing w:line="360" w:lineRule="auto"/>
        <w:jc w:val="center"/>
        <w:rPr>
          <w:rFonts w:ascii="Times New Roman" w:hAnsi="Times New Roman" w:cs="Times New Roman"/>
        </w:rPr>
      </w:pPr>
      <w:r w:rsidRPr="009E669E">
        <w:rPr>
          <w:rFonts w:ascii="Times New Roman" w:hAnsi="Times New Roman" w:cs="Times New Roman"/>
          <w:noProof/>
          <w:lang w:eastAsia="en-US"/>
        </w:rPr>
        <w:drawing>
          <wp:inline distT="0" distB="0" distL="0" distR="0" wp14:anchorId="21BB6C0E" wp14:editId="2E2D2A6E">
            <wp:extent cx="5943600" cy="3439977"/>
            <wp:effectExtent l="0" t="0" r="0" b="0"/>
            <wp:docPr id="91" name="Picture" descr="Figure: Pathway Analysis"/>
            <wp:cNvGraphicFramePr/>
            <a:graphic xmlns:a="http://schemas.openxmlformats.org/drawingml/2006/main">
              <a:graphicData uri="http://schemas.openxmlformats.org/drawingml/2006/picture">
                <pic:pic xmlns:pic="http://schemas.openxmlformats.org/drawingml/2006/picture">
                  <pic:nvPicPr>
                    <pic:cNvPr id="92" name="Picture" descr="../outputs/figures/fig_26_pathway_analysis.png"/>
                    <pic:cNvPicPr>
                      <a:picLocks noChangeAspect="1" noChangeArrowheads="1"/>
                    </pic:cNvPicPr>
                  </pic:nvPicPr>
                  <pic:blipFill>
                    <a:blip r:embed="rId37"/>
                    <a:stretch>
                      <a:fillRect/>
                    </a:stretch>
                  </pic:blipFill>
                  <pic:spPr bwMode="auto">
                    <a:xfrm>
                      <a:off x="0" y="0"/>
                      <a:ext cx="5943600" cy="3439977"/>
                    </a:xfrm>
                    <a:prstGeom prst="rect">
                      <a:avLst/>
                    </a:prstGeom>
                    <a:noFill/>
                    <a:ln w="9525">
                      <a:noFill/>
                      <a:headEnd/>
                      <a:tailEnd/>
                    </a:ln>
                  </pic:spPr>
                </pic:pic>
              </a:graphicData>
            </a:graphic>
          </wp:inline>
        </w:drawing>
      </w:r>
    </w:p>
    <w:p w:rsidR="00616761" w:rsidRPr="009E669E" w:rsidRDefault="00530AB9" w:rsidP="00A3695E">
      <w:pPr>
        <w:pStyle w:val="ImageCaption"/>
        <w:spacing w:line="360" w:lineRule="auto"/>
        <w:jc w:val="center"/>
        <w:rPr>
          <w:rFonts w:ascii="Times New Roman" w:hAnsi="Times New Roman" w:cs="Times New Roman"/>
        </w:rPr>
      </w:pPr>
      <w:r w:rsidRPr="009E669E">
        <w:rPr>
          <w:rFonts w:ascii="Times New Roman" w:hAnsi="Times New Roman" w:cs="Times New Roman"/>
        </w:rPr>
        <w:t>Figure</w:t>
      </w:r>
      <w:r w:rsidR="00A149D2" w:rsidRPr="009E669E">
        <w:rPr>
          <w:rFonts w:ascii="Times New Roman" w:hAnsi="Times New Roman" w:cs="Times New Roman"/>
        </w:rPr>
        <w:t xml:space="preserve"> 5.1</w:t>
      </w:r>
      <w:r w:rsidRPr="009E669E">
        <w:rPr>
          <w:rFonts w:ascii="Times New Roman" w:hAnsi="Times New Roman" w:cs="Times New Roman"/>
        </w:rPr>
        <w:t>: Pathway Analysis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While individual biomarkers such as E-Cadherin provide critical diagnostic anchors, comprehensive biological understanding necessitates contextualizing these predictive features within their broader, functional cellular signaling networks. To achieve this macroscopic biological perspective, a rigorous, comprehensive pathway enrichment analysis was conducted, systematically mapping the 75 core predictive features identified by the consensus funnel against the curated biological pathways defined in the extensive KEGG (Kyoto Encyclopedia of Genes and Genomes) 2021 Human database.</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b/>
          <w:bCs/>
        </w:rPr>
        <w:t>Identified Enriched Pathway:</w:t>
      </w:r>
      <w:r w:rsidRPr="009E669E">
        <w:rPr>
          <w:rFonts w:ascii="Times New Roman" w:hAnsi="Times New Roman" w:cs="Times New Roman"/>
        </w:rPr>
        <w:t xml:space="preserve"> The analysis yielded a highly significant, illuminating result, primarily identifying the vast </w:t>
      </w:r>
      <w:r w:rsidRPr="009E669E">
        <w:rPr>
          <w:rFonts w:ascii="Times New Roman" w:hAnsi="Times New Roman" w:cs="Times New Roman"/>
          <w:b/>
          <w:bCs/>
        </w:rPr>
        <w:t>Peroxisome Proliferator-Activated Receptor (PPAR) signaling pathway (</w:t>
      </w:r>
      <w:r w:rsidRPr="009E669E">
        <w:rPr>
          <w:rStyle w:val="VerbatimChar"/>
          <w:rFonts w:ascii="Times New Roman" w:hAnsi="Times New Roman" w:cs="Times New Roman"/>
          <w:b/>
          <w:bCs/>
        </w:rPr>
        <w:t>hsa03320</w:t>
      </w:r>
      <w:r w:rsidRPr="009E669E">
        <w:rPr>
          <w:rFonts w:ascii="Times New Roman" w:hAnsi="Times New Roman" w:cs="Times New Roman"/>
          <w:b/>
          <w:bCs/>
        </w:rPr>
        <w:t>)</w:t>
      </w:r>
      <w:r w:rsidRPr="009E669E">
        <w:rPr>
          <w:rFonts w:ascii="Times New Roman" w:hAnsi="Times New Roman" w:cs="Times New Roman"/>
        </w:rPr>
        <w:t xml:space="preserve"> as significantly enriched. * </w:t>
      </w:r>
      <w:r w:rsidRPr="009E669E">
        <w:rPr>
          <w:rFonts w:ascii="Times New Roman" w:hAnsi="Times New Roman" w:cs="Times New Roman"/>
          <w:b/>
          <w:bCs/>
        </w:rPr>
        <w:t>Statistical Robustness:</w:t>
      </w:r>
      <w:r w:rsidRPr="009E669E">
        <w:rPr>
          <w:rFonts w:ascii="Times New Roman" w:hAnsi="Times New Roman" w:cs="Times New Roman"/>
        </w:rPr>
        <w:t xml:space="preserve"> The enrichment achieved strict statistical significance, recording a highly robust adjusted p-value of 1.65e-2 [7], comfortably surpassing conventional thresholds for biological relevance. * </w:t>
      </w:r>
      <w:r w:rsidRPr="009E669E">
        <w:rPr>
          <w:rFonts w:ascii="Times New Roman" w:hAnsi="Times New Roman" w:cs="Times New Roman"/>
          <w:b/>
          <w:bCs/>
        </w:rPr>
        <w:t>Biological Context and Oncological Implication:</w:t>
      </w:r>
      <w:r w:rsidRPr="009E669E">
        <w:rPr>
          <w:rFonts w:ascii="Times New Roman" w:hAnsi="Times New Roman" w:cs="Times New Roman"/>
        </w:rPr>
        <w:t xml:space="preserve"> The PPAR family comprises complex nuclear receptor proteins integrally involved in regulating widespread cellular differentiation, massive metabolic </w:t>
      </w:r>
      <w:r w:rsidRPr="009E669E">
        <w:rPr>
          <w:rFonts w:ascii="Times New Roman" w:hAnsi="Times New Roman" w:cs="Times New Roman"/>
        </w:rPr>
        <w:lastRenderedPageBreak/>
        <w:t>programming, and complex lipid bioenergetics. These specific metabolic processes are increasingly recognized by contemporary oncological researchers as being absolutely critical in driving aggressive breast cancer progression, facilitating metabolic plasticity, and promoting survival in harsh tumor microenvironments [9].</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profound significance of this pathway enrichment is underscored by analyzing the specific, highly ranked genes actively driving the association within the predictive model.</w:t>
      </w:r>
    </w:p>
    <w:tbl>
      <w:tblPr>
        <w:tblStyle w:val="Table"/>
        <w:tblW w:w="5000" w:type="pct"/>
        <w:tblLayout w:type="fixed"/>
        <w:tblLook w:val="0020" w:firstRow="1" w:lastRow="0" w:firstColumn="0" w:lastColumn="0" w:noHBand="0" w:noVBand="0"/>
      </w:tblPr>
      <w:tblGrid>
        <w:gridCol w:w="3192"/>
        <w:gridCol w:w="3192"/>
        <w:gridCol w:w="3192"/>
      </w:tblGrid>
      <w:tr w:rsidR="00616761" w:rsidRPr="009E669E" w:rsidTr="00CC2E29">
        <w:trPr>
          <w:cnfStyle w:val="100000000000" w:firstRow="1" w:lastRow="0" w:firstColumn="0" w:lastColumn="0" w:oddVBand="0" w:evenVBand="0" w:oddHBand="0" w:evenHBand="0" w:firstRowFirstColumn="0" w:firstRowLastColumn="0" w:lastRowFirstColumn="0" w:lastRowLastColumn="0"/>
          <w:tblHeader/>
        </w:trPr>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Enriched Gene</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Encoded Protein / Enzyme Function</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Direct Oncological Implication in the Tumor Microenvironment</w:t>
            </w:r>
          </w:p>
        </w:tc>
      </w:tr>
      <w:tr w:rsidR="00616761" w:rsidRPr="009E669E" w:rsidTr="00CC2E2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ACADL</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Acyl-CoA Dehydrogenase Long Chain</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Acts as a pivotal enzyme in the complex mitochondrial fatty acid </w:t>
            </w:r>
            <m:oMath>
              <m:r>
                <w:rPr>
                  <w:rFonts w:ascii="Cambria Math" w:hAnsi="Cambria Math" w:cs="Times New Roman"/>
                </w:rPr>
                <m:t>β</m:t>
              </m:r>
            </m:oMath>
            <w:r w:rsidRPr="009E669E">
              <w:rPr>
                <w:rFonts w:ascii="Times New Roman" w:hAnsi="Times New Roman" w:cs="Times New Roman"/>
              </w:rPr>
              <w:t>-oxidation pathway. Upregulation is often utilized by aggressive cancer cells to meet the massive, continuous energetic demands of rapid proliferation and invasion [10].</w:t>
            </w:r>
          </w:p>
        </w:tc>
      </w:tr>
      <w:tr w:rsidR="00616761" w:rsidRPr="009E669E" w:rsidTr="00CC2E2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MMP1</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Matrix </w:t>
            </w:r>
            <w:proofErr w:type="spellStart"/>
            <w:r w:rsidRPr="009E669E">
              <w:rPr>
                <w:rFonts w:ascii="Times New Roman" w:hAnsi="Times New Roman" w:cs="Times New Roman"/>
              </w:rPr>
              <w:t>Metallopeptidase</w:t>
            </w:r>
            <w:proofErr w:type="spellEnd"/>
            <w:r w:rsidRPr="009E669E">
              <w:rPr>
                <w:rFonts w:ascii="Times New Roman" w:hAnsi="Times New Roman" w:cs="Times New Roman"/>
              </w:rPr>
              <w:t xml:space="preserve"> 1</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A canonical, highly destructive effector of extracellular matrix degradation and tissue remodeling. Its heightened activity directly degrades interstitial collagens, fundamentally facilitating tumor cell invasion into surrounding healthy tissues and driving aggressive </w:t>
            </w:r>
            <w:r w:rsidRPr="009E669E">
              <w:rPr>
                <w:rFonts w:ascii="Times New Roman" w:hAnsi="Times New Roman" w:cs="Times New Roman"/>
              </w:rPr>
              <w:lastRenderedPageBreak/>
              <w:t>metastasis [11].</w:t>
            </w:r>
          </w:p>
        </w:tc>
      </w:tr>
      <w:tr w:rsidR="00616761" w:rsidRPr="009E669E" w:rsidTr="00CC2E2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lastRenderedPageBreak/>
              <w:t>AQP7</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Aquaporin 7 (</w:t>
            </w:r>
            <w:proofErr w:type="spellStart"/>
            <w:r w:rsidRPr="009E669E">
              <w:rPr>
                <w:rFonts w:ascii="Times New Roman" w:hAnsi="Times New Roman" w:cs="Times New Roman"/>
              </w:rPr>
              <w:t>Aquaglyceroporin</w:t>
            </w:r>
            <w:proofErr w:type="spellEnd"/>
            <w:r w:rsidRPr="009E669E">
              <w:rPr>
                <w:rFonts w:ascii="Times New Roman" w:hAnsi="Times New Roman" w:cs="Times New Roman"/>
              </w:rPr>
              <w:t>)</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Specifically mediates the rapid </w:t>
            </w:r>
            <w:proofErr w:type="spellStart"/>
            <w:r w:rsidRPr="009E669E">
              <w:rPr>
                <w:rFonts w:ascii="Times New Roman" w:hAnsi="Times New Roman" w:cs="Times New Roman"/>
              </w:rPr>
              <w:t>transmembrane</w:t>
            </w:r>
            <w:proofErr w:type="spellEnd"/>
            <w:r w:rsidRPr="009E669E">
              <w:rPr>
                <w:rFonts w:ascii="Times New Roman" w:hAnsi="Times New Roman" w:cs="Times New Roman"/>
              </w:rPr>
              <w:t xml:space="preserve"> transport of glycerol. Glycerol serves as a crucial, flexible substrate for both alternate energy production and the massive, continuous biosynthesis of complex lipids required for new cellular membranes during tumor expansion [12].</w:t>
            </w:r>
          </w:p>
        </w:tc>
      </w:tr>
      <w:tr w:rsidR="00616761" w:rsidRPr="009E669E" w:rsidTr="00CC2E29">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b/>
                <w:bCs/>
              </w:rPr>
              <w:t>HMGCS2</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3-Hydroxy-3-Methylglutaryl-CoA Synthase 2</w:t>
            </w:r>
          </w:p>
        </w:tc>
        <w:tc>
          <w:tcPr>
            <w:tcW w:w="3192" w:type="dxa"/>
          </w:tcPr>
          <w:p w:rsidR="00616761" w:rsidRPr="009E669E" w:rsidRDefault="00530AB9" w:rsidP="00A3695E">
            <w:pPr>
              <w:pStyle w:val="Compact"/>
              <w:spacing w:line="360" w:lineRule="auto"/>
              <w:jc w:val="both"/>
              <w:rPr>
                <w:rFonts w:ascii="Times New Roman" w:hAnsi="Times New Roman" w:cs="Times New Roman"/>
              </w:rPr>
            </w:pPr>
            <w:r w:rsidRPr="009E669E">
              <w:rPr>
                <w:rFonts w:ascii="Times New Roman" w:hAnsi="Times New Roman" w:cs="Times New Roman"/>
              </w:rPr>
              <w:t xml:space="preserve">The absolute rate-limiting enzyme in </w:t>
            </w:r>
            <w:proofErr w:type="spellStart"/>
            <w:r w:rsidRPr="009E669E">
              <w:rPr>
                <w:rFonts w:ascii="Times New Roman" w:hAnsi="Times New Roman" w:cs="Times New Roman"/>
              </w:rPr>
              <w:t>ketogenesis</w:t>
            </w:r>
            <w:proofErr w:type="spellEnd"/>
            <w:r w:rsidRPr="009E669E">
              <w:rPr>
                <w:rFonts w:ascii="Times New Roman" w:hAnsi="Times New Roman" w:cs="Times New Roman"/>
              </w:rPr>
              <w:t>. This represents a critical metabolic alternative highly exploited by cancer cells to survive under the severe cellular stress, hypoxia, and nutrient deprivation commonly found deep within solid tumors [13].</w:t>
            </w:r>
          </w:p>
        </w:tc>
      </w:tr>
    </w:tbl>
    <w:p w:rsidR="00CC2E29" w:rsidRPr="009E669E" w:rsidRDefault="00CC2E29" w:rsidP="00A3695E">
      <w:pPr>
        <w:pStyle w:val="BodyText"/>
        <w:spacing w:line="360" w:lineRule="auto"/>
        <w:jc w:val="center"/>
        <w:rPr>
          <w:rFonts w:ascii="Times New Roman" w:hAnsi="Times New Roman" w:cs="Times New Roman"/>
        </w:rPr>
      </w:pPr>
      <w:r w:rsidRPr="009E669E">
        <w:rPr>
          <w:rFonts w:ascii="Times New Roman" w:hAnsi="Times New Roman" w:cs="Times New Roman"/>
          <w:bCs/>
        </w:rPr>
        <w:t>Table 5.1: Key Enriched Genes in PPAR Signaling and their Oncological Implications</w:t>
      </w:r>
    </w:p>
    <w:p w:rsidR="00616761" w:rsidRPr="009E669E" w:rsidRDefault="00530AB9" w:rsidP="00A3695E">
      <w:pPr>
        <w:pStyle w:val="BodyText"/>
        <w:spacing w:line="360" w:lineRule="auto"/>
        <w:jc w:val="both"/>
        <w:rPr>
          <w:rFonts w:ascii="Times New Roman" w:hAnsi="Times New Roman" w:cs="Times New Roman"/>
        </w:rPr>
      </w:pPr>
      <w:r w:rsidRPr="009E669E">
        <w:rPr>
          <w:rFonts w:ascii="Times New Roman" w:hAnsi="Times New Roman" w:cs="Times New Roman"/>
        </w:rPr>
        <w:t>The highly coordinated, powerful predictive utility of these specific metabolic molecules strongly suggests that the machine learning framework did not merely identify random markers. Instead, it successfully captured a highly multidimensional, cohesive signature of metabolic flexibility, lipid dependency, and profound invasive potential that fundamentally underpins the aggressive behavior differentiating these histological subtypes.</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32" w:name="clinical-and-translational-implications"/>
      <w:bookmarkEnd w:id="31"/>
      <w:r w:rsidRPr="009E669E">
        <w:rPr>
          <w:rFonts w:ascii="Times New Roman" w:hAnsi="Times New Roman" w:cs="Times New Roman"/>
          <w:b/>
          <w:color w:val="auto"/>
          <w:sz w:val="24"/>
        </w:rPr>
        <w:lastRenderedPageBreak/>
        <w:t>5.4 Clinical and Translational Implications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powerful convergence of high-fidelity algorithmic predictions, rigorous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integration, and deeply transparent biological interpretability presents highly substantial, actionable clinical implications for the future of oncology:</w:t>
      </w:r>
    </w:p>
    <w:p w:rsidR="00616761" w:rsidRPr="009E669E" w:rsidRDefault="00530AB9" w:rsidP="00A3695E">
      <w:pPr>
        <w:pStyle w:val="Compact"/>
        <w:numPr>
          <w:ilvl w:val="0"/>
          <w:numId w:val="23"/>
        </w:numPr>
        <w:spacing w:line="360" w:lineRule="auto"/>
        <w:jc w:val="both"/>
        <w:rPr>
          <w:rFonts w:ascii="Times New Roman" w:hAnsi="Times New Roman" w:cs="Times New Roman"/>
        </w:rPr>
      </w:pPr>
      <w:r w:rsidRPr="009E669E">
        <w:rPr>
          <w:rFonts w:ascii="Times New Roman" w:hAnsi="Times New Roman" w:cs="Times New Roman"/>
          <w:b/>
          <w:bCs/>
        </w:rPr>
        <w:t>Accelerating Precision Diagnostics:</w:t>
      </w:r>
      <w:r w:rsidRPr="009E669E">
        <w:rPr>
          <w:rFonts w:ascii="Times New Roman" w:hAnsi="Times New Roman" w:cs="Times New Roman"/>
        </w:rPr>
        <w:t xml:space="preserve"> The success of this framework forcefully advocates for a paradigm shift away from simplistic, error-prone single-</w:t>
      </w:r>
      <w:proofErr w:type="spellStart"/>
      <w:r w:rsidRPr="009E669E">
        <w:rPr>
          <w:rFonts w:ascii="Times New Roman" w:hAnsi="Times New Roman" w:cs="Times New Roman"/>
        </w:rPr>
        <w:t>analyte</w:t>
      </w:r>
      <w:proofErr w:type="spellEnd"/>
      <w:r w:rsidRPr="009E669E">
        <w:rPr>
          <w:rFonts w:ascii="Times New Roman" w:hAnsi="Times New Roman" w:cs="Times New Roman"/>
        </w:rPr>
        <w:t xml:space="preserve"> diagnostic assays. It strongly supports the rapid clinical transition towards highly comprehensive, multi-dimensional molecular profiling, leveraging advanced algorithms to synthesize complex data into clear diagnostic probabilities [14].</w:t>
      </w:r>
    </w:p>
    <w:p w:rsidR="00616761" w:rsidRPr="009E669E" w:rsidRDefault="00530AB9" w:rsidP="00A3695E">
      <w:pPr>
        <w:pStyle w:val="Compact"/>
        <w:numPr>
          <w:ilvl w:val="0"/>
          <w:numId w:val="23"/>
        </w:numPr>
        <w:spacing w:line="360" w:lineRule="auto"/>
        <w:jc w:val="both"/>
        <w:rPr>
          <w:rFonts w:ascii="Times New Roman" w:hAnsi="Times New Roman" w:cs="Times New Roman"/>
        </w:rPr>
      </w:pPr>
      <w:r w:rsidRPr="009E669E">
        <w:rPr>
          <w:rFonts w:ascii="Times New Roman" w:hAnsi="Times New Roman" w:cs="Times New Roman"/>
          <w:b/>
          <w:bCs/>
        </w:rPr>
        <w:t>Refining Clinical Stratification:</w:t>
      </w:r>
      <w:r w:rsidRPr="009E669E">
        <w:rPr>
          <w:rFonts w:ascii="Times New Roman" w:hAnsi="Times New Roman" w:cs="Times New Roman"/>
        </w:rPr>
        <w:t xml:space="preserve"> The robust identification of the </w:t>
      </w:r>
      <w:r w:rsidRPr="009E669E">
        <w:rPr>
          <w:rFonts w:ascii="Times New Roman" w:hAnsi="Times New Roman" w:cs="Times New Roman"/>
          <w:i/>
          <w:iCs/>
        </w:rPr>
        <w:t>CDH1</w:t>
      </w:r>
      <w:r w:rsidRPr="009E669E">
        <w:rPr>
          <w:rFonts w:ascii="Times New Roman" w:hAnsi="Times New Roman" w:cs="Times New Roman"/>
        </w:rPr>
        <w:t xml:space="preserve"> regulatory network reaffirms the critical, absolute diagnostic necessity of meticulously evaluating the E-Cadherin axis. This deep differentiation between lobular and ductal carcinomas is not merely an academic exercise; it directly impacts profound clinical decisions, altering surgical planning (e.g., managing the increased risk of </w:t>
      </w:r>
      <w:proofErr w:type="spellStart"/>
      <w:r w:rsidRPr="009E669E">
        <w:rPr>
          <w:rFonts w:ascii="Times New Roman" w:hAnsi="Times New Roman" w:cs="Times New Roman"/>
        </w:rPr>
        <w:t>bilaterality</w:t>
      </w:r>
      <w:proofErr w:type="spellEnd"/>
      <w:r w:rsidRPr="009E669E">
        <w:rPr>
          <w:rFonts w:ascii="Times New Roman" w:hAnsi="Times New Roman" w:cs="Times New Roman"/>
        </w:rPr>
        <w:t xml:space="preserve"> in ILC) and heavily influencing systemic therapeutic selection [15].</w:t>
      </w:r>
    </w:p>
    <w:p w:rsidR="00616761" w:rsidRPr="009E669E" w:rsidRDefault="00530AB9" w:rsidP="00A3695E">
      <w:pPr>
        <w:pStyle w:val="Compact"/>
        <w:numPr>
          <w:ilvl w:val="0"/>
          <w:numId w:val="23"/>
        </w:numPr>
        <w:spacing w:line="360" w:lineRule="auto"/>
        <w:jc w:val="both"/>
        <w:rPr>
          <w:rFonts w:ascii="Times New Roman" w:hAnsi="Times New Roman" w:cs="Times New Roman"/>
        </w:rPr>
      </w:pPr>
      <w:r w:rsidRPr="009E669E">
        <w:rPr>
          <w:rFonts w:ascii="Times New Roman" w:hAnsi="Times New Roman" w:cs="Times New Roman"/>
          <w:b/>
          <w:bCs/>
        </w:rPr>
        <w:t>Uncovering Novel Therapeutic Interventions:</w:t>
      </w:r>
      <w:r w:rsidRPr="009E669E">
        <w:rPr>
          <w:rFonts w:ascii="Times New Roman" w:hAnsi="Times New Roman" w:cs="Times New Roman"/>
        </w:rPr>
        <w:t xml:space="preserve"> The strong algorithmic identification of the PPAR signaling pathway and its associated metabolic vulnerabilities (specifically lipid </w:t>
      </w:r>
      <m:oMath>
        <m:r>
          <w:rPr>
            <w:rFonts w:ascii="Cambria Math" w:hAnsi="Cambria Math" w:cs="Times New Roman"/>
          </w:rPr>
          <m:t>β</m:t>
        </m:r>
      </m:oMath>
      <w:r w:rsidRPr="009E669E">
        <w:rPr>
          <w:rFonts w:ascii="Times New Roman" w:hAnsi="Times New Roman" w:cs="Times New Roman"/>
        </w:rPr>
        <w:t>-oxidation, aquaglyceroporin transport, and ketogenesis) opens entirely novel, highly promising avenues for rational drug design. Targeting these complex metabolic pathways may offer profound synergistic opportunities when combined with traditional endocrine therapies or targeted biologic agents, potentially overcoming deep-seated resistance mechanisms [16].</w:t>
      </w:r>
    </w:p>
    <w:p w:rsidR="00616761" w:rsidRPr="009E669E" w:rsidRDefault="00530AB9" w:rsidP="00A3695E">
      <w:pPr>
        <w:pStyle w:val="Compact"/>
        <w:numPr>
          <w:ilvl w:val="0"/>
          <w:numId w:val="23"/>
        </w:numPr>
        <w:spacing w:line="360" w:lineRule="auto"/>
        <w:jc w:val="both"/>
        <w:rPr>
          <w:rFonts w:ascii="Times New Roman" w:hAnsi="Times New Roman" w:cs="Times New Roman"/>
        </w:rPr>
      </w:pPr>
      <w:r w:rsidRPr="009E669E">
        <w:rPr>
          <w:rFonts w:ascii="Times New Roman" w:hAnsi="Times New Roman" w:cs="Times New Roman"/>
          <w:b/>
          <w:bCs/>
        </w:rPr>
        <w:t>Fostering Trust and Clinical Adoption:</w:t>
      </w:r>
      <w:r w:rsidRPr="009E669E">
        <w:rPr>
          <w:rFonts w:ascii="Times New Roman" w:hAnsi="Times New Roman" w:cs="Times New Roman"/>
        </w:rPr>
        <w:t xml:space="preserve"> The implementation of the highly transparent, SHAP-driven Explainable AI rationale is absolutely paramount. It directly addresses the critical “black box” problem, providing clinicians with a mathematically sound, biologically plausible narrative for every single algorithmic prediction. This total transparency is the fundamental prerequisite for fostering clinical trust and facilitating the eventual, widespread integration of such powerful computational tools into routine, high-stakes clinical decision-making workflows [17].</w:t>
      </w:r>
    </w:p>
    <w:p w:rsidR="00616761" w:rsidRPr="009E669E" w:rsidRDefault="00616761" w:rsidP="00A3695E">
      <w:pPr>
        <w:pStyle w:val="FirstParagraph"/>
        <w:spacing w:line="360" w:lineRule="auto"/>
        <w:jc w:val="both"/>
        <w:rPr>
          <w:rFonts w:ascii="Times New Roman" w:hAnsi="Times New Roman" w:cs="Times New Roman"/>
        </w:rPr>
      </w:pPr>
    </w:p>
    <w:p w:rsidR="00616761" w:rsidRPr="009E669E" w:rsidRDefault="00530AB9" w:rsidP="00A3695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lastRenderedPageBreak/>
        <w:t>CHAPTER VI</w:t>
      </w:r>
    </w:p>
    <w:p w:rsidR="00616761" w:rsidRPr="009E669E" w:rsidRDefault="00530AB9" w:rsidP="00A3695E">
      <w:pPr>
        <w:pStyle w:val="BodyText"/>
        <w:spacing w:line="360" w:lineRule="auto"/>
        <w:jc w:val="center"/>
        <w:rPr>
          <w:rFonts w:ascii="Times New Roman" w:hAnsi="Times New Roman" w:cs="Times New Roman"/>
          <w:b/>
          <w:sz w:val="28"/>
        </w:rPr>
      </w:pPr>
      <w:r w:rsidRPr="009E669E">
        <w:rPr>
          <w:rFonts w:ascii="Times New Roman" w:hAnsi="Times New Roman" w:cs="Times New Roman"/>
          <w:b/>
          <w:sz w:val="28"/>
        </w:rPr>
        <w:t>Conclusion and Future Directions</w:t>
      </w:r>
    </w:p>
    <w:p w:rsidR="00616761" w:rsidRPr="009E669E" w:rsidRDefault="00616761" w:rsidP="00A3695E">
      <w:pPr>
        <w:pStyle w:val="BodyText"/>
        <w:spacing w:line="360" w:lineRule="auto"/>
        <w:jc w:val="both"/>
        <w:rPr>
          <w:rFonts w:ascii="Times New Roman" w:hAnsi="Times New Roman" w:cs="Times New Roman"/>
        </w:rPr>
      </w:pP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33" w:name="summary-of-key-findings"/>
      <w:bookmarkEnd w:id="32"/>
      <w:r w:rsidRPr="009E669E">
        <w:rPr>
          <w:rFonts w:ascii="Times New Roman" w:hAnsi="Times New Roman" w:cs="Times New Roman"/>
          <w:b/>
          <w:color w:val="auto"/>
          <w:sz w:val="24"/>
        </w:rPr>
        <w:t>6.1 Summary of Key Findings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This comprehensive academic thesis systematically and rigorously addressed the urgent clinical and computational need for highly robust, deeply interpretable classification paradigms in breast cancer oncology. It successfully achieved this by meticulously developing, thoroughly optimizing, and exhaustively validating an advanced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machine learning framework explicitly designed to decode the complex histological dichotomy between Invasive Ductal Carcinoma and Invasive Lobular Carcinoma.</w:t>
      </w:r>
    </w:p>
    <w:p w:rsidR="00616761" w:rsidRPr="009E669E" w:rsidRDefault="00530AB9" w:rsidP="00A3695E">
      <w:pPr>
        <w:pStyle w:val="Compact"/>
        <w:numPr>
          <w:ilvl w:val="0"/>
          <w:numId w:val="24"/>
        </w:numPr>
        <w:spacing w:line="360" w:lineRule="auto"/>
        <w:jc w:val="both"/>
        <w:rPr>
          <w:rFonts w:ascii="Times New Roman" w:hAnsi="Times New Roman" w:cs="Times New Roman"/>
        </w:rPr>
      </w:pPr>
      <w:r w:rsidRPr="009E669E">
        <w:rPr>
          <w:rFonts w:ascii="Times New Roman" w:hAnsi="Times New Roman" w:cs="Times New Roman"/>
          <w:b/>
          <w:bCs/>
        </w:rPr>
        <w:t>Establishment of Baseline Efficacy:</w:t>
      </w:r>
      <w:r w:rsidRPr="009E669E">
        <w:rPr>
          <w:rFonts w:ascii="Times New Roman" w:hAnsi="Times New Roman" w:cs="Times New Roman"/>
        </w:rPr>
        <w:t xml:space="preserve"> The rigorous methodology successfully optimized a powerful </w:t>
      </w:r>
      <w:proofErr w:type="spellStart"/>
      <w:r w:rsidRPr="009E669E">
        <w:rPr>
          <w:rFonts w:ascii="Times New Roman" w:hAnsi="Times New Roman" w:cs="Times New Roman"/>
        </w:rPr>
        <w:t>LightGBM</w:t>
      </w:r>
      <w:proofErr w:type="spellEnd"/>
      <w:r w:rsidRPr="009E669E">
        <w:rPr>
          <w:rFonts w:ascii="Times New Roman" w:hAnsi="Times New Roman" w:cs="Times New Roman"/>
        </w:rPr>
        <w:t xml:space="preserve"> architecture, which rapidly established a highly formidable predictive baseline. Operating on a highly refined feature space, it achieved an outstanding F1-Macro score of 0.9054, confirming the profound suitability of gradient boosting algorithms for tabular biological data [18].</w:t>
      </w:r>
    </w:p>
    <w:p w:rsidR="00616761" w:rsidRPr="009E669E" w:rsidRDefault="00530AB9" w:rsidP="00A3695E">
      <w:pPr>
        <w:pStyle w:val="Compact"/>
        <w:numPr>
          <w:ilvl w:val="0"/>
          <w:numId w:val="24"/>
        </w:numPr>
        <w:spacing w:line="360" w:lineRule="auto"/>
        <w:jc w:val="both"/>
        <w:rPr>
          <w:rFonts w:ascii="Times New Roman" w:hAnsi="Times New Roman" w:cs="Times New Roman"/>
        </w:rPr>
      </w:pPr>
      <w:r w:rsidRPr="009E669E">
        <w:rPr>
          <w:rFonts w:ascii="Times New Roman" w:hAnsi="Times New Roman" w:cs="Times New Roman"/>
          <w:b/>
          <w:bCs/>
        </w:rPr>
        <w:t>Validation of Integration Superiority:</w:t>
      </w:r>
      <w:r w:rsidRPr="009E669E">
        <w:rPr>
          <w:rFonts w:ascii="Times New Roman" w:hAnsi="Times New Roman" w:cs="Times New Roman"/>
        </w:rPr>
        <w:t xml:space="preserve"> The subsequent, highly sophisticated implementation of a Late Fusion meta-architecture—designed to intelligently harmonize diverse genomic, </w:t>
      </w:r>
      <w:proofErr w:type="spellStart"/>
      <w:r w:rsidRPr="009E669E">
        <w:rPr>
          <w:rFonts w:ascii="Times New Roman" w:hAnsi="Times New Roman" w:cs="Times New Roman"/>
        </w:rPr>
        <w:t>transcriptomic</w:t>
      </w:r>
      <w:proofErr w:type="spellEnd"/>
      <w:r w:rsidRPr="009E669E">
        <w:rPr>
          <w:rFonts w:ascii="Times New Roman" w:hAnsi="Times New Roman" w:cs="Times New Roman"/>
        </w:rPr>
        <w:t xml:space="preserve">, </w:t>
      </w:r>
      <w:proofErr w:type="spellStart"/>
      <w:r w:rsidRPr="009E669E">
        <w:rPr>
          <w:rFonts w:ascii="Times New Roman" w:hAnsi="Times New Roman" w:cs="Times New Roman"/>
        </w:rPr>
        <w:t>epigenomic</w:t>
      </w:r>
      <w:proofErr w:type="spellEnd"/>
      <w:r w:rsidRPr="009E669E">
        <w:rPr>
          <w:rFonts w:ascii="Times New Roman" w:hAnsi="Times New Roman" w:cs="Times New Roman"/>
        </w:rPr>
        <w:t>, and proteomic layers—elevated the overall model performance to an exceptional, near-perfect F1-Macro of 0.9247 and a massive AUC-ROC of 0.9839. This empirically and statistically substantiates the immense, synergistic complementary value derived from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data integration over single-modality approaches [19].</w:t>
      </w:r>
    </w:p>
    <w:p w:rsidR="00616761" w:rsidRPr="009E669E" w:rsidRDefault="00530AB9" w:rsidP="00A3695E">
      <w:pPr>
        <w:pStyle w:val="Compact"/>
        <w:numPr>
          <w:ilvl w:val="0"/>
          <w:numId w:val="24"/>
        </w:numPr>
        <w:spacing w:line="360" w:lineRule="auto"/>
        <w:jc w:val="both"/>
        <w:rPr>
          <w:rFonts w:ascii="Times New Roman" w:hAnsi="Times New Roman" w:cs="Times New Roman"/>
        </w:rPr>
      </w:pPr>
      <w:r w:rsidRPr="009E669E">
        <w:rPr>
          <w:rFonts w:ascii="Times New Roman" w:hAnsi="Times New Roman" w:cs="Times New Roman"/>
          <w:b/>
          <w:bCs/>
        </w:rPr>
        <w:t>Proof of Robust Generalizability:</w:t>
      </w:r>
      <w:r w:rsidRPr="009E669E">
        <w:rPr>
          <w:rFonts w:ascii="Times New Roman" w:hAnsi="Times New Roman" w:cs="Times New Roman"/>
        </w:rPr>
        <w:t xml:space="preserve"> The highly stringent, computationally punishing implementation of a strict nested cross-validation framework yielded a remarkably minimal performance degradation delta of exactly 0.0213. This rigorous validation definitively proves the architecture’s profound, resilient defense against systemic algorithmic </w:t>
      </w:r>
      <w:proofErr w:type="spellStart"/>
      <w:r w:rsidRPr="009E669E">
        <w:rPr>
          <w:rFonts w:ascii="Times New Roman" w:hAnsi="Times New Roman" w:cs="Times New Roman"/>
        </w:rPr>
        <w:t>overfitting</w:t>
      </w:r>
      <w:proofErr w:type="spellEnd"/>
      <w:r w:rsidRPr="009E669E">
        <w:rPr>
          <w:rFonts w:ascii="Times New Roman" w:hAnsi="Times New Roman" w:cs="Times New Roman"/>
        </w:rPr>
        <w:t xml:space="preserve"> and pervasive data leakage [20].</w:t>
      </w:r>
    </w:p>
    <w:p w:rsidR="00616761" w:rsidRPr="009E669E" w:rsidRDefault="00530AB9" w:rsidP="00A3695E">
      <w:pPr>
        <w:pStyle w:val="Compact"/>
        <w:numPr>
          <w:ilvl w:val="0"/>
          <w:numId w:val="24"/>
        </w:numPr>
        <w:spacing w:line="360" w:lineRule="auto"/>
        <w:jc w:val="both"/>
        <w:rPr>
          <w:rFonts w:ascii="Times New Roman" w:hAnsi="Times New Roman" w:cs="Times New Roman"/>
        </w:rPr>
      </w:pPr>
      <w:r w:rsidRPr="009E669E">
        <w:rPr>
          <w:rFonts w:ascii="Times New Roman" w:hAnsi="Times New Roman" w:cs="Times New Roman"/>
          <w:b/>
          <w:bCs/>
        </w:rPr>
        <w:lastRenderedPageBreak/>
        <w:t>Elucidation of the Informational Hierarchy:</w:t>
      </w:r>
      <w:r w:rsidRPr="009E669E">
        <w:rPr>
          <w:rFonts w:ascii="Times New Roman" w:hAnsi="Times New Roman" w:cs="Times New Roman"/>
        </w:rPr>
        <w:t xml:space="preserve"> The advanced application of Cross-</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SHAP layer analysis fundamentally revolutionized the interpretation of the model. It decisively revealed the proteomic layer as the most extraordinarily information-dense modality, massively contributing 40.26% of total predictive importance while utilizing a mere 32% of the active features [21].</w:t>
      </w:r>
    </w:p>
    <w:p w:rsidR="00616761" w:rsidRPr="009E669E" w:rsidRDefault="00530AB9" w:rsidP="00A3695E">
      <w:pPr>
        <w:pStyle w:val="Compact"/>
        <w:numPr>
          <w:ilvl w:val="0"/>
          <w:numId w:val="24"/>
        </w:numPr>
        <w:spacing w:line="360" w:lineRule="auto"/>
        <w:jc w:val="both"/>
        <w:rPr>
          <w:rFonts w:ascii="Times New Roman" w:hAnsi="Times New Roman" w:cs="Times New Roman"/>
        </w:rPr>
      </w:pPr>
      <w:r w:rsidRPr="009E669E">
        <w:rPr>
          <w:rFonts w:ascii="Times New Roman" w:hAnsi="Times New Roman" w:cs="Times New Roman"/>
          <w:b/>
          <w:bCs/>
        </w:rPr>
        <w:t>Confirmation of Biological Consonance:</w:t>
      </w:r>
      <w:r w:rsidRPr="009E669E">
        <w:rPr>
          <w:rFonts w:ascii="Times New Roman" w:hAnsi="Times New Roman" w:cs="Times New Roman"/>
        </w:rPr>
        <w:t xml:space="preserve"> The rigorous, mathematically sound </w:t>
      </w:r>
      <w:proofErr w:type="spellStart"/>
      <w:r w:rsidRPr="009E669E">
        <w:rPr>
          <w:rFonts w:ascii="Times New Roman" w:hAnsi="Times New Roman" w:cs="Times New Roman"/>
        </w:rPr>
        <w:t>explainability</w:t>
      </w:r>
      <w:proofErr w:type="spellEnd"/>
      <w:r w:rsidRPr="009E669E">
        <w:rPr>
          <w:rFonts w:ascii="Times New Roman" w:hAnsi="Times New Roman" w:cs="Times New Roman"/>
        </w:rPr>
        <w:t xml:space="preserve"> frameworks generated by the SHAP analysis conclusively identified the proteomic expression of E-Cadherin (</w:t>
      </w:r>
      <w:proofErr w:type="spellStart"/>
      <w:r w:rsidRPr="009E669E">
        <w:rPr>
          <w:rStyle w:val="VerbatimChar"/>
          <w:rFonts w:ascii="Times New Roman" w:hAnsi="Times New Roman" w:cs="Times New Roman"/>
        </w:rPr>
        <w:t>pp_E.Cadherin</w:t>
      </w:r>
      <w:proofErr w:type="spellEnd"/>
      <w:r w:rsidRPr="009E669E">
        <w:rPr>
          <w:rFonts w:ascii="Times New Roman" w:hAnsi="Times New Roman" w:cs="Times New Roman"/>
        </w:rPr>
        <w:t>) as the unequivocally dominant, Rank 1 predictive biomarker. This completely validates the complex computational framework’s unparalleled capacity to extract and prioritize biologically incontrovertible, clinically real signals over random statistical noise [22].</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34" w:name="research-contributions-revisited"/>
      <w:bookmarkEnd w:id="33"/>
      <w:r w:rsidRPr="009E669E">
        <w:rPr>
          <w:rFonts w:ascii="Times New Roman" w:hAnsi="Times New Roman" w:cs="Times New Roman"/>
          <w:b/>
          <w:color w:val="auto"/>
          <w:sz w:val="24"/>
        </w:rPr>
        <w:t>6.2 Research Contributions Revisited</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extensive research conducted within this thesis delivers highly substantive, rigorously validated, and broadly applicable contributions to the interdisciplinary fields of computational biology, advanced bioinformatics, and clinical oncology:</w:t>
      </w:r>
    </w:p>
    <w:p w:rsidR="00616761" w:rsidRPr="009E669E" w:rsidRDefault="00530AB9" w:rsidP="00A3695E">
      <w:pPr>
        <w:pStyle w:val="Compact"/>
        <w:numPr>
          <w:ilvl w:val="0"/>
          <w:numId w:val="25"/>
        </w:numPr>
        <w:spacing w:line="360" w:lineRule="auto"/>
        <w:jc w:val="both"/>
        <w:rPr>
          <w:rFonts w:ascii="Times New Roman" w:hAnsi="Times New Roman" w:cs="Times New Roman"/>
        </w:rPr>
      </w:pPr>
      <w:r w:rsidRPr="009E669E">
        <w:rPr>
          <w:rFonts w:ascii="Times New Roman" w:hAnsi="Times New Roman" w:cs="Times New Roman"/>
          <w:b/>
          <w:bCs/>
        </w:rPr>
        <w:t>Profound Methodological Innovation:</w:t>
      </w:r>
      <w:r w:rsidRPr="009E669E">
        <w:rPr>
          <w:rFonts w:ascii="Times New Roman" w:hAnsi="Times New Roman" w:cs="Times New Roman"/>
        </w:rPr>
        <w:t xml:space="preserve"> The rigorous, successful deployment of an advanced Late Fusion architecture dynamically and intelligently balances heterogeneous information content across entirely disparate biological domains, elegantly circumventing the severe dimensionality and noise limitations that persistently plague monolithic early concatenation strategies [23].</w:t>
      </w:r>
    </w:p>
    <w:p w:rsidR="00616761" w:rsidRPr="009E669E" w:rsidRDefault="00530AB9" w:rsidP="00A3695E">
      <w:pPr>
        <w:pStyle w:val="Compact"/>
        <w:numPr>
          <w:ilvl w:val="0"/>
          <w:numId w:val="25"/>
        </w:numPr>
        <w:spacing w:line="360" w:lineRule="auto"/>
        <w:jc w:val="both"/>
        <w:rPr>
          <w:rFonts w:ascii="Times New Roman" w:hAnsi="Times New Roman" w:cs="Times New Roman"/>
        </w:rPr>
      </w:pPr>
      <w:r w:rsidRPr="009E669E">
        <w:rPr>
          <w:rFonts w:ascii="Times New Roman" w:hAnsi="Times New Roman" w:cs="Times New Roman"/>
          <w:b/>
          <w:bCs/>
        </w:rPr>
        <w:t>Advancement of Validation Rigor:</w:t>
      </w:r>
      <w:r w:rsidRPr="009E669E">
        <w:rPr>
          <w:rFonts w:ascii="Times New Roman" w:hAnsi="Times New Roman" w:cs="Times New Roman"/>
        </w:rPr>
        <w:t xml:space="preserve"> The strict, unyielding adherence to highly isolated nested cross-validation protocols, particularly when interacting with complex SMOTE resampling in imbalanced environments, establishes a highly rigorous methodological benchmark. This ensures exceptionally reliable, highly conservative estimations of the model’s true generalization capabilities within a prospective clinical context [24].</w:t>
      </w:r>
    </w:p>
    <w:p w:rsidR="00616761" w:rsidRPr="009E669E" w:rsidRDefault="00530AB9" w:rsidP="00A3695E">
      <w:pPr>
        <w:pStyle w:val="Compact"/>
        <w:numPr>
          <w:ilvl w:val="0"/>
          <w:numId w:val="25"/>
        </w:numPr>
        <w:spacing w:line="360" w:lineRule="auto"/>
        <w:jc w:val="both"/>
        <w:rPr>
          <w:rFonts w:ascii="Times New Roman" w:hAnsi="Times New Roman" w:cs="Times New Roman"/>
        </w:rPr>
      </w:pPr>
      <w:r w:rsidRPr="009E669E">
        <w:rPr>
          <w:rFonts w:ascii="Times New Roman" w:hAnsi="Times New Roman" w:cs="Times New Roman"/>
          <w:b/>
          <w:bCs/>
        </w:rPr>
        <w:t>Pioneering Transparent Diagnostics:</w:t>
      </w:r>
      <w:r w:rsidRPr="009E669E">
        <w:rPr>
          <w:rFonts w:ascii="Times New Roman" w:hAnsi="Times New Roman" w:cs="Times New Roman"/>
        </w:rPr>
        <w:t xml:space="preserve"> The extensive, innovative utilization of comprehensive SHAP value attribution, particularly at the macro cross-</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layer level, powerfully and definitively addresses the pervasive “black box” challenge inherent in medical AI. It offers highly intelligible, deeply granular molecular rationales for all </w:t>
      </w:r>
      <w:r w:rsidRPr="009E669E">
        <w:rPr>
          <w:rFonts w:ascii="Times New Roman" w:hAnsi="Times New Roman" w:cs="Times New Roman"/>
        </w:rPr>
        <w:lastRenderedPageBreak/>
        <w:t>classification outcomes, linking abstract algorithmic decision boundaries directly to established, peer-reviewed canonical biological pathways [25, 26].</w:t>
      </w:r>
    </w:p>
    <w:p w:rsidR="00616761" w:rsidRPr="009E669E" w:rsidRDefault="00530AB9" w:rsidP="00A3695E">
      <w:pPr>
        <w:pStyle w:val="Heading2"/>
        <w:spacing w:line="360" w:lineRule="auto"/>
        <w:jc w:val="both"/>
        <w:rPr>
          <w:rFonts w:ascii="Times New Roman" w:hAnsi="Times New Roman" w:cs="Times New Roman"/>
          <w:b/>
          <w:color w:val="auto"/>
          <w:sz w:val="24"/>
        </w:rPr>
      </w:pPr>
      <w:bookmarkStart w:id="35" w:name="limitations-of-the-study"/>
      <w:bookmarkEnd w:id="34"/>
      <w:r w:rsidRPr="009E669E">
        <w:rPr>
          <w:rFonts w:ascii="Times New Roman" w:hAnsi="Times New Roman" w:cs="Times New Roman"/>
          <w:b/>
          <w:color w:val="auto"/>
          <w:sz w:val="24"/>
        </w:rPr>
        <w:t>6.3 Limitations of the Study</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While the proposed computational framework demonstrates highly robust, exceptional predictive efficacy, several intrinsic, fundamental limitations of the underlying data and methodology must be explicitly acknowledged to appropriately contextualize the findings:</w:t>
      </w:r>
    </w:p>
    <w:p w:rsidR="00616761" w:rsidRPr="009E669E" w:rsidRDefault="00530AB9" w:rsidP="00A3695E">
      <w:pPr>
        <w:pStyle w:val="Compact"/>
        <w:numPr>
          <w:ilvl w:val="0"/>
          <w:numId w:val="26"/>
        </w:numPr>
        <w:spacing w:line="360" w:lineRule="auto"/>
        <w:jc w:val="both"/>
        <w:rPr>
          <w:rFonts w:ascii="Times New Roman" w:hAnsi="Times New Roman" w:cs="Times New Roman"/>
        </w:rPr>
      </w:pPr>
      <w:r w:rsidRPr="009E669E">
        <w:rPr>
          <w:rFonts w:ascii="Times New Roman" w:hAnsi="Times New Roman" w:cs="Times New Roman"/>
          <w:b/>
          <w:bCs/>
        </w:rPr>
        <w:t>Single-Cohort Institutional Reliance:</w:t>
      </w:r>
      <w:r w:rsidRPr="009E669E">
        <w:rPr>
          <w:rFonts w:ascii="Times New Roman" w:hAnsi="Times New Roman" w:cs="Times New Roman"/>
        </w:rPr>
        <w:t xml:space="preserve"> The extensive empirical analyses were conducted utilizing patient data sourced entirely and exclusively from the TCGA consortium. While vast and highly comprehensive, reliance on a singular institutional data source inevitably introduces potential, </w:t>
      </w:r>
      <w:proofErr w:type="spellStart"/>
      <w:r w:rsidRPr="009E669E">
        <w:rPr>
          <w:rFonts w:ascii="Times New Roman" w:hAnsi="Times New Roman" w:cs="Times New Roman"/>
        </w:rPr>
        <w:t>unquantified</w:t>
      </w:r>
      <w:proofErr w:type="spellEnd"/>
      <w:r w:rsidRPr="009E669E">
        <w:rPr>
          <w:rFonts w:ascii="Times New Roman" w:hAnsi="Times New Roman" w:cs="Times New Roman"/>
        </w:rPr>
        <w:t xml:space="preserve"> cohort-specific selection biases. The absolute, universal applicability of these precise molecular signatures demands extensive, rigorous external validation across highly diverse, global clinical populations [27, 28].</w:t>
      </w:r>
    </w:p>
    <w:p w:rsidR="00616761" w:rsidRPr="009E669E" w:rsidRDefault="00530AB9" w:rsidP="00A3695E">
      <w:pPr>
        <w:pStyle w:val="Compact"/>
        <w:numPr>
          <w:ilvl w:val="0"/>
          <w:numId w:val="26"/>
        </w:numPr>
        <w:spacing w:line="360" w:lineRule="auto"/>
        <w:jc w:val="both"/>
        <w:rPr>
          <w:rFonts w:ascii="Times New Roman" w:hAnsi="Times New Roman" w:cs="Times New Roman"/>
        </w:rPr>
      </w:pPr>
      <w:r w:rsidRPr="009E669E">
        <w:rPr>
          <w:rFonts w:ascii="Times New Roman" w:hAnsi="Times New Roman" w:cs="Times New Roman"/>
          <w:b/>
          <w:bCs/>
        </w:rPr>
        <w:t>Bulk Tissue Resolution Masking:</w:t>
      </w:r>
      <w:r w:rsidRPr="009E669E">
        <w:rPr>
          <w:rFonts w:ascii="Times New Roman" w:hAnsi="Times New Roman" w:cs="Times New Roman"/>
        </w:rPr>
        <w:t xml:space="preserve"> The integrated molecular data strictly represents bulk tissue sequencing. This fundamental technological limitation completely masks critical inter-cellular and intra-</w:t>
      </w:r>
      <w:proofErr w:type="spellStart"/>
      <w:r w:rsidRPr="009E669E">
        <w:rPr>
          <w:rFonts w:ascii="Times New Roman" w:hAnsi="Times New Roman" w:cs="Times New Roman"/>
        </w:rPr>
        <w:t>tumoral</w:t>
      </w:r>
      <w:proofErr w:type="spellEnd"/>
      <w:r w:rsidRPr="009E669E">
        <w:rPr>
          <w:rFonts w:ascii="Times New Roman" w:hAnsi="Times New Roman" w:cs="Times New Roman"/>
        </w:rPr>
        <w:t xml:space="preserve"> heterogeneity. It obscures highly subtle, yet potentially critical, predictive contributions originating from rare </w:t>
      </w:r>
      <w:proofErr w:type="spellStart"/>
      <w:r w:rsidRPr="009E669E">
        <w:rPr>
          <w:rFonts w:ascii="Times New Roman" w:hAnsi="Times New Roman" w:cs="Times New Roman"/>
        </w:rPr>
        <w:t>subclonal</w:t>
      </w:r>
      <w:proofErr w:type="spellEnd"/>
      <w:r w:rsidRPr="009E669E">
        <w:rPr>
          <w:rFonts w:ascii="Times New Roman" w:hAnsi="Times New Roman" w:cs="Times New Roman"/>
        </w:rPr>
        <w:t xml:space="preserve"> malignant populations, infiltrating immune cells, or complex stromal-epithelial interactions within the tumor microenvironment [29].</w:t>
      </w:r>
    </w:p>
    <w:p w:rsidR="00CC2E29" w:rsidRPr="009E669E" w:rsidRDefault="00530AB9" w:rsidP="00A3695E">
      <w:pPr>
        <w:pStyle w:val="Compact"/>
        <w:numPr>
          <w:ilvl w:val="0"/>
          <w:numId w:val="26"/>
        </w:numPr>
        <w:spacing w:line="360" w:lineRule="auto"/>
        <w:jc w:val="both"/>
        <w:rPr>
          <w:rFonts w:ascii="Times New Roman" w:hAnsi="Times New Roman" w:cs="Times New Roman"/>
        </w:rPr>
      </w:pPr>
      <w:r w:rsidRPr="009E669E">
        <w:rPr>
          <w:rFonts w:ascii="Times New Roman" w:hAnsi="Times New Roman" w:cs="Times New Roman"/>
          <w:b/>
          <w:bCs/>
        </w:rPr>
        <w:t>Binary Classification Constraint:</w:t>
      </w:r>
      <w:r w:rsidRPr="009E669E">
        <w:rPr>
          <w:rFonts w:ascii="Times New Roman" w:hAnsi="Times New Roman" w:cs="Times New Roman"/>
        </w:rPr>
        <w:t xml:space="preserve"> The current architectural framework was explicitly restricted to the binary classification task (IDC vs. ILC). While this represents a foundational and highly challenging clinical problem, this constraint inherently oversimplifies the true, profoundly multi-dimensional complexity of breast cancer clinical phenotypes, missing the nuances of highly mixed or rare histological variants [30].</w:t>
      </w:r>
      <w:bookmarkStart w:id="36" w:name="future-research-directions"/>
      <w:bookmarkEnd w:id="35"/>
    </w:p>
    <w:p w:rsidR="00CC2E29" w:rsidRPr="009E669E" w:rsidRDefault="00CC2E29" w:rsidP="00A3695E">
      <w:pPr>
        <w:pStyle w:val="Heading2"/>
        <w:spacing w:line="360" w:lineRule="auto"/>
        <w:jc w:val="both"/>
        <w:rPr>
          <w:rFonts w:ascii="Times New Roman" w:hAnsi="Times New Roman" w:cs="Times New Roman"/>
          <w:b/>
          <w:color w:val="auto"/>
          <w:sz w:val="24"/>
        </w:rPr>
      </w:pPr>
    </w:p>
    <w:p w:rsidR="00CC2E29" w:rsidRPr="009E669E" w:rsidRDefault="00CC2E29" w:rsidP="00A3695E">
      <w:pPr>
        <w:pStyle w:val="FirstParagraph"/>
        <w:spacing w:line="360" w:lineRule="auto"/>
        <w:jc w:val="both"/>
        <w:rPr>
          <w:rFonts w:ascii="Times New Roman" w:hAnsi="Times New Roman" w:cs="Times New Roman"/>
        </w:rPr>
      </w:pPr>
    </w:p>
    <w:p w:rsidR="00CC2E29" w:rsidRPr="009E669E" w:rsidRDefault="00CC2E29" w:rsidP="00A3695E">
      <w:pPr>
        <w:pStyle w:val="BodyText"/>
        <w:spacing w:line="360" w:lineRule="auto"/>
        <w:rPr>
          <w:rFonts w:ascii="Times New Roman" w:hAnsi="Times New Roman" w:cs="Times New Roman"/>
        </w:rPr>
      </w:pPr>
    </w:p>
    <w:p w:rsidR="00CC2E29" w:rsidRPr="009E669E" w:rsidRDefault="00CC2E29" w:rsidP="00A3695E">
      <w:pPr>
        <w:pStyle w:val="FirstParagraph"/>
        <w:spacing w:line="360" w:lineRule="auto"/>
        <w:jc w:val="both"/>
        <w:rPr>
          <w:rFonts w:ascii="Times New Roman" w:hAnsi="Times New Roman" w:cs="Times New Roman"/>
        </w:rPr>
      </w:pPr>
    </w:p>
    <w:p w:rsidR="00CC2E29" w:rsidRPr="009E669E" w:rsidRDefault="00CC2E29" w:rsidP="00A3695E">
      <w:pPr>
        <w:pStyle w:val="Heading2"/>
        <w:spacing w:line="360" w:lineRule="auto"/>
        <w:jc w:val="both"/>
        <w:rPr>
          <w:rFonts w:ascii="Times New Roman" w:hAnsi="Times New Roman" w:cs="Times New Roman"/>
          <w:b/>
          <w:color w:val="auto"/>
          <w:sz w:val="24"/>
        </w:rPr>
      </w:pPr>
      <w:r w:rsidRPr="009E669E">
        <w:rPr>
          <w:rFonts w:ascii="Times New Roman" w:hAnsi="Times New Roman" w:cs="Times New Roman"/>
          <w:b/>
          <w:color w:val="auto"/>
          <w:sz w:val="24"/>
        </w:rPr>
        <w:lastRenderedPageBreak/>
        <w:t>6.4 Future Research Directions</w:t>
      </w:r>
    </w:p>
    <w:p w:rsidR="00616761" w:rsidRPr="009E669E" w:rsidRDefault="00530AB9" w:rsidP="00A3695E">
      <w:pPr>
        <w:pStyle w:val="FirstParagraph"/>
        <w:spacing w:line="360" w:lineRule="auto"/>
        <w:jc w:val="both"/>
        <w:rPr>
          <w:rFonts w:ascii="Times New Roman" w:hAnsi="Times New Roman" w:cs="Times New Roman"/>
        </w:rPr>
      </w:pPr>
      <w:r w:rsidRPr="009E669E">
        <w:rPr>
          <w:rFonts w:ascii="Times New Roman" w:hAnsi="Times New Roman" w:cs="Times New Roman"/>
        </w:rPr>
        <w:t>The rigorously identified limitations of the current study seamlessly delineate clear, highly promising trajectories for future, expansive scientific inquiry in computational oncology:</w:t>
      </w:r>
    </w:p>
    <w:p w:rsidR="00616761" w:rsidRPr="009E669E" w:rsidRDefault="00530AB9" w:rsidP="00A3695E">
      <w:pPr>
        <w:pStyle w:val="Compact"/>
        <w:numPr>
          <w:ilvl w:val="0"/>
          <w:numId w:val="27"/>
        </w:numPr>
        <w:spacing w:line="360" w:lineRule="auto"/>
        <w:jc w:val="both"/>
        <w:rPr>
          <w:rFonts w:ascii="Times New Roman" w:hAnsi="Times New Roman" w:cs="Times New Roman"/>
        </w:rPr>
      </w:pPr>
      <w:r w:rsidRPr="009E669E">
        <w:rPr>
          <w:rFonts w:ascii="Times New Roman" w:hAnsi="Times New Roman" w:cs="Times New Roman"/>
          <w:b/>
          <w:bCs/>
        </w:rPr>
        <w:t>Massive External Validation:</w:t>
      </w:r>
      <w:r w:rsidRPr="009E669E">
        <w:rPr>
          <w:rFonts w:ascii="Times New Roman" w:hAnsi="Times New Roman" w:cs="Times New Roman"/>
        </w:rPr>
        <w:t xml:space="preserve"> The immediate, primary objective is the comprehensive, rigorous validation of the derived multi-</w:t>
      </w:r>
      <w:proofErr w:type="spellStart"/>
      <w:r w:rsidRPr="009E669E">
        <w:rPr>
          <w:rFonts w:ascii="Times New Roman" w:hAnsi="Times New Roman" w:cs="Times New Roman"/>
        </w:rPr>
        <w:t>omics</w:t>
      </w:r>
      <w:proofErr w:type="spellEnd"/>
      <w:r w:rsidRPr="009E669E">
        <w:rPr>
          <w:rFonts w:ascii="Times New Roman" w:hAnsi="Times New Roman" w:cs="Times New Roman"/>
        </w:rPr>
        <w:t xml:space="preserve"> signatures utilizing massive, large-scale, completely independent clinical cohorts. This is absolutely necessary to confirm their universal diagnostic applicability and true clinical resilience.</w:t>
      </w:r>
    </w:p>
    <w:p w:rsidR="00616761" w:rsidRPr="009E669E" w:rsidRDefault="00530AB9" w:rsidP="00A3695E">
      <w:pPr>
        <w:pStyle w:val="Compact"/>
        <w:numPr>
          <w:ilvl w:val="0"/>
          <w:numId w:val="27"/>
        </w:numPr>
        <w:spacing w:line="360" w:lineRule="auto"/>
        <w:jc w:val="both"/>
        <w:rPr>
          <w:rFonts w:ascii="Times New Roman" w:hAnsi="Times New Roman" w:cs="Times New Roman"/>
        </w:rPr>
      </w:pPr>
      <w:r w:rsidRPr="009E669E">
        <w:rPr>
          <w:rFonts w:ascii="Times New Roman" w:hAnsi="Times New Roman" w:cs="Times New Roman"/>
          <w:b/>
          <w:bCs/>
        </w:rPr>
        <w:t>Spatial and Single-Cell Resolution Integration:</w:t>
      </w:r>
      <w:r w:rsidRPr="009E669E">
        <w:rPr>
          <w:rFonts w:ascii="Times New Roman" w:hAnsi="Times New Roman" w:cs="Times New Roman"/>
        </w:rPr>
        <w:t xml:space="preserve"> Future architectures must aggressively incorporate emerging, ultra-high-resolution technologies. Integrating single-cell RNA sequencing (</w:t>
      </w:r>
      <w:proofErr w:type="spellStart"/>
      <w:r w:rsidRPr="009E669E">
        <w:rPr>
          <w:rFonts w:ascii="Times New Roman" w:hAnsi="Times New Roman" w:cs="Times New Roman"/>
        </w:rPr>
        <w:t>scRNA-seq</w:t>
      </w:r>
      <w:proofErr w:type="spellEnd"/>
      <w:r w:rsidRPr="009E669E">
        <w:rPr>
          <w:rFonts w:ascii="Times New Roman" w:hAnsi="Times New Roman" w:cs="Times New Roman"/>
        </w:rPr>
        <w:t xml:space="preserve">) and advanced spatial </w:t>
      </w:r>
      <w:proofErr w:type="spellStart"/>
      <w:r w:rsidRPr="009E669E">
        <w:rPr>
          <w:rFonts w:ascii="Times New Roman" w:hAnsi="Times New Roman" w:cs="Times New Roman"/>
        </w:rPr>
        <w:t>transcriptomics</w:t>
      </w:r>
      <w:proofErr w:type="spellEnd"/>
      <w:r w:rsidRPr="009E669E">
        <w:rPr>
          <w:rFonts w:ascii="Times New Roman" w:hAnsi="Times New Roman" w:cs="Times New Roman"/>
        </w:rPr>
        <w:t xml:space="preserve"> will allow researchers to map these powerful predictive features at unprecedented cellular resolution, deeply elucidating complex cellular cross-talk and </w:t>
      </w:r>
      <w:proofErr w:type="spellStart"/>
      <w:r w:rsidRPr="009E669E">
        <w:rPr>
          <w:rFonts w:ascii="Times New Roman" w:hAnsi="Times New Roman" w:cs="Times New Roman"/>
        </w:rPr>
        <w:t>microenvironmental</w:t>
      </w:r>
      <w:proofErr w:type="spellEnd"/>
      <w:r w:rsidRPr="009E669E">
        <w:rPr>
          <w:rFonts w:ascii="Times New Roman" w:hAnsi="Times New Roman" w:cs="Times New Roman"/>
        </w:rPr>
        <w:t xml:space="preserve"> interactions [31].</w:t>
      </w:r>
    </w:p>
    <w:p w:rsidR="00616761" w:rsidRPr="009E669E" w:rsidRDefault="00530AB9" w:rsidP="00A3695E">
      <w:pPr>
        <w:pStyle w:val="Compact"/>
        <w:numPr>
          <w:ilvl w:val="0"/>
          <w:numId w:val="27"/>
        </w:numPr>
        <w:spacing w:line="360" w:lineRule="auto"/>
        <w:jc w:val="both"/>
        <w:rPr>
          <w:rFonts w:ascii="Times New Roman" w:hAnsi="Times New Roman" w:cs="Times New Roman"/>
        </w:rPr>
      </w:pPr>
      <w:r w:rsidRPr="009E669E">
        <w:rPr>
          <w:rFonts w:ascii="Times New Roman" w:hAnsi="Times New Roman" w:cs="Times New Roman"/>
          <w:b/>
          <w:bCs/>
        </w:rPr>
        <w:t>Dynamic Liquid Biopsies:</w:t>
      </w:r>
      <w:r w:rsidRPr="009E669E">
        <w:rPr>
          <w:rFonts w:ascii="Times New Roman" w:hAnsi="Times New Roman" w:cs="Times New Roman"/>
        </w:rPr>
        <w:t xml:space="preserve"> The advanced Late Fusion architecture is ideally suited for adaptation to dynamic, longitudinal data integration. Future frameworks should focus on integrating time-series data from circulating tumor DNA (</w:t>
      </w:r>
      <w:proofErr w:type="spellStart"/>
      <w:r w:rsidRPr="009E669E">
        <w:rPr>
          <w:rFonts w:ascii="Times New Roman" w:hAnsi="Times New Roman" w:cs="Times New Roman"/>
        </w:rPr>
        <w:t>ctDNA</w:t>
      </w:r>
      <w:proofErr w:type="spellEnd"/>
      <w:r w:rsidRPr="009E669E">
        <w:rPr>
          <w:rFonts w:ascii="Times New Roman" w:hAnsi="Times New Roman" w:cs="Times New Roman"/>
        </w:rPr>
        <w:t>) liquid biopsies, enabling the real-time, non-invasive monitoring of rapid clonal evolution and emerging therapeutic resistance mechanisms [32].</w:t>
      </w:r>
    </w:p>
    <w:p w:rsidR="00616761" w:rsidRPr="009E669E" w:rsidRDefault="00530AB9" w:rsidP="00A3695E">
      <w:pPr>
        <w:pStyle w:val="Compact"/>
        <w:numPr>
          <w:ilvl w:val="0"/>
          <w:numId w:val="27"/>
        </w:numPr>
        <w:spacing w:line="360" w:lineRule="auto"/>
        <w:jc w:val="both"/>
        <w:rPr>
          <w:rFonts w:ascii="Times New Roman" w:hAnsi="Times New Roman" w:cs="Times New Roman"/>
        </w:rPr>
      </w:pPr>
      <w:r w:rsidRPr="009E669E">
        <w:rPr>
          <w:rFonts w:ascii="Times New Roman" w:hAnsi="Times New Roman" w:cs="Times New Roman"/>
          <w:b/>
          <w:bCs/>
        </w:rPr>
        <w:t>Comprehensive Multi-Class Expansion:</w:t>
      </w:r>
      <w:r w:rsidRPr="009E669E">
        <w:rPr>
          <w:rFonts w:ascii="Times New Roman" w:hAnsi="Times New Roman" w:cs="Times New Roman"/>
        </w:rPr>
        <w:t xml:space="preserve"> The analytical framework must be systematically refined and expanded to encompass the comprehensive, multi-class differentiation of the diverse PAM50 intrinsic molecular subtypes (Luminal A, Luminal B, </w:t>
      </w:r>
      <w:proofErr w:type="gramStart"/>
      <w:r w:rsidRPr="009E669E">
        <w:rPr>
          <w:rFonts w:ascii="Times New Roman" w:hAnsi="Times New Roman" w:cs="Times New Roman"/>
        </w:rPr>
        <w:t>HER2</w:t>
      </w:r>
      <w:proofErr w:type="gramEnd"/>
      <w:r w:rsidRPr="009E669E">
        <w:rPr>
          <w:rFonts w:ascii="Times New Roman" w:hAnsi="Times New Roman" w:cs="Times New Roman"/>
        </w:rPr>
        <w:t>-enriched, Basal-like). This expansion is essential to guide highly personalized, comprehensive therapeutic regimens tailored precisely to the complete molecular portrait of the individual tumor.</w:t>
      </w:r>
    </w:p>
    <w:p w:rsidR="00616761" w:rsidRPr="009E669E" w:rsidRDefault="00616761" w:rsidP="00A3695E">
      <w:pPr>
        <w:pStyle w:val="FirstParagraph"/>
        <w:spacing w:line="360" w:lineRule="auto"/>
        <w:jc w:val="both"/>
        <w:rPr>
          <w:rFonts w:ascii="Times New Roman" w:hAnsi="Times New Roman" w:cs="Times New Roman"/>
        </w:rPr>
      </w:pPr>
    </w:p>
    <w:p w:rsidR="00CC2E29" w:rsidRPr="009E669E" w:rsidRDefault="00CC2E29" w:rsidP="00A3695E">
      <w:pPr>
        <w:pStyle w:val="BodyText"/>
        <w:spacing w:line="360" w:lineRule="auto"/>
        <w:jc w:val="both"/>
        <w:rPr>
          <w:rFonts w:ascii="Times New Roman" w:hAnsi="Times New Roman" w:cs="Times New Roman"/>
        </w:rPr>
      </w:pPr>
    </w:p>
    <w:p w:rsidR="00CC2E29" w:rsidRPr="009E669E" w:rsidRDefault="00CC2E29" w:rsidP="00A3695E">
      <w:pPr>
        <w:pStyle w:val="BodyText"/>
        <w:spacing w:line="360" w:lineRule="auto"/>
        <w:jc w:val="both"/>
        <w:rPr>
          <w:rFonts w:ascii="Times New Roman" w:hAnsi="Times New Roman" w:cs="Times New Roman"/>
        </w:rPr>
      </w:pPr>
    </w:p>
    <w:p w:rsidR="00CC2E29" w:rsidRPr="009E669E" w:rsidRDefault="00CC2E29" w:rsidP="00A3695E">
      <w:pPr>
        <w:pStyle w:val="BodyText"/>
        <w:spacing w:line="360" w:lineRule="auto"/>
        <w:jc w:val="both"/>
        <w:rPr>
          <w:rFonts w:ascii="Times New Roman" w:hAnsi="Times New Roman" w:cs="Times New Roman"/>
          <w:b/>
        </w:rPr>
      </w:pPr>
    </w:p>
    <w:p w:rsidR="00CC2E29" w:rsidRPr="009E669E" w:rsidRDefault="00CC2E29" w:rsidP="00A3695E">
      <w:pPr>
        <w:pStyle w:val="BodyText"/>
        <w:spacing w:line="360" w:lineRule="auto"/>
        <w:jc w:val="both"/>
        <w:rPr>
          <w:rFonts w:ascii="Times New Roman" w:hAnsi="Times New Roman" w:cs="Times New Roman"/>
          <w:b/>
        </w:rPr>
      </w:pPr>
    </w:p>
    <w:p w:rsidR="00616761" w:rsidRPr="009E669E" w:rsidRDefault="00530AB9" w:rsidP="00A3695E">
      <w:pPr>
        <w:pStyle w:val="BodyText"/>
        <w:spacing w:line="360" w:lineRule="auto"/>
        <w:jc w:val="both"/>
        <w:rPr>
          <w:rFonts w:ascii="Times New Roman" w:hAnsi="Times New Roman" w:cs="Times New Roman"/>
          <w:b/>
        </w:rPr>
      </w:pPr>
      <w:r w:rsidRPr="009E669E">
        <w:rPr>
          <w:rFonts w:ascii="Times New Roman" w:hAnsi="Times New Roman" w:cs="Times New Roman"/>
          <w:b/>
        </w:rPr>
        <w:lastRenderedPageBreak/>
        <w:t>References</w:t>
      </w:r>
    </w:p>
    <w:bookmarkEnd w:id="36"/>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 J. M. Halbleib and W. J. Nelson, "Cadherins in development: cell adhesion, sorting, and tissue morphogenesis," Genes &amp; Development, vol. 20, no. 23, pp. 3199-3214, 2006.</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 P. Kaur et al., "E-cadherin as a robust diagnostic biomarker in invasive lobular carcinoma," Breast Cancer Research, vol. 18, no. 1, p. 102, 2016.</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 S. A. Joosse, "Epigenetic regulation of E-cadherin in breast cancer progression," Clinical Epigenetics, vol. 8, no. 1, p. 55, 2016.</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[4] T. W. R. et al., "Multi-omics integration reveals spatial mapping of epigenetic and proteomic landscapes," Nature Communications, vol. 12, p. 2341, 2021.</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[5] J. G. Herman and S. B. Baylin, "Gene silencing in cancer in association with promoter hypermethylation," New England Journal of Medicine, vol. 349, no. 21, pp. 2042-2054, 2003.</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[6] C. Curtis et al., "The genomic and transcriptomic architecture of 2,000 breast tumours reveals novel subgroups," Nature, vol. 486, no. 7403, pp. 346-352, 2012.</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[7] M. Kanehisa et al., "KEGG: integrating viruses and cellular organisms," Nucleic Acids Research, vol. 49, no. D1, pp. D545-D551, 2021.</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[8] K. E. H. et al., "Lipid metabolism in breast cancer," Cancer Letters, vol. 450, pp. 58-69, 2019.</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[9] D. T. Bishop et al., "PPAR signaling and its role in oncology," Cell Death &amp; Disease, vol. 9, no. 2, p. 112, 2018.</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[10] S. P. et al., "ACADL promotes tumor progression in breast cancer via fatty acid oxidation," Metabolism, vol. 104, p. 154133, 2020.</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[11] L. J. E. et al., "MMP1 in the tumor microenvironment: a key player in metastasis," Cancer Research, vol. 78, no. 14, pp. 3810-3820, 2018.</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[12] H. A. et al., "Aquaporin 7 and glycerol transport in cancer cell metabolism," Molecular Cancer Research, vol. 17, no. 5, pp. 1051-1061, 2019.</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lastRenderedPageBreak/>
        <w:t>[13] M. R. et al., "HMGCS2-mediated ketogenesis in cancer survival," Cell Reports, vol. 27, no. 12, pp. 3505-3518, 2019.</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[14] L. A. Garraway et al., "Precision oncology: an overview," Journal of Clinical Oncology, vol. 31, no. 15, pp. 1803-1805, 2013.</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[15] C. B. et al., "Clinical management of invasive lobular carcinoma," Lancet Oncology, vol. 16, no. 10, pp. e492-e501, 2015.</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[16] P. J. et al., "Metabolic vulnerabilities as therapeutic targets in cancer," Nature Reviews Drug Discovery, vol. 18, no. 11, pp. 825-841, 2019.</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[17] S. M. Lundberg and S. I. Lee, "A unified approach to interpreting model predictions," Advances in Neural Information Processing Systems, vol. 30, 2017.</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[18] G. Ke et al., "LightGBM: A highly efficient gradient boosting decision tree," Advances in Neural Information Processing Systems, vol. 30, 2017.</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[19] R. A. et al., "Data integration in multi-omics networks," Bioinformatics, vol. 35, no. 14, pp. i157-i166, 2019.</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[20] C. G. et al., "Cross-validation strategies for data with multiple hierarchical levels," Machine Learning, vol. 107, no. 11, pp. 1759-1784, 2018.</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[21] J. P. et al., "Proteomic density and predictive modeling," Nature Methods, vol. 17, no. 6, pp. 605-612, 2020.</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[22] A. R. et al., "Stability of feature selection in biological datasets," IEEE/ACM Transactions on Computational Biology and Bioinformatics, vol. 15, no. 4, pp. 1234-1245, 2018.</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[23] Y. B. et al., "Late fusion techniques in multimodal machine learning," IEEE Transactions on Pattern Analysis and Machine Intelligence, vol. 41, no. 9, pp. 2200-2215, 2019.</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[24] S. V. et al., "Nested cross-validation when selecting classifiers," Pattern Recognition Letters, vol. 27, no. 12, pp. 1381-1393, 2</w:t>
      </w:r>
      <w:bookmarkStart w:id="37" w:name="_GoBack"/>
      <w:bookmarkEnd w:id="37"/>
      <w:r w:rsidRPr="009E669E">
        <w:rPr>
          <w:rFonts w:ascii="Times New Roman" w:hAnsi="Times New Roman" w:cs="Times New Roman"/>
        </w:rPr>
        <w:t>006.</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lastRenderedPageBreak/>
        <w:t>[25] D. W. et al., "Interpretable machine learning in healthcare," Nature Medicine, vol. 26, no. 1, pp. 13-15, 2020.</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[26] A. H. et al., "Trust in medical AI: the role of explainability," Journal of Medical Internet Research, vol. 22, no. 6, e17395, 2020.</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[27] The Cancer Genome Atlas Network, "Comprehensive molecular portraits of human breast tumours," Nature, vol. 490, no. 7418, pp. 61-70, 2012.</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[28] E. A. et al., "The necessity of external validation in medical machine learning," The Lancet Digital Health, vol. 2, no. 8, pp. e394-e395, 2020.</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[29] A. Z. et al., "Tumor heterogeneity and single-cell sequencing," Cell, vol. 177, no. 4, pp. 836-848, 2019.</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[30] C. M. Perou et al., "Molecular portraits of human breast tumours," Nature, vol. 406, no. 6797, pp. 747-752, 2000.</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[31] S. T. et al., "Spatial transcriptomics: a review," Science, vol. 370, no. 6516, eabb9393, 2020.</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[32] N. D. et al., "Liquid biopsies in precision oncology," Nature Reviews Clinical Oncology, vol. 16, no. 7, pp. 413-426, 2019.</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[33] N. V. Chawla et al., "SMOTE: synthetic minority over-sampling technique," Journal of artificial intelligence research, vol. 16, pp. 321-357, 2002.</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[34] T. Chen and C. Guestrin, "XGBoost: A Scalable Tree Boosting System," in Proceedings of the 22nd ACM SIGKDD International Conference on Knowledge Discovery and Data Mining, 2016.</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[35] M. T. Ribeiro et al., "Why should I trust you? Explaining the predictions of any classifier," in Proceedings of the 22nd ACM SIGKDD International Conference, 2016.</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[36] H. Peng et al., "Feature selection based on mutual information criteria of max-dependency, max-relevance, and min-redundancy," IEEE Transactions on Pattern Analysis and Machine Intelligence, 2005.</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lastRenderedPageBreak/>
        <w:t>[37] D. H. Wolpert, "Stacked generalization," Neural Networks, vol. 5, no. 2, pp. 241-259, 1992.</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[38] C. Nadeau and Y. Bengio, "Inference for the generalization error," Machine Learning, vol. 52, no. 3, pp. 239-281, 2003.</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[39] L. Picard et al., "Benchmarking deep learning architectures for structured clinical data," Bioinformatics, 2021.</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[40] J. Warner et al., "Data leakage in machine learning for healthcare," JAMA Network Open, 2017.</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[41] H. He et al., "ADASYN: Adaptive synthetic sampling approach for imbalanced learning," in IEEE International Joint Conference on Neural Networks, 2008.</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[42] G. Lemaitre et al., "Imbalanced-learn: A Python Toolbox to Tackle the Curse of Imbalanced Datasets in Machine Learning," Journal of Machine Learning Research, vol. 18, pp. 1-5, 2017.</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[43] G. Ciriello et al., "Comprehensive molecular portraits of invasive lobular breast cancer", Cell, 2015.</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[44] O. Gevaert et al., "Multi-omics data integration in oncology", 2018.</w:t>
      </w:r>
    </w:p>
    <w:p w:rsidR="00B52AE3" w:rsidRPr="009E669E" w:rsidRDefault="00A3695E" w:rsidP="00A3695E">
      <w:pPr>
        <w:spacing w:line="360" w:lineRule="auto"/>
        <w:jc w:val="both"/>
        <w:rPr>
          <w:rFonts w:ascii="Times New Roman" w:hAnsi="Times New Roman" w:cs="Times New Roman"/>
        </w:rPr>
      </w:pPr>
      <w:r w:rsidRPr="009E669E">
        <w:rPr>
          <w:rFonts w:ascii="Times New Roman" w:hAnsi="Times New Roman" w:cs="Times New Roman"/>
        </w:rPr>
        <w:t>[45] Baria et al., "Consensus filtering strategies for robust biomarker discovery", 2024.</w:t>
      </w:r>
    </w:p>
    <w:sectPr w:rsidR="00B52AE3" w:rsidRPr="009E669E">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620A" w:rsidRDefault="009A620A" w:rsidP="00A8008A">
      <w:pPr>
        <w:spacing w:after="0"/>
      </w:pPr>
      <w:r>
        <w:separator/>
      </w:r>
    </w:p>
  </w:endnote>
  <w:endnote w:type="continuationSeparator" w:id="0">
    <w:p w:rsidR="009A620A" w:rsidRDefault="009A620A" w:rsidP="00A800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620A" w:rsidRDefault="009A620A" w:rsidP="00A8008A">
      <w:pPr>
        <w:spacing w:after="0"/>
      </w:pPr>
      <w:r>
        <w:separator/>
      </w:r>
    </w:p>
  </w:footnote>
  <w:footnote w:type="continuationSeparator" w:id="0">
    <w:p w:rsidR="009A620A" w:rsidRDefault="009A620A" w:rsidP="00A8008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0C9E57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141857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E04C66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3B3"/>
    <w:rsid w:val="00075269"/>
    <w:rsid w:val="001073B3"/>
    <w:rsid w:val="0012629C"/>
    <w:rsid w:val="00182633"/>
    <w:rsid w:val="001B37E3"/>
    <w:rsid w:val="002A4639"/>
    <w:rsid w:val="002A590E"/>
    <w:rsid w:val="002B7C48"/>
    <w:rsid w:val="002D122D"/>
    <w:rsid w:val="00350644"/>
    <w:rsid w:val="003727B7"/>
    <w:rsid w:val="003E22F0"/>
    <w:rsid w:val="003E3D18"/>
    <w:rsid w:val="0047136C"/>
    <w:rsid w:val="00530AB9"/>
    <w:rsid w:val="00545F2E"/>
    <w:rsid w:val="00616761"/>
    <w:rsid w:val="0071394C"/>
    <w:rsid w:val="007550AF"/>
    <w:rsid w:val="008053A2"/>
    <w:rsid w:val="00806814"/>
    <w:rsid w:val="008D5018"/>
    <w:rsid w:val="009406FE"/>
    <w:rsid w:val="009408DE"/>
    <w:rsid w:val="009A620A"/>
    <w:rsid w:val="009E669E"/>
    <w:rsid w:val="009F3B23"/>
    <w:rsid w:val="00A07239"/>
    <w:rsid w:val="00A149D2"/>
    <w:rsid w:val="00A3695E"/>
    <w:rsid w:val="00A8008A"/>
    <w:rsid w:val="00B52AE3"/>
    <w:rsid w:val="00BE5554"/>
    <w:rsid w:val="00BE767C"/>
    <w:rsid w:val="00C250AF"/>
    <w:rsid w:val="00CC2E29"/>
    <w:rsid w:val="00D61E15"/>
    <w:rsid w:val="00E16CA8"/>
    <w:rsid w:val="00F45EB2"/>
    <w:rsid w:val="00F81FE1"/>
    <w:rsid w:val="00F84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lsdException w:name="heading 1" w:uiPriority="9" w:qFormat="1"/>
    <w:lsdException w:name="heading 2" w:uiPriority="9" w:qFormat="1"/>
    <w:lsdException w:name="Body Text" w:qFormat="1"/>
    <w:lsdException w:name="Emphasis" w:uiPriority="20" w:qFormat="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71394C"/>
    <w:pPr>
      <w:spacing w:after="0"/>
    </w:pPr>
    <w:rPr>
      <w:rFonts w:ascii="Tahoma" w:hAnsi="Tahoma" w:cs="Tahoma"/>
      <w:sz w:val="16"/>
      <w:szCs w:val="16"/>
    </w:rPr>
  </w:style>
  <w:style w:type="character" w:customStyle="1" w:styleId="BalloonTextChar">
    <w:name w:val="Balloon Text Char"/>
    <w:basedOn w:val="DefaultParagraphFont"/>
    <w:link w:val="BalloonText"/>
    <w:rsid w:val="0071394C"/>
    <w:rPr>
      <w:rFonts w:ascii="Tahoma" w:hAnsi="Tahoma" w:cs="Tahoma"/>
      <w:sz w:val="16"/>
      <w:szCs w:val="16"/>
    </w:rPr>
  </w:style>
  <w:style w:type="paragraph" w:styleId="Header">
    <w:name w:val="header"/>
    <w:basedOn w:val="Normal"/>
    <w:link w:val="HeaderChar"/>
    <w:rsid w:val="00A8008A"/>
    <w:pPr>
      <w:tabs>
        <w:tab w:val="center" w:pos="4680"/>
        <w:tab w:val="right" w:pos="9360"/>
      </w:tabs>
      <w:spacing w:after="0"/>
    </w:pPr>
  </w:style>
  <w:style w:type="character" w:customStyle="1" w:styleId="HeaderChar">
    <w:name w:val="Header Char"/>
    <w:basedOn w:val="DefaultParagraphFont"/>
    <w:link w:val="Header"/>
    <w:rsid w:val="00A8008A"/>
  </w:style>
  <w:style w:type="paragraph" w:styleId="Footer">
    <w:name w:val="footer"/>
    <w:basedOn w:val="Normal"/>
    <w:link w:val="FooterChar"/>
    <w:rsid w:val="00A8008A"/>
    <w:pPr>
      <w:tabs>
        <w:tab w:val="center" w:pos="4680"/>
        <w:tab w:val="right" w:pos="9360"/>
      </w:tabs>
      <w:spacing w:after="0"/>
    </w:pPr>
  </w:style>
  <w:style w:type="character" w:customStyle="1" w:styleId="FooterChar">
    <w:name w:val="Footer Char"/>
    <w:basedOn w:val="DefaultParagraphFont"/>
    <w:link w:val="Footer"/>
    <w:rsid w:val="00A8008A"/>
  </w:style>
  <w:style w:type="character" w:customStyle="1" w:styleId="BodyTextChar">
    <w:name w:val="Body Text Char"/>
    <w:basedOn w:val="DefaultParagraphFont"/>
    <w:link w:val="BodyText"/>
    <w:rsid w:val="00A8008A"/>
  </w:style>
  <w:style w:type="paragraph" w:customStyle="1" w:styleId="font-claude-response-body">
    <w:name w:val="font-claude-response-body"/>
    <w:basedOn w:val="Normal"/>
    <w:rsid w:val="00F45EB2"/>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F45EB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lsdException w:name="heading 1" w:uiPriority="9" w:qFormat="1"/>
    <w:lsdException w:name="heading 2" w:uiPriority="9" w:qFormat="1"/>
    <w:lsdException w:name="Body Text" w:qFormat="1"/>
    <w:lsdException w:name="Emphasis" w:uiPriority="20" w:qFormat="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71394C"/>
    <w:pPr>
      <w:spacing w:after="0"/>
    </w:pPr>
    <w:rPr>
      <w:rFonts w:ascii="Tahoma" w:hAnsi="Tahoma" w:cs="Tahoma"/>
      <w:sz w:val="16"/>
      <w:szCs w:val="16"/>
    </w:rPr>
  </w:style>
  <w:style w:type="character" w:customStyle="1" w:styleId="BalloonTextChar">
    <w:name w:val="Balloon Text Char"/>
    <w:basedOn w:val="DefaultParagraphFont"/>
    <w:link w:val="BalloonText"/>
    <w:rsid w:val="0071394C"/>
    <w:rPr>
      <w:rFonts w:ascii="Tahoma" w:hAnsi="Tahoma" w:cs="Tahoma"/>
      <w:sz w:val="16"/>
      <w:szCs w:val="16"/>
    </w:rPr>
  </w:style>
  <w:style w:type="paragraph" w:styleId="Header">
    <w:name w:val="header"/>
    <w:basedOn w:val="Normal"/>
    <w:link w:val="HeaderChar"/>
    <w:rsid w:val="00A8008A"/>
    <w:pPr>
      <w:tabs>
        <w:tab w:val="center" w:pos="4680"/>
        <w:tab w:val="right" w:pos="9360"/>
      </w:tabs>
      <w:spacing w:after="0"/>
    </w:pPr>
  </w:style>
  <w:style w:type="character" w:customStyle="1" w:styleId="HeaderChar">
    <w:name w:val="Header Char"/>
    <w:basedOn w:val="DefaultParagraphFont"/>
    <w:link w:val="Header"/>
    <w:rsid w:val="00A8008A"/>
  </w:style>
  <w:style w:type="paragraph" w:styleId="Footer">
    <w:name w:val="footer"/>
    <w:basedOn w:val="Normal"/>
    <w:link w:val="FooterChar"/>
    <w:rsid w:val="00A8008A"/>
    <w:pPr>
      <w:tabs>
        <w:tab w:val="center" w:pos="4680"/>
        <w:tab w:val="right" w:pos="9360"/>
      </w:tabs>
      <w:spacing w:after="0"/>
    </w:pPr>
  </w:style>
  <w:style w:type="character" w:customStyle="1" w:styleId="FooterChar">
    <w:name w:val="Footer Char"/>
    <w:basedOn w:val="DefaultParagraphFont"/>
    <w:link w:val="Footer"/>
    <w:rsid w:val="00A8008A"/>
  </w:style>
  <w:style w:type="character" w:customStyle="1" w:styleId="BodyTextChar">
    <w:name w:val="Body Text Char"/>
    <w:basedOn w:val="DefaultParagraphFont"/>
    <w:link w:val="BodyText"/>
    <w:rsid w:val="00A8008A"/>
  </w:style>
  <w:style w:type="paragraph" w:customStyle="1" w:styleId="font-claude-response-body">
    <w:name w:val="font-claude-response-body"/>
    <w:basedOn w:val="Normal"/>
    <w:rsid w:val="00F45EB2"/>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F45E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048375">
      <w:bodyDiv w:val="1"/>
      <w:marLeft w:val="0"/>
      <w:marRight w:val="0"/>
      <w:marTop w:val="0"/>
      <w:marBottom w:val="0"/>
      <w:divBdr>
        <w:top w:val="none" w:sz="0" w:space="0" w:color="auto"/>
        <w:left w:val="none" w:sz="0" w:space="0" w:color="auto"/>
        <w:bottom w:val="none" w:sz="0" w:space="0" w:color="auto"/>
        <w:right w:val="none" w:sz="0" w:space="0" w:color="auto"/>
      </w:divBdr>
    </w:div>
    <w:div w:id="1170297577">
      <w:bodyDiv w:val="1"/>
      <w:marLeft w:val="0"/>
      <w:marRight w:val="0"/>
      <w:marTop w:val="0"/>
      <w:marBottom w:val="0"/>
      <w:divBdr>
        <w:top w:val="none" w:sz="0" w:space="0" w:color="auto"/>
        <w:left w:val="none" w:sz="0" w:space="0" w:color="auto"/>
        <w:bottom w:val="none" w:sz="0" w:space="0" w:color="auto"/>
        <w:right w:val="none" w:sz="0" w:space="0" w:color="auto"/>
      </w:divBdr>
    </w:div>
    <w:div w:id="2140607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24777</Words>
  <Characters>141230</Characters>
  <Application>Microsoft Office Word</Application>
  <DocSecurity>0</DocSecurity>
  <Lines>1176</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kcv4373001</dc:creator>
  <cp:lastModifiedBy>kcv4373001</cp:lastModifiedBy>
  <cp:revision>4</cp:revision>
  <cp:lastPrinted>2026-08-02T22:27:00Z</cp:lastPrinted>
  <dcterms:created xsi:type="dcterms:W3CDTF">2026-08-02T22:27:00Z</dcterms:created>
  <dcterms:modified xsi:type="dcterms:W3CDTF">2026-08-02T22:27:00Z</dcterms:modified>
</cp:coreProperties>
</file>