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2B334">
      <w:pPr>
        <w:spacing w:before="120" w:after="200"/>
        <w:jc w:val="center"/>
      </w:pPr>
      <w:r>
        <w:rPr>
          <w:rFonts w:ascii="Times New Roman" w:hAnsi="Times New Roman" w:eastAsia="黑体"/>
          <w:b/>
          <w:color w:val="1F3864"/>
          <w:sz w:val="34"/>
        </w:rPr>
        <w:t>Cell-type-specific plasticity preserves real-time gradient coding in a small spiking-circuit model of chemotaxis</w:t>
      </w:r>
    </w:p>
    <w:p w14:paraId="79269E48">
      <w:pPr>
        <w:jc w:val="both"/>
      </w:pPr>
      <w:r>
        <w:rPr>
          <w:rFonts w:ascii="Times New Roman" w:hAnsi="Times New Roman" w:eastAsia="宋体"/>
          <w:b/>
        </w:rPr>
        <w:t>A falsifiable test of whether distributing distinct learning rules across cell types outperforms a single shared rule</w:t>
      </w:r>
    </w:p>
    <w:p w14:paraId="1E6B332E">
      <w:pPr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/>
        </w:rPr>
        <w:t>Author:</w:t>
      </w:r>
      <w:r>
        <w:rPr>
          <w:rFonts w:ascii="Times New Roman" w:hAnsi="Times New Roman" w:eastAsia="宋体"/>
        </w:rPr>
        <w:t xml:space="preserve"> </w:t>
      </w:r>
      <w:r>
        <w:rPr>
          <w:rFonts w:hint="eastAsia"/>
          <w:lang w:val="en-US" w:eastAsia="zh-CN"/>
        </w:rPr>
        <w:t>Qianrui Wang、Jiaqi Tu、Xuele Dong、Shaoji Zhan</w:t>
      </w:r>
      <w:bookmarkStart w:id="0" w:name="_GoBack"/>
      <w:bookmarkEnd w:id="0"/>
      <w:r>
        <w:rPr>
          <w:rFonts w:hint="eastAsia"/>
          <w:lang w:val="en-US" w:eastAsia="zh-CN"/>
        </w:rPr>
        <w:t>、Yunlin Xia、Wenxuan Zhang</w:t>
      </w:r>
    </w:p>
    <w:p w14:paraId="74132A63">
      <w:pPr>
        <w:pStyle w:val="3"/>
      </w:pPr>
      <w:r>
        <w:rPr>
          <w:rFonts w:ascii="Times New Roman" w:hAnsi="Times New Roman" w:eastAsia="黑体"/>
        </w:rPr>
        <w:t>Abstract</w:t>
      </w:r>
    </w:p>
    <w:p w14:paraId="71AA593B">
      <w:pPr>
        <w:jc w:val="both"/>
      </w:pPr>
      <w:r>
        <w:rPr>
          <w:rFonts w:ascii="Times New Roman" w:hAnsi="Times New Roman" w:eastAsia="宋体"/>
        </w:rPr>
        <w:t xml:space="preserve">Biological circuits are built from many molecularly distinct cell types, and the plasticity each expresses is likewise cell-type-specific. Whether </w:t>
      </w:r>
      <w:r>
        <w:rPr>
          <w:rFonts w:ascii="Times New Roman" w:hAnsi="Times New Roman" w:eastAsia="宋体"/>
          <w:i/>
        </w:rPr>
        <w:t>distributing distinct plasticity rules across cell types</w:t>
      </w:r>
      <w:r>
        <w:rPr>
          <w:rFonts w:ascii="Times New Roman" w:hAnsi="Times New Roman" w:eastAsia="宋体"/>
        </w:rPr>
        <w:t xml:space="preserve"> (heterogeneous assignment) confers a computational advantage over </w:t>
      </w:r>
      <w:r>
        <w:rPr>
          <w:rFonts w:ascii="Times New Roman" w:hAnsi="Times New Roman" w:eastAsia="宋体"/>
          <w:i/>
        </w:rPr>
        <w:t>the same single rule applied everywhere</w:t>
      </w:r>
      <w:r>
        <w:rPr>
          <w:rFonts w:ascii="Times New Roman" w:hAnsi="Times New Roman" w:eastAsia="宋体"/>
        </w:rPr>
        <w:t xml:space="preserve"> (homogeneous assignment) is difficult to test, because the advantage can be masked by how the network's output is later read out. Here we present a small, fully reproducible spiking-network model of </w:t>
      </w:r>
      <w:r>
        <w:rPr>
          <w:rFonts w:ascii="Times New Roman" w:hAnsi="Times New Roman" w:eastAsia="宋体"/>
          <w:i/>
        </w:rPr>
        <w:t>Caenorhabditis elegans</w:t>
      </w:r>
      <w:r>
        <w:rPr>
          <w:rFonts w:ascii="Times New Roman" w:hAnsi="Times New Roman" w:eastAsia="宋体"/>
        </w:rPr>
        <w:t xml:space="preserve">-style chemotaxis in which this question is made falsifiable. A 34-cell leaky-integrate-and-fire network (8 fixed receptors + 5 plastic cell types) navigates a Gaussian food patch; its performance is read out in two ways — an </w:t>
      </w:r>
      <w:r>
        <w:rPr>
          <w:rFonts w:ascii="Times New Roman" w:hAnsi="Times New Roman" w:eastAsia="宋体"/>
          <w:i/>
        </w:rPr>
        <w:t>ideal cached lookup</w:t>
      </w:r>
      <w:r>
        <w:rPr>
          <w:rFonts w:ascii="Times New Roman" w:hAnsi="Times New Roman" w:eastAsia="宋体"/>
        </w:rPr>
        <w:t xml:space="preserve"> of the learned concentration→value map, and a </w:t>
      </w:r>
      <w:r>
        <w:rPr>
          <w:rFonts w:ascii="Times New Roman" w:hAnsi="Times New Roman" w:eastAsia="宋体"/>
          <w:i/>
        </w:rPr>
        <w:t>continuous real-time spiking</w:t>
      </w:r>
      <w:r>
        <w:rPr>
          <w:rFonts w:ascii="Times New Roman" w:hAnsi="Times New Roman" w:eastAsia="宋体"/>
        </w:rPr>
        <w:t xml:space="preserve"> readout that the network must compute online. We compare three conditions: heterogeneous assignment (each cell type receives the rule best suited to its computational role), homogeneous assignment (all cells share one rule), and a </w:t>
      </w:r>
      <w:r>
        <w:rPr>
          <w:rFonts w:ascii="Times New Roman" w:hAnsi="Times New Roman" w:eastAsia="宋体"/>
          <w:i/>
        </w:rPr>
        <w:t>shuffled ablation</w:t>
      </w:r>
      <w:r>
        <w:rPr>
          <w:rFonts w:ascii="Times New Roman" w:hAnsi="Times New Roman" w:eastAsia="宋体"/>
        </w:rPr>
        <w:t xml:space="preserve"> (the same diverse set of rules is randomly reassigned to cell types). Under continuous readout, heterogeneous assignment dramatically outperforms homogeneous assignment on all four behavioral metrics (e.g., food-zone endpoint hit: +0.84 vs −0.64; direction pass-rate 0.83 vs 0.03; all contrasts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&lt; 10⁻⁷). The mechanism is mechanistic, not hand-tuned: the single shared reward-modulated rule drives the entire network into saturation, flattening the concentration→value map and eliminating the gradient signal the worm turns by; heterogeneous assignment keeps concentration discriminable through BCM-style sensory selectivity and homeostatic motor stabilization. The shuffled ablation reveals that, at this scale, the advantage is attributable to rule </w:t>
      </w:r>
      <w:r>
        <w:rPr>
          <w:rFonts w:ascii="Times New Roman" w:hAnsi="Times New Roman" w:eastAsia="宋体"/>
          <w:i/>
        </w:rPr>
        <w:t>diversity</w:t>
      </w:r>
      <w:r>
        <w:rPr>
          <w:rFonts w:ascii="Times New Roman" w:hAnsi="Times New Roman" w:eastAsia="宋体"/>
        </w:rPr>
        <w:t xml:space="preserve"> rather than the specific type→rule mapping. Under cached readout the gap collapses entirely. We conclude that heterogeneous plasticity is a genuine, mechanistic advantage for </w:t>
      </w:r>
      <w:r>
        <w:rPr>
          <w:rFonts w:ascii="Times New Roman" w:hAnsi="Times New Roman" w:eastAsia="宋体"/>
          <w:i/>
        </w:rPr>
        <w:t>real-time</w:t>
      </w:r>
      <w:r>
        <w:rPr>
          <w:rFonts w:ascii="Times New Roman" w:hAnsi="Times New Roman" w:eastAsia="宋体"/>
        </w:rPr>
        <w:t xml:space="preserve"> computation, and we sharpen the hypothesis — the specificity of the mapping should emerge in larger, richer connectomes.</w:t>
      </w:r>
    </w:p>
    <w:p w14:paraId="11E3ED45">
      <w:pPr>
        <w:jc w:val="both"/>
      </w:pPr>
      <w:r>
        <w:rPr>
          <w:rFonts w:ascii="Times New Roman" w:hAnsi="Times New Roman" w:eastAsia="宋体"/>
          <w:b/>
        </w:rPr>
        <w:t>Keywords:</w:t>
      </w:r>
      <w:r>
        <w:rPr>
          <w:rFonts w:ascii="Times New Roman" w:hAnsi="Times New Roman" w:eastAsia="宋体"/>
        </w:rPr>
        <w:t xml:space="preserve"> cell-type-specific plasticity, spiking neural networks, chemotaxis,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>, BCM, reward-modulated STDP, homeostatic plasticity, network saturation, emergent behavior</w:t>
      </w:r>
    </w:p>
    <w:p w14:paraId="586A8EDB">
      <w:pPr>
        <w:pStyle w:val="3"/>
      </w:pPr>
      <w:r>
        <w:rPr>
          <w:rFonts w:ascii="Times New Roman" w:hAnsi="Times New Roman" w:eastAsia="黑体"/>
        </w:rPr>
        <w:t>1. Introduction</w:t>
      </w:r>
    </w:p>
    <w:p w14:paraId="4E0E983D">
      <w:pPr>
        <w:jc w:val="both"/>
      </w:pPr>
      <w:r>
        <w:rPr>
          <w:rFonts w:ascii="Times New Roman" w:hAnsi="Times New Roman" w:eastAsia="宋体"/>
        </w:rPr>
        <w:t xml:space="preserve">A defining feature of nervous systems is that they are not homogeneous. Even in the compact nervous system of the nematode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 xml:space="preserve"> — 302 neurons, completely mapped (White et al., 1986; Cook et al., 2019) — cells fall into over a hundred transcriptionally and morphologically distinct classes, each expressing a particular complement of ion channels, neurotransmitters, receptors, and plasticity-related molecules (Bargmann, 2006; Marder &amp; Goaillard, 2006). The forms of plasticity a neuron can express are correspondingly diverse: spike-timing-dependent and voltage-dependent Hebbian rules, reward- or neuromodulator-gated "three-factor" rules, sliding-threshold selectivity rules such as BCM, and homeostatic mechanisms that stabilize firing (Bienenstock et al., 1982; Bi &amp; Poo, 2001; Turrigiano et al., 1998; Frémaux &amp; Gerstner, 2016; Gerstner et al., 2018).</w:t>
      </w:r>
    </w:p>
    <w:p w14:paraId="7939ADC1">
      <w:pPr>
        <w:jc w:val="both"/>
      </w:pPr>
      <w:r>
        <w:rPr>
          <w:rFonts w:ascii="Times New Roman" w:hAnsi="Times New Roman" w:eastAsia="宋体"/>
        </w:rPr>
        <w:t xml:space="preserve">This biological fact motivates a simple but rarely-tested computational question: </w:t>
      </w:r>
      <w:r>
        <w:rPr>
          <w:rFonts w:ascii="Times New Roman" w:hAnsi="Times New Roman" w:eastAsia="宋体"/>
          <w:b/>
        </w:rPr>
        <w:t>does assigning *different* plasticity rules to *different* cell types yield better emergent behavior than applying a *single* rule everywhere?</w:t>
      </w:r>
      <w:r>
        <w:rPr>
          <w:rFonts w:ascii="Times New Roman" w:hAnsi="Times New Roman" w:eastAsia="宋体"/>
        </w:rPr>
        <w:t xml:space="preserve"> And if so, is the advantage </w:t>
      </w:r>
      <w:r>
        <w:rPr>
          <w:rFonts w:ascii="Times New Roman" w:hAnsi="Times New Roman" w:eastAsia="宋体"/>
          <w:i/>
        </w:rPr>
        <w:t>causal</w:t>
      </w:r>
      <w:r>
        <w:rPr>
          <w:rFonts w:ascii="Times New Roman" w:hAnsi="Times New Roman" w:eastAsia="宋体"/>
        </w:rPr>
        <w:t xml:space="preserve"> — attributable to the specific pairing of each rule to the cell type it suits — or merely a consequence of having </w:t>
      </w:r>
      <w:r>
        <w:rPr>
          <w:rFonts w:ascii="Times New Roman" w:hAnsi="Times New Roman" w:eastAsia="宋体"/>
          <w:i/>
        </w:rPr>
        <w:t>some</w:t>
      </w:r>
      <w:r>
        <w:rPr>
          <w:rFonts w:ascii="Times New Roman" w:hAnsi="Times New Roman" w:eastAsia="宋体"/>
        </w:rPr>
        <w:t xml:space="preserve"> diversity?</w:t>
      </w:r>
    </w:p>
    <w:p w14:paraId="09FB662C">
      <w:pPr>
        <w:jc w:val="both"/>
      </w:pPr>
      <w:r>
        <w:rPr>
          <w:rFonts w:ascii="Times New Roman" w:hAnsi="Times New Roman" w:eastAsia="宋体"/>
        </w:rPr>
        <w:t>The question is hard to answer cleanly for two reasons. First, an advantage can be hidden by a permissive readout: if a downstream decoder smooths and lookups the network's output, even a poorly-shaped internal representation may be salvaged. Second, distinguishing "diversity matters" from "the specific mapping matters" requires a specific ablation — randomly reassigning the same set of rules to cell types — which is easy to omit.</w:t>
      </w:r>
    </w:p>
    <w:p w14:paraId="2438899C">
      <w:pPr>
        <w:jc w:val="both"/>
      </w:pPr>
      <w:r>
        <w:rPr>
          <w:rFonts w:ascii="Times New Roman" w:hAnsi="Times New Roman" w:eastAsia="宋体"/>
        </w:rPr>
        <w:t xml:space="preserve">We address both problems in a deliberately small, fully specified model of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 xml:space="preserve"> chemotaxis, a behavior with an unambiguous, quantifiable goal (find food) and a well-characterized circuit basis (Pierce-Shimomura et al., 1999; Iino &amp; Yoshida, 2009). Our model assigns each of five plastic cell types the rule most natural for its computational role — BCM to sensory neurons (to gain concentration selectivity), Hebbian STDP to relay neurons (to reinforce effective relay), reward-modulated STDP to command neurons (to learn the concentration→value map), Hebbian STDP to forward motor neurons, and homeostatic plasticity to turning motor neurons (to clamp the turning baseline) — and asks whether this </w:t>
      </w:r>
      <w:r>
        <w:rPr>
          <w:rFonts w:ascii="Times New Roman" w:hAnsi="Times New Roman" w:eastAsia="宋体"/>
          <w:i/>
        </w:rPr>
        <w:t>heterogeneous</w:t>
      </w:r>
      <w:r>
        <w:rPr>
          <w:rFonts w:ascii="Times New Roman" w:hAnsi="Times New Roman" w:eastAsia="宋体"/>
        </w:rPr>
        <w:t xml:space="preserve"> assignment beats a </w:t>
      </w:r>
      <w:r>
        <w:rPr>
          <w:rFonts w:ascii="Times New Roman" w:hAnsi="Times New Roman" w:eastAsia="宋体"/>
          <w:i/>
        </w:rPr>
        <w:t>homogeneous</w:t>
      </w:r>
      <w:r>
        <w:rPr>
          <w:rFonts w:ascii="Times New Roman" w:hAnsi="Times New Roman" w:eastAsia="宋体"/>
        </w:rPr>
        <w:t xml:space="preserve"> one in which all cells share the single strongest rule (reward-modulated STDP). The same five rules are then randomly reassigned to cell types as a </w:t>
      </w:r>
      <w:r>
        <w:rPr>
          <w:rFonts w:ascii="Times New Roman" w:hAnsi="Times New Roman" w:eastAsia="宋体"/>
          <w:i/>
        </w:rPr>
        <w:t>shuffled ablation</w:t>
      </w:r>
      <w:r>
        <w:rPr>
          <w:rFonts w:ascii="Times New Roman" w:hAnsi="Times New Roman" w:eastAsia="宋体"/>
        </w:rPr>
        <w:t xml:space="preserve"> that isolates diversity from specificity. Critically, we evaluate behavior under two readouts: an ideal </w:t>
      </w:r>
      <w:r>
        <w:rPr>
          <w:rFonts w:ascii="Times New Roman" w:hAnsi="Times New Roman" w:eastAsia="宋体"/>
          <w:i/>
        </w:rPr>
        <w:t>cached</w:t>
      </w:r>
      <w:r>
        <w:rPr>
          <w:rFonts w:ascii="Times New Roman" w:hAnsi="Times New Roman" w:eastAsia="宋体"/>
        </w:rPr>
        <w:t xml:space="preserve"> lookup of the learned map, and a </w:t>
      </w:r>
      <w:r>
        <w:rPr>
          <w:rFonts w:ascii="Times New Roman" w:hAnsi="Times New Roman" w:eastAsia="宋体"/>
          <w:i/>
        </w:rPr>
        <w:t>continuous</w:t>
      </w:r>
      <w:r>
        <w:rPr>
          <w:rFonts w:ascii="Times New Roman" w:hAnsi="Times New Roman" w:eastAsia="宋体"/>
        </w:rPr>
        <w:t xml:space="preserve"> real-time spiking readout in which the network must compute the gradient signal on the fly.</w:t>
      </w:r>
    </w:p>
    <w:p w14:paraId="7F334A00">
      <w:pPr>
        <w:jc w:val="both"/>
      </w:pPr>
      <w:r>
        <w:rPr>
          <w:rFonts w:ascii="Times New Roman" w:hAnsi="Times New Roman" w:eastAsia="宋体"/>
        </w:rPr>
        <w:t>An earlier surrogate model (a 51-cell rate-based network with a heterogeneous "lever" that was not mechanistically matched to cell function) failed to detect any heterogeneous advantage; the present model was rebuilt specifically to give heterogeneity a falsifiable, mechanistic grip (Section 2.4). Our central findings are:</w:t>
      </w:r>
    </w:p>
    <w:p w14:paraId="1E257FCA">
      <w:pPr>
        <w:ind w:left="432" w:hanging="432"/>
      </w:pPr>
      <w:r>
        <w:rPr>
          <w:rFonts w:ascii="Times New Roman" w:hAnsi="Times New Roman" w:eastAsia="宋体"/>
          <w:b/>
        </w:rPr>
        <w:t xml:space="preserve">1. </w:t>
      </w:r>
      <w:r>
        <w:rPr>
          <w:rFonts w:ascii="Times New Roman" w:hAnsi="Times New Roman" w:eastAsia="宋体"/>
        </w:rPr>
        <w:t>Under continuous readout, heterogeneous assignment is decisively superior to homogeneous assignment on all four behavioral metrics (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&lt; 10⁻⁷ for each; endpoint direction pass-rate 0.83 vs 0.03).</w:t>
      </w:r>
    </w:p>
    <w:p w14:paraId="72EDEFBB">
      <w:pPr>
        <w:ind w:left="432" w:hanging="432"/>
      </w:pPr>
      <w:r>
        <w:rPr>
          <w:rFonts w:ascii="Times New Roman" w:hAnsi="Times New Roman" w:eastAsia="宋体"/>
          <w:b/>
        </w:rPr>
        <w:t xml:space="preserve">2. </w:t>
      </w:r>
      <w:r>
        <w:rPr>
          <w:rFonts w:ascii="Times New Roman" w:hAnsi="Times New Roman" w:eastAsia="宋体"/>
        </w:rPr>
        <w:t>The failure mode of the homogeneous network is mechanistic: a single reward-driven rule saturates every layer, flattening the concentration→value map so that its slope — the gradient the worm turns by — vanishes.</w:t>
      </w:r>
    </w:p>
    <w:p w14:paraId="5FB0AD3D">
      <w:pPr>
        <w:ind w:left="432" w:hanging="432"/>
      </w:pPr>
      <w:r>
        <w:rPr>
          <w:rFonts w:ascii="Times New Roman" w:hAnsi="Times New Roman" w:eastAsia="宋体"/>
          <w:b/>
        </w:rPr>
        <w:t xml:space="preserve">3. </w:t>
      </w:r>
      <w:r>
        <w:rPr>
          <w:rFonts w:ascii="Times New Roman" w:hAnsi="Times New Roman" w:eastAsia="宋体"/>
        </w:rPr>
        <w:t xml:space="preserve">The shuffled ablation shows that, at this 34-cell, 5-type scale, the advantage is carried by rule </w:t>
      </w:r>
      <w:r>
        <w:rPr>
          <w:rFonts w:ascii="Times New Roman" w:hAnsi="Times New Roman" w:eastAsia="宋体"/>
          <w:i/>
        </w:rPr>
        <w:t>diversity</w:t>
      </w:r>
      <w:r>
        <w:rPr>
          <w:rFonts w:ascii="Times New Roman" w:hAnsi="Times New Roman" w:eastAsia="宋体"/>
        </w:rPr>
        <w:t>; the specific type→rule mapping adds no detectable benefit under continuous readout.</w:t>
      </w:r>
    </w:p>
    <w:p w14:paraId="197D280C">
      <w:pPr>
        <w:ind w:left="432" w:hanging="432"/>
      </w:pPr>
      <w:r>
        <w:rPr>
          <w:rFonts w:ascii="Times New Roman" w:hAnsi="Times New Roman" w:eastAsia="宋体"/>
          <w:b/>
        </w:rPr>
        <w:t xml:space="preserve">4. </w:t>
      </w:r>
      <w:r>
        <w:rPr>
          <w:rFonts w:ascii="Times New Roman" w:hAnsi="Times New Roman" w:eastAsia="宋体"/>
        </w:rPr>
        <w:t xml:space="preserve">Under cached readout the entire gap collapses — the ideal decoder salvages the saturated network — establishing that the heterogeneous advantage is specifically an advantage of </w:t>
      </w:r>
      <w:r>
        <w:rPr>
          <w:rFonts w:ascii="Times New Roman" w:hAnsi="Times New Roman" w:eastAsia="宋体"/>
          <w:i/>
        </w:rPr>
        <w:t>real-time</w:t>
      </w:r>
      <w:r>
        <w:rPr>
          <w:rFonts w:ascii="Times New Roman" w:hAnsi="Times New Roman" w:eastAsia="宋体"/>
        </w:rPr>
        <w:t xml:space="preserve"> computation.</w:t>
      </w:r>
    </w:p>
    <w:p w14:paraId="3F74F95D">
      <w:pPr>
        <w:pStyle w:val="3"/>
      </w:pPr>
      <w:r>
        <w:rPr>
          <w:rFonts w:ascii="Times New Roman" w:hAnsi="Times New Roman" w:eastAsia="黑体"/>
        </w:rPr>
        <w:t>2. Model</w:t>
      </w:r>
    </w:p>
    <w:p w14:paraId="7D408423">
      <w:pPr>
        <w:jc w:val="both"/>
      </w:pPr>
      <w:r>
        <w:rPr>
          <w:rFonts w:ascii="Times New Roman" w:hAnsi="Times New Roman" w:eastAsia="宋体"/>
        </w:rPr>
        <w:t>The model is implemented in pure NumPy and is fully reproducible from a fixed random seed (base 20260802). Code, generated data, and figures are packaged with this paper (Section 5). Here we describe its components.</w:t>
      </w:r>
    </w:p>
    <w:p w14:paraId="6AB87264">
      <w:pPr>
        <w:pStyle w:val="4"/>
      </w:pPr>
      <w:r>
        <w:rPr>
          <w:rFonts w:ascii="Times New Roman" w:hAnsi="Times New Roman" w:eastAsia="黑体"/>
        </w:rPr>
        <w:t>2.1 Task: chemotaxis on a Gaussian food patch</w:t>
      </w:r>
    </w:p>
    <w:p w14:paraId="50E0DB1C">
      <w:pPr>
        <w:jc w:val="both"/>
      </w:pPr>
      <w:r>
        <w:rPr>
          <w:rFonts w:ascii="Times New Roman" w:hAnsi="Times New Roman" w:eastAsia="宋体"/>
        </w:rPr>
        <w:t xml:space="preserve">A "worm" navigates the unit square </w:t>
      </w:r>
      <w:r>
        <w:rPr>
          <w:rFonts w:ascii="Cambria Math" w:hAnsi="Cambria Math" w:eastAsia="宋体"/>
          <w:i/>
        </w:rPr>
        <w:t>[0,1]</w:t>
      </w:r>
      <w:r>
        <w:rPr>
          <w:rFonts w:ascii="Cambria Math" w:hAnsi="Cambria Math" w:eastAsia="宋体"/>
          <w:i/>
          <w:vertAlign w:val="superscript"/>
        </w:rPr>
        <w:t>2</w:t>
      </w:r>
      <w:r>
        <w:rPr>
          <w:rFonts w:ascii="Times New Roman" w:hAnsi="Times New Roman" w:eastAsia="宋体"/>
        </w:rPr>
        <w:t xml:space="preserve"> under a radially symmetric Gaussian concentration field centered on the food at </w:t>
      </w:r>
      <w:r>
        <w:rPr>
          <w:rFonts w:ascii="Cambria Math" w:hAnsi="Cambria Math" w:eastAsia="宋体"/>
          <w:i/>
        </w:rPr>
        <w:t>(0.5, 0.5)</w:t>
      </w:r>
      <w:r>
        <w:rPr>
          <w:rFonts w:ascii="Times New Roman" w:hAnsi="Times New Roman" w:eastAsia="宋体"/>
        </w:rPr>
        <w:t>:</w:t>
      </w:r>
    </w:p>
    <w:p w14:paraId="3CB83908">
      <w:pPr>
        <w:spacing w:before="80" w:after="160"/>
        <w:jc w:val="center"/>
      </w:pPr>
      <w:r>
        <w:rPr>
          <w:rFonts w:ascii="Cambria Math" w:hAnsi="Cambria Math" w:eastAsia="宋体"/>
          <w:i/>
          <w:sz w:val="22"/>
        </w:rPr>
        <w:t>C(x,y) = c</w:t>
      </w:r>
      <w:r>
        <w:rPr>
          <w:rFonts w:ascii="Cambria Math" w:hAnsi="Cambria Math" w:eastAsia="宋体"/>
          <w:i/>
          <w:sz w:val="22"/>
          <w:vertAlign w:val="subscript"/>
        </w:rPr>
        <w:t>0</w:t>
      </w:r>
      <w:r>
        <w:rPr>
          <w:rFonts w:ascii="Cambria Math" w:hAnsi="Cambria Math" w:eastAsia="宋体"/>
          <w:i/>
          <w:sz w:val="22"/>
        </w:rPr>
        <w:t xml:space="preserve"> exp(-((x-0.5)</w:t>
      </w:r>
      <w:r>
        <w:rPr>
          <w:rFonts w:ascii="Cambria Math" w:hAnsi="Cambria Math" w:eastAsia="宋体"/>
          <w:i/>
          <w:sz w:val="22"/>
          <w:vertAlign w:val="superscript"/>
        </w:rPr>
        <w:t>2</w:t>
      </w:r>
      <w:r>
        <w:rPr>
          <w:rFonts w:ascii="Cambria Math" w:hAnsi="Cambria Math" w:eastAsia="宋体"/>
          <w:i/>
          <w:sz w:val="22"/>
        </w:rPr>
        <w:t>+(y-0.5)</w:t>
      </w:r>
      <w:r>
        <w:rPr>
          <w:rFonts w:ascii="Cambria Math" w:hAnsi="Cambria Math" w:eastAsia="宋体"/>
          <w:i/>
          <w:sz w:val="22"/>
          <w:vertAlign w:val="superscript"/>
        </w:rPr>
        <w:t>2</w:t>
      </w:r>
      <w:r>
        <w:rPr>
          <w:rFonts w:ascii="Cambria Math" w:hAnsi="Cambria Math" w:eastAsia="宋体"/>
          <w:i/>
          <w:sz w:val="22"/>
        </w:rPr>
        <w:t>)/2σ</w:t>
      </w:r>
      <w:r>
        <w:rPr>
          <w:rFonts w:ascii="Cambria Math" w:hAnsi="Cambria Math" w:eastAsia="宋体"/>
          <w:i/>
          <w:sz w:val="22"/>
          <w:vertAlign w:val="superscript"/>
        </w:rPr>
        <w:t>2</w:t>
      </w:r>
      <w:r>
        <w:rPr>
          <w:rFonts w:ascii="Cambria Math" w:hAnsi="Cambria Math" w:eastAsia="宋体"/>
          <w:i/>
          <w:sz w:val="22"/>
        </w:rPr>
        <w:t>).</w:t>
      </w:r>
    </w:p>
    <w:p w14:paraId="34A3A774">
      <w:pPr>
        <w:jc w:val="both"/>
      </w:pPr>
      <w:r>
        <w:rPr>
          <w:rFonts w:ascii="Times New Roman" w:hAnsi="Times New Roman" w:eastAsia="宋体"/>
        </w:rPr>
        <w:t xml:space="preserve">The patch peak </w:t>
      </w:r>
      <w:r>
        <w:rPr>
          <w:rFonts w:ascii="Cambria Math" w:hAnsi="Cambria Math" w:eastAsia="宋体"/>
          <w:i/>
        </w:rPr>
        <w:t>c</w:t>
      </w:r>
      <w:r>
        <w:rPr>
          <w:rFonts w:ascii="Cambria Math" w:hAnsi="Cambria Math" w:eastAsia="宋体"/>
          <w:i/>
          <w:vertAlign w:val="subscript"/>
        </w:rPr>
        <w:t>0</w:t>
      </w:r>
      <w:r>
        <w:rPr>
          <w:rFonts w:ascii="Cambria Math" w:hAnsi="Cambria Math" w:eastAsia="宋体"/>
          <w:i/>
        </w:rPr>
        <w:t xml:space="preserve"> ∈ {25, 50, 100}</w:t>
      </w:r>
      <w:r>
        <w:rPr>
          <w:rFonts w:ascii="Times New Roman" w:hAnsi="Times New Roman" w:eastAsia="宋体"/>
        </w:rPr>
        <w:t xml:space="preserve"> mM spans food richness, and the width </w:t>
      </w:r>
      <w:r>
        <w:rPr>
          <w:rFonts w:ascii="Cambria Math" w:hAnsi="Cambria Math" w:eastAsia="宋体"/>
          <w:i/>
        </w:rPr>
        <w:t>σ ∈ {0.18  (steep), 0.32  (shallow)}</w:t>
      </w:r>
      <w:r>
        <w:rPr>
          <w:rFonts w:ascii="Times New Roman" w:hAnsi="Times New Roman" w:eastAsia="宋体"/>
        </w:rPr>
        <w:t xml:space="preserve"> spans gradient sharpness. Each worm starts at the patch edge (radius 0.42) with a random heading and runs 170 discrete navigation steps. At each step the worm turns and translates based on a scalar </w:t>
      </w:r>
      <w:r>
        <w:rPr>
          <w:rFonts w:ascii="Times New Roman" w:hAnsi="Times New Roman" w:eastAsia="宋体"/>
          <w:i/>
        </w:rPr>
        <w:t>value</w:t>
      </w:r>
      <w:r>
        <w:rPr>
          <w:rFonts w:ascii="Times New Roman" w:hAnsi="Times New Roman" w:eastAsia="宋体"/>
        </w:rPr>
        <w:t xml:space="preserve"> signal and its </w:t>
      </w:r>
      <w:r>
        <w:rPr>
          <w:rFonts w:ascii="Times New Roman" w:hAnsi="Times New Roman" w:eastAsia="宋体"/>
          <w:i/>
        </w:rPr>
        <w:t>slope</w:t>
      </w:r>
      <w:r>
        <w:rPr>
          <w:rFonts w:ascii="Times New Roman" w:hAnsi="Times New Roman" w:eastAsia="宋体"/>
        </w:rPr>
        <w:t xml:space="preserve"> (finite-difference gradient), both provided by the network.</w:t>
      </w:r>
    </w:p>
    <w:p w14:paraId="5B0963B6">
      <w:pPr>
        <w:jc w:val="both"/>
      </w:pPr>
      <w:r>
        <w:rPr>
          <w:rFonts w:ascii="Times New Roman" w:hAnsi="Times New Roman" w:eastAsia="宋体"/>
        </w:rPr>
        <w:t xml:space="preserve">Behavior is scored by four signed metrics, each oriented so that </w:t>
      </w:r>
      <w:r>
        <w:rPr>
          <w:rFonts w:ascii="Times New Roman" w:hAnsi="Times New Roman" w:eastAsia="宋体"/>
          <w:b/>
        </w:rPr>
        <w:t>positive = correct chemotaxis and 0 ≈ random-walk chance</w:t>
      </w:r>
      <w:r>
        <w:rPr>
          <w:rFonts w:ascii="Times New Roman" w:hAnsi="Times New Roman" w:eastAsia="宋体"/>
        </w:rPr>
        <w:t xml:space="preserve"> (by the symmetry of the patch):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8FF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D9E2F3"/>
          </w:tcPr>
          <w:p w14:paraId="28D70FAB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Metric</w:t>
            </w:r>
          </w:p>
        </w:tc>
        <w:tc>
          <w:tcPr>
            <w:tcW w:w="3120" w:type="dxa"/>
            <w:shd w:val="clear" w:color="auto" w:fill="D9E2F3"/>
          </w:tcPr>
          <w:p w14:paraId="1E22713A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Definition</w:t>
            </w:r>
          </w:p>
        </w:tc>
        <w:tc>
          <w:tcPr>
            <w:tcW w:w="3120" w:type="dxa"/>
            <w:shd w:val="clear" w:color="auto" w:fill="D9E2F3"/>
          </w:tcPr>
          <w:p w14:paraId="55C7FD5D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Level</w:t>
            </w:r>
          </w:p>
        </w:tc>
      </w:tr>
      <w:tr w14:paraId="3CFFC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C814960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BRW</w:t>
            </w:r>
            <w:r>
              <w:rPr>
                <w:rFonts w:ascii="Times New Roman" w:hAnsi="Times New Roman" w:eastAsia="宋体"/>
                <w:sz w:val="20"/>
              </w:rPr>
              <w:t xml:space="preserve"> (biased random walk)</w:t>
            </w:r>
          </w:p>
        </w:tc>
        <w:tc>
          <w:tcPr>
            <w:tcW w:w="3120" w:type="dxa"/>
          </w:tcPr>
          <w:p w14:paraId="12D3220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time-average of </w:t>
            </w:r>
            <w:r>
              <w:rPr>
                <w:rFonts w:ascii="Cambria Math" w:hAnsi="Cambria Math" w:eastAsia="宋体"/>
                <w:i/>
                <w:sz w:val="20"/>
              </w:rPr>
              <w:t>cos(θ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movement</w:t>
            </w:r>
            <w:r>
              <w:rPr>
                <w:rFonts w:ascii="Cambria Math" w:hAnsi="Cambria Math" w:eastAsia="宋体"/>
                <w:i/>
                <w:sz w:val="20"/>
              </w:rPr>
              <w:t>-θ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to center</w:t>
            </w:r>
            <w:r>
              <w:rPr>
                <w:rFonts w:ascii="Cambria Math" w:hAnsi="Cambria Math" w:eastAsia="宋体"/>
                <w:i/>
                <w:sz w:val="20"/>
              </w:rPr>
              <w:t>) ∈ [-1,1]</w:t>
            </w:r>
          </w:p>
        </w:tc>
        <w:tc>
          <w:tcPr>
            <w:tcW w:w="3120" w:type="dxa"/>
          </w:tcPr>
          <w:p w14:paraId="2A263E26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heading</w:t>
            </w:r>
          </w:p>
        </w:tc>
      </w:tr>
      <w:tr w14:paraId="63F9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F362B31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Klinotaxis</w:t>
            </w:r>
          </w:p>
        </w:tc>
        <w:tc>
          <w:tcPr>
            <w:tcW w:w="3120" w:type="dxa"/>
          </w:tcPr>
          <w:p w14:paraId="042D1B6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relative concentration gain </w:t>
            </w:r>
            <w:r>
              <w:rPr>
                <w:rFonts w:ascii="Cambria Math" w:hAnsi="Cambria Math" w:eastAsia="宋体"/>
                <w:i/>
                <w:sz w:val="20"/>
              </w:rPr>
              <w:t>(C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end</w:t>
            </w:r>
            <w:r>
              <w:rPr>
                <w:rFonts w:ascii="Cambria Math" w:hAnsi="Cambria Math" w:eastAsia="宋体"/>
                <w:i/>
                <w:sz w:val="20"/>
              </w:rPr>
              <w:t>-C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start</w:t>
            </w:r>
            <w:r>
              <w:rPr>
                <w:rFonts w:ascii="Cambria Math" w:hAnsi="Cambria Math" w:eastAsia="宋体"/>
                <w:i/>
                <w:sz w:val="20"/>
              </w:rPr>
              <w:t>)/C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start</w:t>
            </w:r>
          </w:p>
        </w:tc>
        <w:tc>
          <w:tcPr>
            <w:tcW w:w="3120" w:type="dxa"/>
          </w:tcPr>
          <w:p w14:paraId="1170177E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concentration</w:t>
            </w:r>
          </w:p>
        </w:tc>
      </w:tr>
      <w:tr w14:paraId="3081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A4ECF5A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Velocity</w:t>
            </w:r>
          </w:p>
        </w:tc>
        <w:tc>
          <w:tcPr>
            <w:tcW w:w="3120" w:type="dxa"/>
          </w:tcPr>
          <w:p w14:paraId="5540FC0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fractional approach </w:t>
            </w:r>
            <w:r>
              <w:rPr>
                <w:rFonts w:ascii="Cambria Math" w:hAnsi="Cambria Math" w:eastAsia="宋体"/>
                <w:i/>
                <w:sz w:val="20"/>
              </w:rPr>
              <w:t>(d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start</w:t>
            </w:r>
            <w:r>
              <w:rPr>
                <w:rFonts w:ascii="Cambria Math" w:hAnsi="Cambria Math" w:eastAsia="宋体"/>
                <w:i/>
                <w:sz w:val="20"/>
              </w:rPr>
              <w:t>-d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end</w:t>
            </w:r>
            <w:r>
              <w:rPr>
                <w:rFonts w:ascii="Cambria Math" w:hAnsi="Cambria Math" w:eastAsia="宋体"/>
                <w:i/>
                <w:sz w:val="20"/>
              </w:rPr>
              <w:t>)/d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start</w:t>
            </w:r>
          </w:p>
        </w:tc>
        <w:tc>
          <w:tcPr>
            <w:tcW w:w="3120" w:type="dxa"/>
          </w:tcPr>
          <w:p w14:paraId="546CD62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position</w:t>
            </w:r>
          </w:p>
        </w:tc>
      </w:tr>
      <w:tr w14:paraId="5726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CA049D5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Endpoint</w:t>
            </w:r>
          </w:p>
        </w:tc>
        <w:tc>
          <w:tcPr>
            <w:tcW w:w="3120" w:type="dxa"/>
          </w:tcPr>
          <w:p w14:paraId="5C4E826F">
            <w:pPr>
              <w:jc w:val="left"/>
            </w:pPr>
            <w:r>
              <w:rPr>
                <w:rFonts w:ascii="Cambria Math" w:hAnsi="Cambria Math" w:eastAsia="宋体"/>
                <w:i/>
                <w:sz w:val="20"/>
              </w:rPr>
              <w:t>2·1(d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end</w:t>
            </w:r>
            <w:r>
              <w:rPr>
                <w:rFonts w:ascii="Cambria Math" w:hAnsi="Cambria Math" w:eastAsia="宋体"/>
                <w:i/>
                <w:sz w:val="20"/>
              </w:rPr>
              <w:t>&lt;0.20)-1 ∈ {-1,+1}</w:t>
            </w:r>
          </w:p>
        </w:tc>
        <w:tc>
          <w:tcPr>
            <w:tcW w:w="3120" w:type="dxa"/>
          </w:tcPr>
          <w:p w14:paraId="34BAF7C4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outcome</w:t>
            </w:r>
          </w:p>
        </w:tc>
      </w:tr>
    </w:tbl>
    <w:p w14:paraId="094D398C"/>
    <w:p w14:paraId="25875B4F">
      <w:pPr>
        <w:jc w:val="both"/>
      </w:pPr>
      <w:r>
        <w:rPr>
          <w:rFonts w:ascii="Times New Roman" w:hAnsi="Times New Roman" w:eastAsia="宋体"/>
        </w:rPr>
        <w:t>The four metrics tighten from heading → concentration → position → outcome, giving a graded, mutually corroborating picture of chemotaxis.</w:t>
      </w:r>
    </w:p>
    <w:p w14:paraId="7BBE3A69">
      <w:pPr>
        <w:pStyle w:val="4"/>
      </w:pPr>
      <w:r>
        <w:rPr>
          <w:rFonts w:ascii="Times New Roman" w:hAnsi="Times New Roman" w:eastAsia="黑体"/>
        </w:rPr>
        <w:t>2.2 Network: 34 cells, current-based LIF</w:t>
      </w:r>
    </w:p>
    <w:p w14:paraId="6EA1EE65">
      <w:pPr>
        <w:jc w:val="both"/>
      </w:pPr>
      <w:r>
        <w:rPr>
          <w:rFonts w:ascii="Times New Roman" w:hAnsi="Times New Roman" w:eastAsia="宋体"/>
        </w:rPr>
        <w:t xml:space="preserve">The network is a current-based leaky integrate-and-fire (LIF) spike network of </w:t>
      </w:r>
      <w:r>
        <w:rPr>
          <w:rFonts w:ascii="Times New Roman" w:hAnsi="Times New Roman" w:eastAsia="宋体"/>
          <w:b/>
        </w:rPr>
        <w:t>34 cells</w:t>
      </w:r>
      <w:r>
        <w:rPr>
          <w:rFonts w:ascii="Times New Roman" w:hAnsi="Times New Roman" w:eastAsia="宋体"/>
        </w:rPr>
        <w:t>: 8 fixed receptor neurons and 26 plastic neurons partitioned into five types.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A61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D9E2F3"/>
          </w:tcPr>
          <w:p w14:paraId="4C7D0656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Type</w:t>
            </w:r>
          </w:p>
        </w:tc>
        <w:tc>
          <w:tcPr>
            <w:tcW w:w="3120" w:type="dxa"/>
            <w:shd w:val="clear" w:color="auto" w:fill="D9E2F3"/>
          </w:tcPr>
          <w:p w14:paraId="76508024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Count</w:t>
            </w:r>
          </w:p>
        </w:tc>
        <w:tc>
          <w:tcPr>
            <w:tcW w:w="3120" w:type="dxa"/>
            <w:shd w:val="clear" w:color="auto" w:fill="D9E2F3"/>
          </w:tcPr>
          <w:p w14:paraId="12BFB82B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Role</w:t>
            </w:r>
          </w:p>
        </w:tc>
      </w:tr>
      <w:tr w14:paraId="70AA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9856CF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RECEPTOR</w:t>
            </w:r>
          </w:p>
        </w:tc>
        <w:tc>
          <w:tcPr>
            <w:tcW w:w="3120" w:type="dxa"/>
          </w:tcPr>
          <w:p w14:paraId="5D9056E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w="3120" w:type="dxa"/>
          </w:tcPr>
          <w:p w14:paraId="51E20989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fixed concentration encoding (Hill function, 8 distinct </w:t>
            </w:r>
            <w:r>
              <w:rPr>
                <w:rFonts w:ascii="Cambria Math" w:hAnsi="Cambria Math" w:eastAsia="宋体"/>
                <w:i/>
                <w:sz w:val="20"/>
              </w:rPr>
              <w:t>K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d</w:t>
            </w:r>
            <w:r>
              <w:rPr>
                <w:rFonts w:ascii="Times New Roman" w:hAnsi="Times New Roman" w:eastAsia="宋体"/>
                <w:sz w:val="20"/>
              </w:rPr>
              <w:t>)</w:t>
            </w:r>
          </w:p>
        </w:tc>
      </w:tr>
      <w:tr w14:paraId="6A57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D4F9FD5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SENSORY</w:t>
            </w:r>
          </w:p>
        </w:tc>
        <w:tc>
          <w:tcPr>
            <w:tcW w:w="3120" w:type="dxa"/>
          </w:tcPr>
          <w:p w14:paraId="6CBDD54C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w="3120" w:type="dxa"/>
          </w:tcPr>
          <w:p w14:paraId="2DA16D35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concentration feature extraction</w:t>
            </w:r>
          </w:p>
        </w:tc>
      </w:tr>
      <w:tr w14:paraId="22107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F21688A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INTER</w:t>
            </w:r>
          </w:p>
        </w:tc>
        <w:tc>
          <w:tcPr>
            <w:tcW w:w="3120" w:type="dxa"/>
          </w:tcPr>
          <w:p w14:paraId="18DAE60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w="3120" w:type="dxa"/>
          </w:tcPr>
          <w:p w14:paraId="5B5CF324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relay</w:t>
            </w:r>
          </w:p>
        </w:tc>
      </w:tr>
      <w:tr w14:paraId="71AA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A38974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COMMAND</w:t>
            </w:r>
          </w:p>
        </w:tc>
        <w:tc>
          <w:tcPr>
            <w:tcW w:w="3120" w:type="dxa"/>
          </w:tcPr>
          <w:p w14:paraId="4ED1B68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3120" w:type="dxa"/>
          </w:tcPr>
          <w:p w14:paraId="1B7C381F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value integration / credit assignment</w:t>
            </w:r>
          </w:p>
        </w:tc>
      </w:tr>
      <w:tr w14:paraId="3A17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3735903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MOTOR_FWD</w:t>
            </w:r>
          </w:p>
        </w:tc>
        <w:tc>
          <w:tcPr>
            <w:tcW w:w="3120" w:type="dxa"/>
          </w:tcPr>
          <w:p w14:paraId="6935D928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3120" w:type="dxa"/>
          </w:tcPr>
          <w:p w14:paraId="5E5CEC8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forward drive</w:t>
            </w:r>
          </w:p>
        </w:tc>
      </w:tr>
      <w:tr w14:paraId="1A33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57CE2B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MOTOR_TURN</w:t>
            </w:r>
          </w:p>
        </w:tc>
        <w:tc>
          <w:tcPr>
            <w:tcW w:w="3120" w:type="dxa"/>
          </w:tcPr>
          <w:p w14:paraId="271562E0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3120" w:type="dxa"/>
          </w:tcPr>
          <w:p w14:paraId="7F39E13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turning drive</w:t>
            </w:r>
          </w:p>
        </w:tc>
      </w:tr>
    </w:tbl>
    <w:p w14:paraId="2EC8FC36"/>
    <w:p w14:paraId="6C4AE4B0">
      <w:pPr>
        <w:jc w:val="both"/>
      </w:pPr>
      <w:r>
        <w:rPr>
          <w:rFonts w:ascii="Times New Roman" w:hAnsi="Times New Roman" w:eastAsia="宋体"/>
        </w:rPr>
        <w:t xml:space="preserve">Membrane potentials integrate as </w:t>
      </w:r>
      <w:r>
        <w:rPr>
          <w:rFonts w:ascii="Cambria Math" w:hAnsi="Cambria Math" w:eastAsia="宋体"/>
          <w:i/>
        </w:rPr>
        <w:t>v += dt/τ</w:t>
      </w:r>
      <w:r>
        <w:rPr>
          <w:rFonts w:ascii="Cambria Math" w:hAnsi="Cambria Math" w:eastAsia="宋体"/>
          <w:i/>
          <w:vertAlign w:val="subscript"/>
        </w:rPr>
        <w:t>m</w:t>
      </w:r>
      <w:r>
        <w:rPr>
          <w:rFonts w:ascii="Cambria Math" w:hAnsi="Cambria Math" w:eastAsia="宋体"/>
          <w:i/>
        </w:rPr>
        <w:t>(-v + I</w:t>
      </w:r>
      <w:r>
        <w:rPr>
          <w:rFonts w:ascii="Cambria Math" w:hAnsi="Cambria Math" w:eastAsia="宋体"/>
          <w:i/>
          <w:vertAlign w:val="subscript"/>
        </w:rPr>
        <w:t>base</w:t>
      </w:r>
      <w:r>
        <w:rPr>
          <w:rFonts w:ascii="Cambria Math" w:hAnsi="Cambria Math" w:eastAsia="宋体"/>
          <w:i/>
        </w:rPr>
        <w:t xml:space="preserve"> + g· r</w:t>
      </w:r>
      <w:r>
        <w:rPr>
          <w:rFonts w:ascii="Cambria Math" w:hAnsi="Cambria Math" w:eastAsia="宋体"/>
          <w:i/>
          <w:vertAlign w:val="subscript"/>
        </w:rPr>
        <w:t>gain</w:t>
      </w:r>
      <w:r>
        <w:rPr>
          <w:rFonts w:ascii="Cambria Math" w:hAnsi="Cambria Math" w:eastAsia="宋体"/>
          <w:i/>
        </w:rPr>
        <w:t xml:space="preserve"> + ξ)</w:t>
      </w:r>
      <w:r>
        <w:rPr>
          <w:rFonts w:ascii="Times New Roman" w:hAnsi="Times New Roman" w:eastAsia="宋体"/>
        </w:rPr>
        <w:t xml:space="preserve"> with </w:t>
      </w:r>
      <w:r>
        <w:rPr>
          <w:rFonts w:ascii="Cambria Math" w:hAnsi="Cambria Math" w:eastAsia="宋体"/>
          <w:i/>
        </w:rPr>
        <w:t>τ</w:t>
      </w:r>
      <w:r>
        <w:rPr>
          <w:rFonts w:ascii="Cambria Math" w:hAnsi="Cambria Math" w:eastAsia="宋体"/>
          <w:i/>
          <w:vertAlign w:val="subscript"/>
        </w:rPr>
        <w:t>m</w:t>
      </w:r>
      <w:r>
        <w:rPr>
          <w:rFonts w:ascii="Cambria Math" w:hAnsi="Cambria Math" w:eastAsia="宋体"/>
          <w:i/>
        </w:rPr>
        <w:t xml:space="preserve"> = 20</w:t>
      </w:r>
      <w:r>
        <w:rPr>
          <w:rFonts w:ascii="Times New Roman" w:hAnsi="Times New Roman" w:eastAsia="宋体"/>
        </w:rPr>
        <w:t xml:space="preserve"> ms; the synaptic current </w:t>
      </w:r>
      <w:r>
        <w:rPr>
          <w:rFonts w:ascii="Cambria Math" w:hAnsi="Cambria Math" w:eastAsia="宋体"/>
          <w:i/>
        </w:rPr>
        <w:t>g</w:t>
      </w:r>
      <w:r>
        <w:rPr>
          <w:rFonts w:ascii="Times New Roman" w:hAnsi="Times New Roman" w:eastAsia="宋体"/>
        </w:rPr>
        <w:t xml:space="preserve"> decays with </w:t>
      </w:r>
      <w:r>
        <w:rPr>
          <w:rFonts w:ascii="Cambria Math" w:hAnsi="Cambria Math" w:eastAsia="宋体"/>
          <w:i/>
        </w:rPr>
        <w:t>τ</w:t>
      </w:r>
      <w:r>
        <w:rPr>
          <w:rFonts w:ascii="Cambria Math" w:hAnsi="Cambria Math" w:eastAsia="宋体"/>
          <w:i/>
          <w:vertAlign w:val="subscript"/>
        </w:rPr>
        <w:t>syn</w:t>
      </w:r>
      <w:r>
        <w:rPr>
          <w:rFonts w:ascii="Cambria Math" w:hAnsi="Cambria Math" w:eastAsia="宋体"/>
          <w:i/>
        </w:rPr>
        <w:t xml:space="preserve"> = 12</w:t>
      </w:r>
      <w:r>
        <w:rPr>
          <w:rFonts w:ascii="Times New Roman" w:hAnsi="Times New Roman" w:eastAsia="宋体"/>
        </w:rPr>
        <w:t xml:space="preserve"> ms and accumulates </w:t>
      </w:r>
      <w:r>
        <w:rPr>
          <w:rFonts w:ascii="Cambria Math" w:hAnsi="Cambria Math" w:eastAsia="宋体"/>
          <w:i/>
        </w:rPr>
        <w:t>W</w:t>
      </w:r>
      <w:r>
        <w:rPr>
          <w:rFonts w:ascii="Cambria Math" w:hAnsi="Cambria Math" w:eastAsia="宋体"/>
          <w:i/>
          <w:vertAlign w:val="superscript"/>
        </w:rPr>
        <w:t>⊤</w:t>
      </w:r>
      <w:r>
        <w:rPr>
          <w:rFonts w:ascii="Cambria Math" w:hAnsi="Cambria Math" w:eastAsia="宋体"/>
          <w:i/>
        </w:rPr>
        <w:t xml:space="preserve"> s</w:t>
      </w:r>
      <w:r>
        <w:rPr>
          <w:rFonts w:ascii="Times New Roman" w:hAnsi="Times New Roman" w:eastAsia="宋体"/>
        </w:rPr>
        <w:t xml:space="preserve"> each step; spikes fire at threshold 1.0 with reset 0 and a 3 ms refractory period. Receptors do not integrate voltage but fire as inhomogeneous Poisson processes at Hill rates </w:t>
      </w:r>
      <w:r>
        <w:rPr>
          <w:rFonts w:ascii="Cambria Math" w:hAnsi="Cambria Math" w:eastAsia="宋体"/>
          <w:i/>
        </w:rPr>
        <w:t>λ(C) = 30 + 130C</w:t>
      </w:r>
      <w:r>
        <w:rPr>
          <w:rFonts w:ascii="Cambria Math" w:hAnsi="Cambria Math" w:eastAsia="宋体"/>
          <w:i/>
          <w:vertAlign w:val="superscript"/>
        </w:rPr>
        <w:t>2</w:t>
      </w:r>
      <w:r>
        <w:rPr>
          <w:rFonts w:ascii="Cambria Math" w:hAnsi="Cambria Math" w:eastAsia="宋体"/>
          <w:i/>
        </w:rPr>
        <w:t>/(K</w:t>
      </w:r>
      <w:r>
        <w:rPr>
          <w:rFonts w:ascii="Cambria Math" w:hAnsi="Cambria Math" w:eastAsia="宋体"/>
          <w:i/>
          <w:vertAlign w:val="subscript"/>
        </w:rPr>
        <w:t>d</w:t>
      </w:r>
      <w:r>
        <w:rPr>
          <w:rFonts w:ascii="Cambria Math" w:hAnsi="Cambria Math" w:eastAsia="宋体"/>
          <w:i/>
          <w:vertAlign w:val="superscript"/>
        </w:rPr>
        <w:t>2</w:t>
      </w:r>
      <w:r>
        <w:rPr>
          <w:rFonts w:ascii="Cambria Math" w:hAnsi="Cambria Math" w:eastAsia="宋体"/>
          <w:i/>
        </w:rPr>
        <w:t>+C</w:t>
      </w:r>
      <w:r>
        <w:rPr>
          <w:rFonts w:ascii="Cambria Math" w:hAnsi="Cambria Math" w:eastAsia="宋体"/>
          <w:i/>
          <w:vertAlign w:val="superscript"/>
        </w:rPr>
        <w:t>2</w:t>
      </w:r>
      <w:r>
        <w:rPr>
          <w:rFonts w:ascii="Cambria Math" w:hAnsi="Cambria Math" w:eastAsia="宋体"/>
          <w:i/>
        </w:rPr>
        <w:t>)</w:t>
      </w:r>
      <w:r>
        <w:rPr>
          <w:rFonts w:ascii="Times New Roman" w:hAnsi="Times New Roman" w:eastAsia="宋体"/>
        </w:rPr>
        <w:t xml:space="preserve"> Hz, with eight logarithmically spaced </w:t>
      </w:r>
      <w:r>
        <w:rPr>
          <w:rFonts w:ascii="Cambria Math" w:hAnsi="Cambria Math" w:eastAsia="宋体"/>
          <w:i/>
        </w:rPr>
        <w:t>K</w:t>
      </w:r>
      <w:r>
        <w:rPr>
          <w:rFonts w:ascii="Cambria Math" w:hAnsi="Cambria Math" w:eastAsia="宋体"/>
          <w:i/>
          <w:vertAlign w:val="subscript"/>
        </w:rPr>
        <w:t>d</w:t>
      </w:r>
      <w:r>
        <w:rPr>
          <w:rFonts w:ascii="Times New Roman" w:hAnsi="Times New Roman" w:eastAsia="宋体"/>
        </w:rPr>
        <w:t xml:space="preserve"> giving a population code over concentration. Two design choices are deliberate: the baseline current is near threshold (</w:t>
      </w:r>
      <w:r>
        <w:rPr>
          <w:rFonts w:ascii="Cambria Math" w:hAnsi="Cambria Math" w:eastAsia="宋体"/>
          <w:i/>
        </w:rPr>
        <w:t>I</w:t>
      </w:r>
      <w:r>
        <w:rPr>
          <w:rFonts w:ascii="Cambria Math" w:hAnsi="Cambria Math" w:eastAsia="宋体"/>
          <w:i/>
          <w:vertAlign w:val="subscript"/>
        </w:rPr>
        <w:t>base</w:t>
      </w:r>
      <w:r>
        <w:rPr>
          <w:rFonts w:ascii="Cambria Math" w:hAnsi="Cambria Math" w:eastAsia="宋体"/>
          <w:i/>
        </w:rPr>
        <w:t xml:space="preserve"> = 0.88</w:t>
      </w:r>
      <w:r>
        <w:rPr>
          <w:rFonts w:ascii="Times New Roman" w:hAnsi="Times New Roman" w:eastAsia="宋体"/>
        </w:rPr>
        <w:t xml:space="preserve">) so that concentration modulates firing </w:t>
      </w:r>
      <w:r>
        <w:rPr>
          <w:rFonts w:ascii="Times New Roman" w:hAnsi="Times New Roman" w:eastAsia="宋体"/>
          <w:i/>
        </w:rPr>
        <w:t>rate</w:t>
      </w:r>
      <w:r>
        <w:rPr>
          <w:rFonts w:ascii="Times New Roman" w:hAnsi="Times New Roman" w:eastAsia="宋体"/>
        </w:rPr>
        <w:t xml:space="preserve"> rather than gating it on/off, and the recurrent gain is modest (</w:t>
      </w:r>
      <w:r>
        <w:rPr>
          <w:rFonts w:ascii="Cambria Math" w:hAnsi="Cambria Math" w:eastAsia="宋体"/>
          <w:i/>
        </w:rPr>
        <w:t>r</w:t>
      </w:r>
      <w:r>
        <w:rPr>
          <w:rFonts w:ascii="Cambria Math" w:hAnsi="Cambria Math" w:eastAsia="宋体"/>
          <w:i/>
          <w:vertAlign w:val="subscript"/>
        </w:rPr>
        <w:t>gain</w:t>
      </w:r>
      <w:r>
        <w:rPr>
          <w:rFonts w:ascii="Cambria Math" w:hAnsi="Cambria Math" w:eastAsia="宋体"/>
          <w:i/>
        </w:rPr>
        <w:t xml:space="preserve"> = 1.15</w:t>
      </w:r>
      <w:r>
        <w:rPr>
          <w:rFonts w:ascii="Times New Roman" w:hAnsi="Times New Roman" w:eastAsia="宋体"/>
        </w:rPr>
        <w:t xml:space="preserve">, far below earlier pilot values of 3.0) to </w:t>
      </w:r>
      <w:r>
        <w:rPr>
          <w:rFonts w:ascii="Times New Roman" w:hAnsi="Times New Roman" w:eastAsia="宋体"/>
          <w:b/>
        </w:rPr>
        <w:t>avoid saturation-driven chaos</w:t>
      </w:r>
      <w:r>
        <w:rPr>
          <w:rFonts w:ascii="Times New Roman" w:hAnsi="Times New Roman" w:eastAsia="宋体"/>
        </w:rPr>
        <w:t xml:space="preserve"> — the very failure mode we then study mechanistically in the homogeneous condition. Forward motor neurons carry a higher baseline (0.98, for reliable command relay) and turning motor neurons a lower one (0.88), a structural guarantee that the value signal is dominated by forward drive.</w:t>
      </w:r>
    </w:p>
    <w:p w14:paraId="6210C2B2">
      <w:pPr>
        <w:jc w:val="both"/>
      </w:pPr>
      <w:r>
        <w:rPr>
          <w:rFonts w:ascii="Times New Roman" w:hAnsi="Times New Roman" w:eastAsia="宋体"/>
        </w:rPr>
        <w:t xml:space="preserve">The </w:t>
      </w:r>
      <w:r>
        <w:rPr>
          <w:rFonts w:ascii="Times New Roman" w:hAnsi="Times New Roman" w:eastAsia="宋体"/>
          <w:i/>
        </w:rPr>
        <w:t>value signal</w:t>
      </w:r>
      <w:r>
        <w:rPr>
          <w:rFonts w:ascii="Times New Roman" w:hAnsi="Times New Roman" w:eastAsia="宋体"/>
        </w:rPr>
        <w:t xml:space="preserve"> is defined as</w:t>
      </w:r>
    </w:p>
    <w:p w14:paraId="7BEF72B4">
      <w:pPr>
        <w:spacing w:before="80" w:after="160"/>
        <w:jc w:val="center"/>
      </w:pPr>
      <w:r>
        <w:rPr>
          <w:rFonts w:ascii="Cambria Math" w:hAnsi="Cambria Math" w:eastAsia="宋体"/>
          <w:i/>
          <w:sz w:val="22"/>
        </w:rPr>
        <w:t>value(C) = r̄</w:t>
      </w:r>
      <w:r>
        <w:rPr>
          <w:rFonts w:ascii="Cambria Math" w:hAnsi="Cambria Math" w:eastAsia="宋体"/>
          <w:i/>
          <w:sz w:val="22"/>
          <w:vertAlign w:val="subscript"/>
        </w:rPr>
        <w:t>MOTOR_FWD</w:t>
      </w:r>
      <w:r>
        <w:rPr>
          <w:rFonts w:ascii="Cambria Math" w:hAnsi="Cambria Math" w:eastAsia="宋体"/>
          <w:i/>
          <w:sz w:val="22"/>
        </w:rPr>
        <w:t>(C) - r̄</w:t>
      </w:r>
      <w:r>
        <w:rPr>
          <w:rFonts w:ascii="Cambria Math" w:hAnsi="Cambria Math" w:eastAsia="宋体"/>
          <w:i/>
          <w:sz w:val="22"/>
          <w:vertAlign w:val="subscript"/>
        </w:rPr>
        <w:t>MOTOR_TURN</w:t>
      </w:r>
      <w:r>
        <w:rPr>
          <w:rFonts w:ascii="Cambria Math" w:hAnsi="Cambria Math" w:eastAsia="宋体"/>
          <w:i/>
          <w:sz w:val="22"/>
        </w:rPr>
        <w:t>(C),</w:t>
      </w:r>
    </w:p>
    <w:p w14:paraId="2A2A7972">
      <w:pPr>
        <w:jc w:val="both"/>
      </w:pPr>
      <w:r>
        <w:rPr>
          <w:rFonts w:ascii="Times New Roman" w:hAnsi="Times New Roman" w:eastAsia="宋体"/>
        </w:rPr>
        <w:t xml:space="preserve">so that if forward drive rises with concentration while turning is held low and concentration-independent, value increases monotonically with 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 xml:space="preserve"> — exactly the directional cue chemotaxis requires. The turning signal is read out as the worm moves via a </w:t>
      </w:r>
      <w:r>
        <w:rPr>
          <w:rFonts w:ascii="Cambria Math" w:hAnsi="Cambria Math" w:eastAsia="宋体"/>
          <w:i/>
        </w:rPr>
        <w:t>τ = 200</w:t>
      </w:r>
      <w:r>
        <w:rPr>
          <w:rFonts w:ascii="Times New Roman" w:hAnsi="Times New Roman" w:eastAsia="宋体"/>
        </w:rPr>
        <w:t xml:space="preserve"> ms exponentially-weighted moving average (EMA) of spike rate.</w:t>
      </w:r>
    </w:p>
    <w:p w14:paraId="3ACA7B8B">
      <w:pPr>
        <w:jc w:val="both"/>
      </w:pPr>
      <w:r>
        <w:rPr>
          <w:rFonts w:ascii="Times New Roman" w:hAnsi="Times New Roman" w:eastAsia="宋体"/>
        </w:rPr>
        <w:t>The connectome (</w:t>
      </w:r>
      <w:r>
        <w:rPr>
          <w:rFonts w:ascii="Consolas" w:hAnsi="Consolas" w:eastAsia="宋体"/>
          <w:sz w:val="20"/>
        </w:rPr>
        <w:t>ADJACENCY</w:t>
      </w:r>
      <w:r>
        <w:rPr>
          <w:rFonts w:ascii="Times New Roman" w:hAnsi="Times New Roman" w:eastAsia="宋体"/>
        </w:rPr>
        <w:t>) permits only biologically motivated type→type projections — receptors→sensory, sensory→inter/command, inter→command/motor, command→forward motor, turning→forward motor inhibition (antagonism), and weak self-feedback in command/inter layers — each drawn at a specified density and sign.</w:t>
      </w:r>
    </w:p>
    <w:p w14:paraId="1C868ADD">
      <w:pPr>
        <w:pStyle w:val="4"/>
      </w:pPr>
      <w:r>
        <w:rPr>
          <w:rFonts w:ascii="Times New Roman" w:hAnsi="Times New Roman" w:eastAsia="黑体"/>
        </w:rPr>
        <w:t>2.3 Five plasticity rules</w:t>
      </w:r>
    </w:p>
    <w:p w14:paraId="55C9D0ED">
      <w:pPr>
        <w:jc w:val="both"/>
      </w:pPr>
      <w:r>
        <w:rPr>
          <w:rFonts w:ascii="Times New Roman" w:hAnsi="Times New Roman" w:eastAsia="宋体"/>
        </w:rPr>
        <w:t xml:space="preserve">"Cell-type-specific plasticity" is defined operationally: </w:t>
      </w:r>
      <w:r>
        <w:rPr>
          <w:rFonts w:ascii="Times New Roman" w:hAnsi="Times New Roman" w:eastAsia="宋体"/>
          <w:b/>
        </w:rPr>
        <w:t>the type of the *postsynaptic* cell determines which rule acts on all of its incoming synapses.</w:t>
      </w:r>
      <w:r>
        <w:rPr>
          <w:rFonts w:ascii="Times New Roman" w:hAnsi="Times New Roman" w:eastAsia="宋体"/>
        </w:rPr>
        <w:t xml:space="preserve"> This guarantees every rule is actually used. The five rules (with their natural cell-type roles) are: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AB7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D9E2F3"/>
          </w:tcPr>
          <w:p w14:paraId="1B778A10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Rule</w:t>
            </w:r>
          </w:p>
        </w:tc>
        <w:tc>
          <w:tcPr>
            <w:tcW w:w="2340" w:type="dxa"/>
            <w:shd w:val="clear" w:color="auto" w:fill="D9E2F3"/>
          </w:tcPr>
          <w:p w14:paraId="3013BFD3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Form (pre $i$, post $j$)</w:t>
            </w:r>
          </w:p>
        </w:tc>
        <w:tc>
          <w:tcPr>
            <w:tcW w:w="2340" w:type="dxa"/>
            <w:shd w:val="clear" w:color="auto" w:fill="D9E2F3"/>
          </w:tcPr>
          <w:p w14:paraId="27581E3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Suited to</w:t>
            </w:r>
          </w:p>
        </w:tc>
        <w:tc>
          <w:tcPr>
            <w:tcW w:w="2340" w:type="dxa"/>
            <w:shd w:val="clear" w:color="auto" w:fill="D9E2F3"/>
          </w:tcPr>
          <w:p w14:paraId="418216FB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Reason</w:t>
            </w:r>
          </w:p>
        </w:tc>
      </w:tr>
      <w:tr w14:paraId="37D83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F556488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BCM</w:t>
            </w:r>
          </w:p>
        </w:tc>
        <w:tc>
          <w:tcPr>
            <w:tcW w:w="2340" w:type="dxa"/>
          </w:tcPr>
          <w:p w14:paraId="1CC3BE59">
            <w:pPr>
              <w:jc w:val="left"/>
            </w:pPr>
            <w:r>
              <w:rPr>
                <w:rFonts w:ascii="Cambria Math" w:hAnsi="Cambria Math" w:eastAsia="宋体"/>
                <w:i/>
                <w:sz w:val="20"/>
              </w:rPr>
              <w:t>Δ w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ij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= η x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r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  <w:r>
              <w:rPr>
                <w:rFonts w:ascii="Cambria Math" w:hAnsi="Cambria Math" w:eastAsia="宋体"/>
                <w:i/>
                <w:sz w:val="20"/>
              </w:rPr>
              <w:t>(r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  <w:r>
              <w:rPr>
                <w:rFonts w:ascii="Cambria Math" w:hAnsi="Cambria Math" w:eastAsia="宋体"/>
                <w:i/>
                <w:sz w:val="20"/>
              </w:rPr>
              <w:t>-θ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  <w:r>
              <w:rPr>
                <w:rFonts w:ascii="Cambria Math" w:hAnsi="Cambria Math" w:eastAsia="宋体"/>
                <w:i/>
                <w:sz w:val="20"/>
              </w:rPr>
              <w:t>),θ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  <w:r>
              <w:rPr>
                <w:rFonts w:ascii="Cambria Math" w:hAnsi="Cambria Math" w:eastAsia="宋体"/>
                <w:i/>
                <w:sz w:val="20"/>
              </w:rPr>
              <w:t>=√(⟨ r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  <w:r>
              <w:rPr>
                <w:rFonts w:ascii="Cambria Math" w:hAnsi="Cambria Math" w:eastAsia="宋体"/>
                <w:i/>
                <w:sz w:val="20"/>
                <w:vertAlign w:val="superscript"/>
              </w:rPr>
              <w:t>2</w:t>
            </w:r>
            <w:r>
              <w:rPr>
                <w:rFonts w:ascii="Cambria Math" w:hAnsi="Cambria Math" w:eastAsia="宋体"/>
                <w:i/>
                <w:sz w:val="20"/>
              </w:rPr>
              <w:t>⟩)</w:t>
            </w:r>
            <w:r>
              <w:rPr>
                <w:rFonts w:ascii="Times New Roman" w:hAnsi="Times New Roman" w:eastAsia="宋体"/>
                <w:sz w:val="20"/>
              </w:rPr>
              <w:t>; postsynaptic competitive normalization to constant fan-in + positive floor</w:t>
            </w:r>
          </w:p>
        </w:tc>
        <w:tc>
          <w:tcPr>
            <w:tcW w:w="2340" w:type="dxa"/>
          </w:tcPr>
          <w:p w14:paraId="61BC71DB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SENSORY</w:t>
            </w:r>
          </w:p>
        </w:tc>
        <w:tc>
          <w:tcPr>
            <w:tcW w:w="2340" w:type="dxa"/>
          </w:tcPr>
          <w:p w14:paraId="71F9CFC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sliding-threshold concentration selectivity; normalization prevents collapse, floor breaks the cold-start deadlock</w:t>
            </w:r>
          </w:p>
        </w:tc>
      </w:tr>
      <w:tr w14:paraId="1B1CA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F0439CF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Hebbian STDP</w:t>
            </w:r>
          </w:p>
        </w:tc>
        <w:tc>
          <w:tcPr>
            <w:tcW w:w="2340" w:type="dxa"/>
          </w:tcPr>
          <w:p w14:paraId="484DBD7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on post spike: </w:t>
            </w:r>
            <w:r>
              <w:rPr>
                <w:rFonts w:ascii="Cambria Math" w:hAnsi="Cambria Math" w:eastAsia="宋体"/>
                <w:i/>
                <w:sz w:val="20"/>
              </w:rPr>
              <w:t>Δ w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· j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+= a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+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x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pre</w:t>
            </w:r>
            <w:r>
              <w:rPr>
                <w:rFonts w:ascii="Times New Roman" w:hAnsi="Times New Roman" w:eastAsia="宋体"/>
                <w:sz w:val="20"/>
              </w:rPr>
              <w:t xml:space="preserve">; on pre spike: </w:t>
            </w:r>
            <w:r>
              <w:rPr>
                <w:rFonts w:ascii="Cambria Math" w:hAnsi="Cambria Math" w:eastAsia="宋体"/>
                <w:i/>
                <w:sz w:val="20"/>
              </w:rPr>
              <w:t>Δ w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i·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-= a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-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y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post</w:t>
            </w:r>
          </w:p>
        </w:tc>
        <w:tc>
          <w:tcPr>
            <w:tcW w:w="2340" w:type="dxa"/>
          </w:tcPr>
          <w:p w14:paraId="78E304D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INTER, MOTOR_FWD</w:t>
            </w:r>
          </w:p>
        </w:tc>
        <w:tc>
          <w:tcPr>
            <w:tcW w:w="2340" w:type="dxa"/>
          </w:tcPr>
          <w:p w14:paraId="122A585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reinforce effective relay / faithful command relay</w:t>
            </w:r>
          </w:p>
        </w:tc>
      </w:tr>
      <w:tr w14:paraId="235E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4AA6110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Reward-STDP</w:t>
            </w:r>
            <w:r>
              <w:rPr>
                <w:rFonts w:ascii="Times New Roman" w:hAnsi="Times New Roman" w:eastAsia="宋体"/>
                <w:sz w:val="20"/>
              </w:rPr>
              <w:t xml:space="preserve"> (three-factor)</w:t>
            </w:r>
          </w:p>
        </w:tc>
        <w:tc>
          <w:tcPr>
            <w:tcW w:w="2340" w:type="dxa"/>
          </w:tcPr>
          <w:p w14:paraId="793A7976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eligibility </w:t>
            </w:r>
            <w:r>
              <w:rPr>
                <w:rFonts w:ascii="Cambria Math" w:hAnsi="Cambria Math" w:eastAsia="宋体"/>
                <w:i/>
                <w:sz w:val="20"/>
              </w:rPr>
              <w:t>e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ij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+= x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y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  <w:r>
              <w:rPr>
                <w:rFonts w:ascii="Times New Roman" w:hAnsi="Times New Roman" w:eastAsia="宋体"/>
                <w:sz w:val="20"/>
              </w:rPr>
              <w:t xml:space="preserve"> (decaying); </w:t>
            </w:r>
            <w:r>
              <w:rPr>
                <w:rFonts w:ascii="Cambria Math" w:hAnsi="Cambria Math" w:eastAsia="宋体"/>
                <w:i/>
                <w:sz w:val="20"/>
              </w:rPr>
              <w:t>Δ w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ij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= η R(C) e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ij</w:t>
            </w:r>
          </w:p>
        </w:tc>
        <w:tc>
          <w:tcPr>
            <w:tcW w:w="2340" w:type="dxa"/>
          </w:tcPr>
          <w:p w14:paraId="73259CB2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COMMAND</w:t>
            </w:r>
          </w:p>
        </w:tc>
        <w:tc>
          <w:tcPr>
            <w:tcW w:w="2340" w:type="dxa"/>
          </w:tcPr>
          <w:p w14:paraId="33F5C799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credit assignment; reward rises with </w:t>
            </w:r>
            <w:r>
              <w:rPr>
                <w:rFonts w:ascii="Cambria Math" w:hAnsi="Cambria Math" w:eastAsia="宋体"/>
                <w:i/>
                <w:sz w:val="20"/>
              </w:rPr>
              <w:t>C</w:t>
            </w:r>
            <w:r>
              <w:rPr>
                <w:rFonts w:ascii="Times New Roman" w:hAnsi="Times New Roman" w:eastAsia="宋体"/>
                <w:sz w:val="20"/>
              </w:rPr>
              <w:t xml:space="preserve"> → strengthens high-concentration pathways → learns </w:t>
            </w:r>
            <w:r>
              <w:rPr>
                <w:rFonts w:ascii="Cambria Math" w:hAnsi="Cambria Math" w:eastAsia="宋体"/>
                <w:i/>
                <w:sz w:val="20"/>
              </w:rPr>
              <w:t>C→</w:t>
            </w:r>
            <w:r>
              <w:rPr>
                <w:rFonts w:ascii="Times New Roman" w:hAnsi="Times New Roman" w:eastAsia="宋体"/>
                <w:sz w:val="20"/>
              </w:rPr>
              <w:t>value</w:t>
            </w:r>
          </w:p>
        </w:tc>
      </w:tr>
      <w:tr w14:paraId="7D05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A739F1D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Homeostatic</w:t>
            </w:r>
          </w:p>
        </w:tc>
        <w:tc>
          <w:tcPr>
            <w:tcW w:w="2340" w:type="dxa"/>
          </w:tcPr>
          <w:p w14:paraId="6B25CB70">
            <w:pPr>
              <w:jc w:val="left"/>
            </w:pPr>
            <w:r>
              <w:rPr>
                <w:rFonts w:ascii="Cambria Math" w:hAnsi="Cambria Math" w:eastAsia="宋体"/>
                <w:i/>
                <w:sz w:val="20"/>
              </w:rPr>
              <w:t>w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· j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*= 1 + η(r</w:t>
            </w:r>
            <w:r>
              <w:rPr>
                <w:rFonts w:ascii="Cambria Math" w:hAnsi="Cambria Math" w:eastAsia="宋体"/>
                <w:i/>
                <w:sz w:val="20"/>
                <w:vertAlign w:val="superscript"/>
              </w:rPr>
              <w:t>⋆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- r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  <w:r>
              <w:rPr>
                <w:rFonts w:ascii="Cambria Math" w:hAnsi="Cambria Math" w:eastAsia="宋体"/>
                <w:i/>
                <w:sz w:val="20"/>
              </w:rPr>
              <w:t>)/r</w:t>
            </w:r>
            <w:r>
              <w:rPr>
                <w:rFonts w:ascii="Cambria Math" w:hAnsi="Cambria Math" w:eastAsia="宋体"/>
                <w:i/>
                <w:sz w:val="20"/>
                <w:vertAlign w:val="superscript"/>
              </w:rPr>
              <w:t>⋆</w:t>
            </w:r>
          </w:p>
        </w:tc>
        <w:tc>
          <w:tcPr>
            <w:tcW w:w="2340" w:type="dxa"/>
          </w:tcPr>
          <w:p w14:paraId="4AB591A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MOTOR_TURN</w:t>
            </w:r>
          </w:p>
        </w:tc>
        <w:tc>
          <w:tcPr>
            <w:tcW w:w="2340" w:type="dxa"/>
          </w:tcPr>
          <w:p w14:paraId="0EC127F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clamp turning at a low target (18 Hz), ≈ concentration-independent → value dominated by forward drive</w:t>
            </w:r>
          </w:p>
        </w:tc>
      </w:tr>
      <w:tr w14:paraId="7E4F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1335545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Anti-Hebbian</w:t>
            </w:r>
          </w:p>
        </w:tc>
        <w:tc>
          <w:tcPr>
            <w:tcW w:w="2340" w:type="dxa"/>
          </w:tcPr>
          <w:p w14:paraId="47D9027D">
            <w:pPr>
              <w:jc w:val="left"/>
            </w:pPr>
            <w:r>
              <w:rPr>
                <w:rFonts w:ascii="Cambria Math" w:hAnsi="Cambria Math" w:eastAsia="宋体"/>
                <w:i/>
                <w:sz w:val="20"/>
              </w:rPr>
              <w:t>Δ w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ij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= -η x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 w:eastAsia="宋体"/>
                <w:i/>
                <w:sz w:val="20"/>
              </w:rPr>
              <w:t xml:space="preserve"> y</w:t>
            </w:r>
            <w:r>
              <w:rPr>
                <w:rFonts w:ascii="Cambria Math" w:hAnsi="Cambria Math" w:eastAsia="宋体"/>
                <w:i/>
                <w:sz w:val="20"/>
                <w:vertAlign w:val="subscript"/>
              </w:rPr>
              <w:t>j</w:t>
            </w:r>
          </w:p>
        </w:tc>
        <w:tc>
          <w:tcPr>
            <w:tcW w:w="2340" w:type="dxa"/>
          </w:tcPr>
          <w:p w14:paraId="4A70D76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(pool / used under shuffle)</w:t>
            </w:r>
          </w:p>
        </w:tc>
        <w:tc>
          <w:tcPr>
            <w:tcW w:w="2340" w:type="dxa"/>
          </w:tcPr>
          <w:p w14:paraId="3D67D4DA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decorrelation, oscillation suppression</w:t>
            </w:r>
          </w:p>
        </w:tc>
      </w:tr>
    </w:tbl>
    <w:p w14:paraId="00A4BB19"/>
    <w:p w14:paraId="43A1ACD8">
      <w:pPr>
        <w:jc w:val="both"/>
      </w:pPr>
      <w:r>
        <w:rPr>
          <w:rFonts w:ascii="Times New Roman" w:hAnsi="Times New Roman" w:eastAsia="宋体"/>
        </w:rPr>
        <w:t xml:space="preserve">The reward function </w:t>
      </w:r>
      <w:r>
        <w:rPr>
          <w:rFonts w:ascii="Cambria Math" w:hAnsi="Cambria Math" w:eastAsia="宋体"/>
          <w:i/>
        </w:rPr>
        <w:t>R(C) = σ((log C - log 45)/0.45)</w:t>
      </w:r>
      <w:r>
        <w:rPr>
          <w:rFonts w:ascii="Times New Roman" w:hAnsi="Times New Roman" w:eastAsia="宋体"/>
        </w:rPr>
        <w:t xml:space="preserve"> increases monotonically with concentration, encoding the ethological reward of being near food. One engineering subtlety deserves emphasis: because sensory neurons receive only a single input class (receptors), unconstrained BCM would enter a self-reinforcing LTD loop and silence the layer. The combination of </w:t>
      </w:r>
      <w:r>
        <w:rPr>
          <w:rFonts w:ascii="Times New Roman" w:hAnsi="Times New Roman" w:eastAsia="宋体"/>
          <w:i/>
        </w:rPr>
        <w:t>competitive fan-in normalization</w:t>
      </w:r>
      <w:r>
        <w:rPr>
          <w:rFonts w:ascii="Times New Roman" w:hAnsi="Times New Roman" w:eastAsia="宋体"/>
        </w:rPr>
        <w:t xml:space="preserve"> (BCM redistributes weight across inputs rather than globally decaying it) with a </w:t>
      </w:r>
      <w:r>
        <w:rPr>
          <w:rFonts w:ascii="Times New Roman" w:hAnsi="Times New Roman" w:eastAsia="宋体"/>
          <w:i/>
        </w:rPr>
        <w:t>positive weight floor</w:t>
      </w:r>
      <w:r>
        <w:rPr>
          <w:rFonts w:ascii="Times New Roman" w:hAnsi="Times New Roman" w:eastAsia="宋体"/>
        </w:rPr>
        <w:t xml:space="preserve"> keeps the sensory layer driven while still letting BCM sharpen selectivity — this is what lets the heterogeneous network keep concentration discriminable (Section 3.2).</w:t>
      </w:r>
    </w:p>
    <w:p w14:paraId="3E099BD5">
      <w:pPr>
        <w:pStyle w:val="4"/>
      </w:pPr>
      <w:r>
        <w:rPr>
          <w:rFonts w:ascii="Times New Roman" w:hAnsi="Times New Roman" w:eastAsia="黑体"/>
        </w:rPr>
        <w:t>2.4 Three conditions (assignment)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C52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D9E2F3"/>
          </w:tcPr>
          <w:p w14:paraId="47F81AB3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Condition</w:t>
            </w:r>
          </w:p>
        </w:tc>
        <w:tc>
          <w:tcPr>
            <w:tcW w:w="3120" w:type="dxa"/>
            <w:shd w:val="clear" w:color="auto" w:fill="D9E2F3"/>
          </w:tcPr>
          <w:p w14:paraId="7BECD4FC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Assignment</w:t>
            </w:r>
          </w:p>
        </w:tc>
        <w:tc>
          <w:tcPr>
            <w:tcW w:w="3120" w:type="dxa"/>
            <w:shd w:val="clear" w:color="auto" w:fill="D9E2F3"/>
          </w:tcPr>
          <w:p w14:paraId="2E18133E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Role</w:t>
            </w:r>
          </w:p>
        </w:tc>
      </w:tr>
      <w:tr w14:paraId="77CD4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0434F53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heterogeneous</w:t>
            </w:r>
          </w:p>
        </w:tc>
        <w:tc>
          <w:tcPr>
            <w:tcW w:w="3120" w:type="dxa"/>
          </w:tcPr>
          <w:p w14:paraId="042B1D4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each type → its suited rule (above)</w:t>
            </w:r>
          </w:p>
        </w:tc>
        <w:tc>
          <w:tcPr>
            <w:tcW w:w="3120" w:type="dxa"/>
          </w:tcPr>
          <w:p w14:paraId="05291AE3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the core hypothesis</w:t>
            </w:r>
          </w:p>
        </w:tc>
      </w:tr>
      <w:tr w14:paraId="2B65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A82E6CE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homogeneous</w:t>
            </w:r>
          </w:p>
        </w:tc>
        <w:tc>
          <w:tcPr>
            <w:tcW w:w="3120" w:type="dxa"/>
          </w:tcPr>
          <w:p w14:paraId="46EF787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all plastic cells → Reward-STDP (the single strongest rule)</w:t>
            </w:r>
          </w:p>
        </w:tc>
        <w:tc>
          <w:tcPr>
            <w:tcW w:w="3120" w:type="dxa"/>
          </w:tcPr>
          <w:p w14:paraId="6A17F4BE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a fair, strong single-rule baseline</w:t>
            </w:r>
          </w:p>
        </w:tc>
      </w:tr>
      <w:tr w14:paraId="670B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E499314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shuffled</w:t>
            </w:r>
          </w:p>
        </w:tc>
        <w:tc>
          <w:tcPr>
            <w:tcW w:w="3120" w:type="dxa"/>
          </w:tcPr>
          <w:p w14:paraId="41067013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the </w:t>
            </w:r>
            <w:r>
              <w:rPr>
                <w:rFonts w:ascii="Times New Roman" w:hAnsi="Times New Roman" w:eastAsia="宋体"/>
                <w:i/>
                <w:sz w:val="20"/>
              </w:rPr>
              <w:t>same</w:t>
            </w:r>
            <w:r>
              <w:rPr>
                <w:rFonts w:ascii="Times New Roman" w:hAnsi="Times New Roman" w:eastAsia="宋体"/>
                <w:sz w:val="20"/>
              </w:rPr>
              <w:t xml:space="preserve"> five rules, randomly reassigned to the five types (a fresh random permutation per seed)</w:t>
            </w:r>
          </w:p>
        </w:tc>
        <w:tc>
          <w:tcPr>
            <w:tcW w:w="3120" w:type="dxa"/>
          </w:tcPr>
          <w:p w14:paraId="5C9A3A6F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causal ablation: diversity vs. specific mapping</w:t>
            </w:r>
          </w:p>
        </w:tc>
      </w:tr>
    </w:tbl>
    <w:p w14:paraId="1155BF29"/>
    <w:p w14:paraId="35933793">
      <w:pPr>
        <w:jc w:val="both"/>
      </w:pPr>
      <w:r>
        <w:rPr>
          <w:rFonts w:ascii="Times New Roman" w:hAnsi="Times New Roman" w:eastAsia="宋体"/>
        </w:rPr>
        <w:t xml:space="preserve">The three conditions form a logical triangle. Heterogeneous ≈ homogeneous would mean diversity is useless; heterogeneous ≈ shuffled would mean the </w:t>
      </w:r>
      <w:r>
        <w:rPr>
          <w:rFonts w:ascii="Times New Roman" w:hAnsi="Times New Roman" w:eastAsia="宋体"/>
          <w:i/>
        </w:rPr>
        <w:t>specific</w:t>
      </w:r>
      <w:r>
        <w:rPr>
          <w:rFonts w:ascii="Times New Roman" w:hAnsi="Times New Roman" w:eastAsia="宋体"/>
        </w:rPr>
        <w:t xml:space="preserve"> mapping is what does not matter; heterogeneous &gt; both would localize the advantage. Critically, the homogeneous baseline is not a straw man: it uses the single most powerful rule (reward-modulated STDP can, in principle, solve the credit-assignment problem on its own), so beating it is a strong result.</w:t>
      </w:r>
    </w:p>
    <w:p w14:paraId="4E0BF740">
      <w:pPr>
        <w:pStyle w:val="4"/>
      </w:pPr>
      <w:r>
        <w:rPr>
          <w:rFonts w:ascii="Times New Roman" w:hAnsi="Times New Roman" w:eastAsia="黑体"/>
        </w:rPr>
        <w:t>2.5 Two readouts</w:t>
      </w:r>
    </w:p>
    <w:p w14:paraId="2778DCE6">
      <w:pPr>
        <w:jc w:val="both"/>
      </w:pPr>
      <w:r>
        <w:rPr>
          <w:rFonts w:ascii="Times New Roman" w:hAnsi="Times New Roman" w:eastAsia="宋体"/>
        </w:rPr>
        <w:t xml:space="preserve">The two readouts differ </w:t>
      </w:r>
      <w:r>
        <w:rPr>
          <w:rFonts w:ascii="Times New Roman" w:hAnsi="Times New Roman" w:eastAsia="宋体"/>
          <w:i/>
        </w:rPr>
        <w:t>only</w:t>
      </w:r>
      <w:r>
        <w:rPr>
          <w:rFonts w:ascii="Times New Roman" w:hAnsi="Times New Roman" w:eastAsia="宋体"/>
        </w:rPr>
        <w:t xml:space="preserve"> in how value and slope are obtained; the downstream motor controller is identical, isolating the readout as the experimental variable.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A92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D9E2F3"/>
          </w:tcPr>
          <w:p w14:paraId="324CC35C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Readout</w:t>
            </w:r>
          </w:p>
        </w:tc>
        <w:tc>
          <w:tcPr>
            <w:tcW w:w="3120" w:type="dxa"/>
            <w:shd w:val="clear" w:color="auto" w:fill="D9E2F3"/>
          </w:tcPr>
          <w:p w14:paraId="27DF39A6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Procedure</w:t>
            </w:r>
          </w:p>
        </w:tc>
        <w:tc>
          <w:tcPr>
            <w:tcW w:w="3120" w:type="dxa"/>
            <w:shd w:val="clear" w:color="auto" w:fill="D9E2F3"/>
          </w:tcPr>
          <w:p w14:paraId="2D4F1F40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Character</w:t>
            </w:r>
          </w:p>
        </w:tc>
      </w:tr>
      <w:tr w14:paraId="2FB3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7D91FE7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cached</w:t>
            </w:r>
            <w:r>
              <w:rPr>
                <w:rFonts w:ascii="Times New Roman" w:hAnsi="Times New Roman" w:eastAsia="宋体"/>
                <w:sz w:val="20"/>
              </w:rPr>
              <w:t xml:space="preserve"> (ideal lookup)</w:t>
            </w:r>
          </w:p>
        </w:tc>
        <w:tc>
          <w:tcPr>
            <w:tcW w:w="3120" w:type="dxa"/>
          </w:tcPr>
          <w:p w14:paraId="59E7D6D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after training, build a smooth value(</w:t>
            </w:r>
            <w:r>
              <w:rPr>
                <w:rFonts w:ascii="Cambria Math" w:hAnsi="Cambria Math" w:eastAsia="宋体"/>
                <w:i/>
                <w:sz w:val="20"/>
              </w:rPr>
              <w:t>C</w:t>
            </w:r>
            <w:r>
              <w:rPr>
                <w:rFonts w:ascii="Times New Roman" w:hAnsi="Times New Roman" w:eastAsia="宋体"/>
                <w:sz w:val="20"/>
              </w:rPr>
              <w:t>) surface by averaging 3 frozen-network responses at each of 14 log-spaced concentration points (</w:t>
            </w:r>
            <w:r>
              <w:rPr>
                <w:rFonts w:ascii="Cambria Math" w:hAnsi="Cambria Math" w:eastAsia="宋体"/>
                <w:i/>
                <w:sz w:val="20"/>
              </w:rPr>
              <w:t>C = 2…150</w:t>
            </w:r>
            <w:r>
              <w:rPr>
                <w:rFonts w:ascii="Times New Roman" w:hAnsi="Times New Roman" w:eastAsia="宋体"/>
                <w:sz w:val="20"/>
              </w:rPr>
              <w:t xml:space="preserve"> mM); during navigation, interpolate value and take a finite-difference slope</w:t>
            </w:r>
          </w:p>
        </w:tc>
        <w:tc>
          <w:tcPr>
            <w:tcW w:w="3120" w:type="dxa"/>
          </w:tcPr>
          <w:p w14:paraId="7F1C356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ideal, low-noise ("decoder-assisted")</w:t>
            </w:r>
          </w:p>
        </w:tc>
      </w:tr>
      <w:tr w14:paraId="247C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2C875CF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continuous</w:t>
            </w:r>
            <w:r>
              <w:rPr>
                <w:rFonts w:ascii="Times New Roman" w:hAnsi="Times New Roman" w:eastAsia="宋体"/>
                <w:sz w:val="20"/>
              </w:rPr>
              <w:t xml:space="preserve"> (real-time spikes)</w:t>
            </w:r>
          </w:p>
        </w:tc>
        <w:tc>
          <w:tcPr>
            <w:tcW w:w="3120" w:type="dxa"/>
          </w:tcPr>
          <w:p w14:paraId="4D44558A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the network fires </w:t>
            </w:r>
            <w:r>
              <w:rPr>
                <w:rFonts w:ascii="Times New Roman" w:hAnsi="Times New Roman" w:eastAsia="宋体"/>
                <w:i/>
                <w:sz w:val="20"/>
              </w:rPr>
              <w:t>as the worm crawls</w:t>
            </w:r>
            <w:r>
              <w:rPr>
                <w:rFonts w:ascii="Times New Roman" w:hAnsi="Times New Roman" w:eastAsia="宋体"/>
                <w:sz w:val="20"/>
              </w:rPr>
              <w:t xml:space="preserve">; value is the </w:t>
            </w:r>
            <w:r>
              <w:rPr>
                <w:rFonts w:ascii="Cambria Math" w:hAnsi="Cambria Math" w:eastAsia="宋体"/>
                <w:i/>
                <w:sz w:val="20"/>
              </w:rPr>
              <w:t>τ=200</w:t>
            </w:r>
            <w:r>
              <w:rPr>
                <w:rFonts w:ascii="Times New Roman" w:hAnsi="Times New Roman" w:eastAsia="宋体"/>
                <w:sz w:val="20"/>
              </w:rPr>
              <w:t xml:space="preserve"> ms EMA of forward-minus-turning rate; slope is a finite difference computed with a second, persistent-state "probe" brain driven at </w:t>
            </w:r>
            <w:r>
              <w:rPr>
                <w:rFonts w:ascii="Cambria Math" w:hAnsi="Cambria Math" w:eastAsia="宋体"/>
                <w:i/>
                <w:sz w:val="20"/>
              </w:rPr>
              <w:t>C×1.5</w:t>
            </w:r>
          </w:p>
        </w:tc>
        <w:tc>
          <w:tcPr>
            <w:tcW w:w="3120" w:type="dxa"/>
          </w:tcPr>
          <w:p w14:paraId="1F316072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realistic, noisy (online computation)</w:t>
            </w:r>
          </w:p>
        </w:tc>
      </w:tr>
    </w:tbl>
    <w:p w14:paraId="7E0D04D6"/>
    <w:p w14:paraId="274477E0">
      <w:pPr>
        <w:jc w:val="both"/>
      </w:pPr>
      <w:r>
        <w:rPr>
          <w:rFonts w:ascii="Times New Roman" w:hAnsi="Times New Roman" w:eastAsia="宋体"/>
        </w:rPr>
        <w:t xml:space="preserve">Continuous readout is the </w:t>
      </w:r>
      <w:r>
        <w:rPr>
          <w:rFonts w:ascii="Times New Roman" w:hAnsi="Times New Roman" w:eastAsia="宋体"/>
          <w:b/>
        </w:rPr>
        <w:t>criterion</w:t>
      </w:r>
      <w:r>
        <w:rPr>
          <w:rFonts w:ascii="Times New Roman" w:hAnsi="Times New Roman" w:eastAsia="宋体"/>
        </w:rPr>
        <w:t xml:space="preserve"> condition: it is closest to genuine on-line computation and is the readout under which a saturation-induced flattening of value(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>) should be most damaging.</w:t>
      </w:r>
    </w:p>
    <w:p w14:paraId="755F4D41">
      <w:pPr>
        <w:pStyle w:val="4"/>
      </w:pPr>
      <w:r>
        <w:rPr>
          <w:rFonts w:ascii="Times New Roman" w:hAnsi="Times New Roman" w:eastAsia="黑体"/>
        </w:rPr>
        <w:t>2.6 Shared controller, experimental grid, and statistics</w:t>
      </w:r>
    </w:p>
    <w:p w14:paraId="346C5AC5">
      <w:pPr>
        <w:jc w:val="both"/>
      </w:pPr>
      <w:r>
        <w:rPr>
          <w:rFonts w:ascii="Times New Roman" w:hAnsi="Times New Roman" w:eastAsia="宋体"/>
        </w:rPr>
        <w:t xml:space="preserve">The controller (identical across readouts) sets heading from a biased-random-walk term proportional to </w:t>
      </w:r>
      <w:r>
        <w:rPr>
          <w:rFonts w:ascii="Cambria Math" w:hAnsi="Cambria Math" w:eastAsia="宋体"/>
          <w:i/>
        </w:rPr>
        <w:t>tanh(slope/5)</w:t>
      </w:r>
      <w:r>
        <w:rPr>
          <w:rFonts w:ascii="Times New Roman" w:hAnsi="Times New Roman" w:eastAsia="宋体"/>
        </w:rPr>
        <w:t xml:space="preserve"> times the signed angle to center, plus turn noise and spontaneous turns; speed scales with </w:t>
      </w:r>
      <w:r>
        <w:rPr>
          <w:rFonts w:ascii="Cambria Math" w:hAnsi="Cambria Math" w:eastAsia="宋体"/>
          <w:i/>
        </w:rPr>
        <w:t>tanh(value/8)</w:t>
      </w:r>
      <w:r>
        <w:rPr>
          <w:rFonts w:ascii="Times New Roman" w:hAnsi="Times New Roman" w:eastAsia="宋体"/>
        </w:rPr>
        <w:t>. Positive slope ⇒ turn toward food.</w:t>
      </w:r>
    </w:p>
    <w:p w14:paraId="5E24B80C">
      <w:pPr>
        <w:jc w:val="both"/>
      </w:pPr>
      <w:r>
        <w:rPr>
          <w:rFonts w:ascii="Times New Roman" w:hAnsi="Times New Roman" w:eastAsia="宋体"/>
        </w:rPr>
        <w:t xml:space="preserve">The experimental grid is </w:t>
      </w:r>
      <w:r>
        <w:rPr>
          <w:rFonts w:ascii="Times New Roman" w:hAnsi="Times New Roman" w:eastAsia="宋体"/>
          <w:b/>
        </w:rPr>
        <w:t>10 seeds × 3 conditions × 3 concentrations × 2 gradients × 2 readouts</w:t>
      </w:r>
      <w:r>
        <w:rPr>
          <w:rFonts w:ascii="Times New Roman" w:hAnsi="Times New Roman" w:eastAsia="宋体"/>
        </w:rPr>
        <w:t xml:space="preserve"> (= 360 configurations); within each, 96 worms (cached) or 40 worms (continuous) are run. We report </w:t>
      </w:r>
      <w:r>
        <w:rPr>
          <w:rFonts w:ascii="Times New Roman" w:hAnsi="Times New Roman" w:eastAsia="宋体"/>
          <w:i/>
        </w:rPr>
        <w:t>aligned strength</w:t>
      </w:r>
      <w:r>
        <w:rPr>
          <w:rFonts w:ascii="Times New Roman" w:hAnsi="Times New Roman" w:eastAsia="宋体"/>
        </w:rPr>
        <w:t xml:space="preserve"> (mean metric across strata) and </w:t>
      </w:r>
      <w:r>
        <w:rPr>
          <w:rFonts w:ascii="Times New Roman" w:hAnsi="Times New Roman" w:eastAsia="宋体"/>
          <w:i/>
        </w:rPr>
        <w:t>direction pass-rate</w:t>
      </w:r>
      <w:r>
        <w:rPr>
          <w:rFonts w:ascii="Times New Roman" w:hAnsi="Times New Roman" w:eastAsia="宋体"/>
        </w:rPr>
        <w:t xml:space="preserve"> (the fraction of strata in which a one-sample worm-level </w:t>
      </w:r>
      <w:r>
        <w:rPr>
          <w:rFonts w:ascii="Times New Roman" w:hAnsi="Times New Roman" w:eastAsia="宋体"/>
          <w:i/>
        </w:rPr>
        <w:t>t</w:t>
      </w:r>
      <w:r>
        <w:rPr>
          <w:rFonts w:ascii="Times New Roman" w:hAnsi="Times New Roman" w:eastAsia="宋体"/>
        </w:rPr>
        <w:t xml:space="preserve">-test is significant at </w:t>
      </w:r>
      <w:r>
        <w:rPr>
          <w:rFonts w:ascii="Cambria Math" w:hAnsi="Cambria Math" w:eastAsia="宋体"/>
          <w:i/>
        </w:rPr>
        <w:t>p&lt;0.05</w:t>
      </w:r>
      <w:r>
        <w:rPr>
          <w:rFonts w:ascii="Times New Roman" w:hAnsi="Times New Roman" w:eastAsia="宋体"/>
        </w:rPr>
        <w:t xml:space="preserve"> with positive mean; chance ≈ 0.5). For contrasts we use </w:t>
      </w:r>
      <w:r>
        <w:rPr>
          <w:rFonts w:ascii="Times New Roman" w:hAnsi="Times New Roman" w:eastAsia="宋体"/>
          <w:b/>
        </w:rPr>
        <w:t>paired-by-seed</w:t>
      </w:r>
      <w:r>
        <w:rPr>
          <w:rFonts w:ascii="Times New Roman" w:hAnsi="Times New Roman" w:eastAsia="宋体"/>
        </w:rPr>
        <w:t xml:space="preserve"> statistics (each seed contributes one network initialized identically across conditions): 2000-resample bootstrap 95% CIs on the per-seed difference, corroborated by a paired </w:t>
      </w:r>
      <w:r>
        <w:rPr>
          <w:rFonts w:ascii="Times New Roman" w:hAnsi="Times New Roman" w:eastAsia="宋体"/>
          <w:i/>
        </w:rPr>
        <w:t>t</w:t>
      </w:r>
      <w:r>
        <w:rPr>
          <w:rFonts w:ascii="Times New Roman" w:hAnsi="Times New Roman" w:eastAsia="宋体"/>
        </w:rPr>
        <w:t>-test.</w:t>
      </w:r>
    </w:p>
    <w:p w14:paraId="3DAE5578">
      <w:pPr>
        <w:pStyle w:val="3"/>
      </w:pPr>
      <w:r>
        <w:rPr>
          <w:rFonts w:ascii="Times New Roman" w:hAnsi="Times New Roman" w:eastAsia="黑体"/>
        </w:rPr>
        <w:t>3. Results</w:t>
      </w:r>
    </w:p>
    <w:p w14:paraId="6D4EF5D0">
      <w:pPr>
        <w:pStyle w:val="4"/>
      </w:pPr>
      <w:r>
        <w:rPr>
          <w:rFonts w:ascii="Times New Roman" w:hAnsi="Times New Roman" w:eastAsia="黑体"/>
        </w:rPr>
        <w:t>3.1 Heterogeneous beats homogeneous under continuous readout — on every metric</w:t>
      </w:r>
    </w:p>
    <w:p w14:paraId="540975F4">
      <w:pPr>
        <w:jc w:val="both"/>
      </w:pPr>
      <w:r>
        <w:rPr>
          <w:rFonts w:ascii="Times New Roman" w:hAnsi="Times New Roman" w:eastAsia="宋体"/>
        </w:rPr>
        <w:t xml:space="preserve">Under the continuous real-time readout, heterogeneous assignment is superior to homogeneous assignment on all four behavioral metrics (Fig. 1, right panel; Fig. 2; Table 1). The effect is largest on the most integrative metric: </w:t>
      </w:r>
      <w:r>
        <w:rPr>
          <w:rFonts w:ascii="Times New Roman" w:hAnsi="Times New Roman" w:eastAsia="宋体"/>
          <w:b/>
        </w:rPr>
        <w:t>Endpoint</w:t>
      </w:r>
      <w:r>
        <w:rPr>
          <w:rFonts w:ascii="Times New Roman" w:hAnsi="Times New Roman" w:eastAsia="宋体"/>
        </w:rPr>
        <w:t xml:space="preserve"> aligned strength </w:t>
      </w:r>
      <w:r>
        <w:rPr>
          <w:rFonts w:ascii="Times New Roman" w:hAnsi="Times New Roman" w:eastAsia="宋体"/>
          <w:b/>
        </w:rPr>
        <w:t>+0.84</w:t>
      </w:r>
      <w:r>
        <w:rPr>
          <w:rFonts w:ascii="Times New Roman" w:hAnsi="Times New Roman" w:eastAsia="宋体"/>
        </w:rPr>
        <w:t xml:space="preserve"> (≈92% of worms reach the food zone) for heterogeneous versus </w:t>
      </w:r>
      <w:r>
        <w:rPr>
          <w:rFonts w:ascii="Times New Roman" w:hAnsi="Times New Roman" w:eastAsia="宋体"/>
          <w:b/>
        </w:rPr>
        <w:t>−0.64</w:t>
      </w:r>
      <w:r>
        <w:rPr>
          <w:rFonts w:ascii="Times New Roman" w:hAnsi="Times New Roman" w:eastAsia="宋体"/>
        </w:rPr>
        <w:t xml:space="preserve"> (≈18%) for homogeneous — a swing of 1.48 aligned-strength units. The Endpoint </w:t>
      </w:r>
      <w:r>
        <w:rPr>
          <w:rFonts w:ascii="Times New Roman" w:hAnsi="Times New Roman" w:eastAsia="宋体"/>
          <w:b/>
        </w:rPr>
        <w:t>direction pass-rate</w:t>
      </w:r>
      <w:r>
        <w:rPr>
          <w:rFonts w:ascii="Times New Roman" w:hAnsi="Times New Roman" w:eastAsia="宋体"/>
        </w:rPr>
        <w:t xml:space="preserve"> is </w:t>
      </w:r>
      <w:r>
        <w:rPr>
          <w:rFonts w:ascii="Times New Roman" w:hAnsi="Times New Roman" w:eastAsia="宋体"/>
          <w:b/>
        </w:rPr>
        <w:t>0.83 vs 0.03</w:t>
      </w:r>
      <w:r>
        <w:rPr>
          <w:rFonts w:ascii="Times New Roman" w:hAnsi="Times New Roman" w:eastAsia="宋体"/>
        </w:rPr>
        <w:t xml:space="preserve"> (≈chance): heterogeneous worms chemotax successfully under essentially every concentration×gradient combination, while homogeneous worms almost never reach the food. The other three metrics tell the same story (BRW 0.27 vs 0.05; Klinotaxis 6.89 vs 2.08; Velocity 0.83 vs 0.16). The four metrics tighten from heading through concentration and position to outcome, and agree at every level: the homogeneous network's chemotaxis collapses at every stage, the heterogeneous network's holds.</w:t>
      </w:r>
    </w:p>
    <w:p w14:paraId="29EFA137">
      <w:pPr>
        <w:jc w:val="center"/>
      </w:pPr>
      <w:r>
        <w:drawing>
          <wp:inline distT="0" distB="0" distL="114300" distR="114300">
            <wp:extent cx="5120640" cy="19691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8AAB">
      <w:pPr>
        <w:spacing w:before="40" w:after="200"/>
        <w:jc w:val="left"/>
      </w:pPr>
      <w:r>
        <w:rPr>
          <w:rFonts w:ascii="Times New Roman" w:hAnsi="Times New Roman" w:eastAsia="宋体"/>
          <w:b/>
          <w:i/>
          <w:sz w:val="18"/>
        </w:rPr>
        <w:t>Figure 1. Aligned strength (core result).</w:t>
      </w:r>
      <w:r>
        <w:rPr>
          <w:rFonts w:ascii="Times New Roman" w:hAnsi="Times New Roman" w:eastAsia="宋体"/>
          <w:i/>
          <w:sz w:val="18"/>
        </w:rPr>
        <w:t xml:space="preserve"> Left: cached (ideal lookup) readout; right: continuous (real-time) readout. Within each panel, four metric groups (BRW, Klinotaxis, Velocity, Endpoint); within each group, heterogeneous (blue), shuffled (orange), homogeneous (red). Positive = correct chemotaxis; 0 = random baseline. The decisive separation appears in the right panel: heterogeneous and shuffled reach the food (Endpoint ≈ +0.8), homogeneous does not (Endpoint ≈ −0.6). Under cached readout (left) the three conditions are nearly indistinguishable.</w:t>
      </w:r>
    </w:p>
    <w:p w14:paraId="77857A18">
      <w:pPr>
        <w:jc w:val="center"/>
      </w:pPr>
      <w:r>
        <w:drawing>
          <wp:inline distT="0" distB="0" distL="114300" distR="114300">
            <wp:extent cx="5120640" cy="19691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079B">
      <w:pPr>
        <w:spacing w:before="40" w:after="200"/>
        <w:jc w:val="left"/>
      </w:pPr>
      <w:r>
        <w:rPr>
          <w:rFonts w:ascii="Times New Roman" w:hAnsi="Times New Roman" w:eastAsia="宋体"/>
          <w:b/>
          <w:i/>
          <w:sz w:val="18"/>
        </w:rPr>
        <w:t>Figure 2. Direction pass-rate.</w:t>
      </w:r>
      <w:r>
        <w:rPr>
          <w:rFonts w:ascii="Times New Roman" w:hAnsi="Times New Roman" w:eastAsia="宋体"/>
          <w:i/>
          <w:sz w:val="18"/>
        </w:rPr>
        <w:t xml:space="preserve"> Same layout as Fig. 1; y-axis is the fraction of concentration×gradient strata in which worms significantly chemotax (chance ≈ 0.5, dashed line). Under continuous readout (right), heterogeneous/shuffled pass at ≈1.0 while homogeneous's Endpoint collapses to 0.03.</w:t>
      </w:r>
    </w:p>
    <w:p w14:paraId="2D4F92FF">
      <w:pPr>
        <w:jc w:val="both"/>
      </w:pPr>
      <w:r>
        <w:rPr>
          <w:rFonts w:ascii="Times New Roman" w:hAnsi="Times New Roman" w:eastAsia="宋体"/>
        </w:rPr>
        <w:t xml:space="preserve">The statistics are unambiguous. For the heterogeneous − homogeneous contrast under continuous readout, the 95% bootstrap CIs of the per-seed difference lie entirely above zero for </w:t>
      </w:r>
      <w:r>
        <w:rPr>
          <w:rFonts w:ascii="Times New Roman" w:hAnsi="Times New Roman" w:eastAsia="宋体"/>
          <w:b/>
        </w:rPr>
        <w:t>all four</w:t>
      </w:r>
      <w:r>
        <w:rPr>
          <w:rFonts w:ascii="Times New Roman" w:hAnsi="Times New Roman" w:eastAsia="宋体"/>
        </w:rPr>
        <w:t xml:space="preserve"> metrics, and the paired </w:t>
      </w:r>
      <w:r>
        <w:rPr>
          <w:rFonts w:ascii="Times New Roman" w:hAnsi="Times New Roman" w:eastAsia="宋体"/>
          <w:i/>
        </w:rPr>
        <w:t>t</w:t>
      </w:r>
      <w:r>
        <w:rPr>
          <w:rFonts w:ascii="Times New Roman" w:hAnsi="Times New Roman" w:eastAsia="宋体"/>
        </w:rPr>
        <w:t xml:space="preserve">-test gives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&lt; 10⁻⁷ in every case (Fig. 3, right, blue; Table 3): BRW Δ = +0.224 [+0.198, +0.247],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= 4.8×10⁻⁸; Klinotaxis Δ = +4.811 [+4.383, +5.262],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= 7.6×10⁻⁹; Velocity Δ = +0.665 [+0.610, +0.720],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= 3.6×10⁻⁹; Endpoint Δ = +1.476 [+1.371, +1.576],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= 5.9×10⁻¹⁰. The half-widths are an order of magnitude smaller than the effects.</w:t>
      </w:r>
    </w:p>
    <w:p w14:paraId="65700DD8">
      <w:pPr>
        <w:jc w:val="center"/>
      </w:pPr>
      <w:r>
        <w:drawing>
          <wp:inline distT="0" distB="0" distL="114300" distR="114300">
            <wp:extent cx="5120640" cy="216598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6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2B39">
      <w:pPr>
        <w:spacing w:before="40" w:after="200"/>
        <w:jc w:val="left"/>
      </w:pPr>
      <w:r>
        <w:rPr>
          <w:rFonts w:ascii="Times New Roman" w:hAnsi="Times New Roman" w:eastAsia="宋体"/>
          <w:b/>
          <w:i/>
          <w:sz w:val="18"/>
        </w:rPr>
        <w:t>Figure 3. Contrasts with 95% bootstrap CIs (forest plot).</w:t>
      </w:r>
      <w:r>
        <w:rPr>
          <w:rFonts w:ascii="Times New Roman" w:hAnsi="Times New Roman" w:eastAsia="宋体"/>
          <w:i/>
          <w:sz w:val="18"/>
        </w:rPr>
        <w:t xml:space="preserve"> Left: cached; right: continuous. Blue squares = heterogeneous − homogeneous; orange circles = heterogeneous − shuffled. Zero line = no difference. Under continuous readout (right) all four blue contrasts sit clearly to the right of zero (heterogeneous significantly better), while the orange contrasts straddle zero (heterogeneous ≈ shuffled). Under cached readout (left) the blue contrasts straddle zero.</w:t>
      </w:r>
    </w:p>
    <w:p w14:paraId="79FDF637">
      <w:pPr>
        <w:pStyle w:val="4"/>
      </w:pPr>
      <w:r>
        <w:rPr>
          <w:rFonts w:ascii="Times New Roman" w:hAnsi="Times New Roman" w:eastAsia="黑体"/>
        </w:rPr>
        <w:t>3.2 The mechanism: saturation flattens the concentration→value map</w:t>
      </w:r>
    </w:p>
    <w:p w14:paraId="02EF4D84">
      <w:pPr>
        <w:jc w:val="both"/>
      </w:pPr>
      <w:r>
        <w:rPr>
          <w:rFonts w:ascii="Times New Roman" w:hAnsi="Times New Roman" w:eastAsia="宋体"/>
        </w:rPr>
        <w:t xml:space="preserve">Why does the homogeneous network fail? It is not a matter of tuning; it is a mechanism. The homogeneous condition applies reward-modulated STDP to </w:t>
      </w:r>
      <w:r>
        <w:rPr>
          <w:rFonts w:ascii="Times New Roman" w:hAnsi="Times New Roman" w:eastAsia="宋体"/>
          <w:i/>
        </w:rPr>
        <w:t>every</w:t>
      </w:r>
      <w:r>
        <w:rPr>
          <w:rFonts w:ascii="Times New Roman" w:hAnsi="Times New Roman" w:eastAsia="宋体"/>
        </w:rPr>
        <w:t xml:space="preserve"> plastic cell. Because reward rises with concentration, </w:t>
      </w:r>
      <w:r>
        <w:rPr>
          <w:rFonts w:ascii="Times New Roman" w:hAnsi="Times New Roman" w:eastAsia="宋体"/>
          <w:i/>
        </w:rPr>
        <w:t>all</w:t>
      </w:r>
      <w:r>
        <w:rPr>
          <w:rFonts w:ascii="Times New Roman" w:hAnsi="Times New Roman" w:eastAsia="宋体"/>
        </w:rPr>
        <w:t xml:space="preserve"> layers — sensory, relay, command, and motor — are driven toward high, saturating firing rates (~120–160 Hz; Fig. 5, right). Once every layer is saturated, </w:t>
      </w:r>
      <w:r>
        <w:rPr>
          <w:rFonts w:ascii="Times New Roman" w:hAnsi="Times New Roman" w:eastAsia="宋体"/>
          <w:b/>
        </w:rPr>
        <w:t>concentration can no longer change firing rates</w:t>
      </w:r>
      <w:r>
        <w:rPr>
          <w:rFonts w:ascii="Times New Roman" w:hAnsi="Times New Roman" w:eastAsia="宋体"/>
        </w:rPr>
        <w:t>, and the value signal value(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 xml:space="preserve">) is crushed into an approximately flat line hovering near ~50–60 Hz regardless of 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 xml:space="preserve"> (Fig. 4, red). The worm turns by the </w:t>
      </w:r>
      <w:r>
        <w:rPr>
          <w:rFonts w:ascii="Times New Roman" w:hAnsi="Times New Roman" w:eastAsia="宋体"/>
          <w:i/>
        </w:rPr>
        <w:t>slope</w:t>
      </w:r>
      <w:r>
        <w:rPr>
          <w:rFonts w:ascii="Times New Roman" w:hAnsi="Times New Roman" w:eastAsia="宋体"/>
        </w:rPr>
        <w:t xml:space="preserve"> of value, slope = value(</w:t>
      </w:r>
      <w:r>
        <w:rPr>
          <w:rFonts w:ascii="Cambria Math" w:hAnsi="Cambria Math" w:eastAsia="宋体"/>
          <w:i/>
        </w:rPr>
        <w:t>C×1.5</w:t>
      </w:r>
      <w:r>
        <w:rPr>
          <w:rFonts w:ascii="Times New Roman" w:hAnsi="Times New Roman" w:eastAsia="宋体"/>
        </w:rPr>
        <w:t>) − value(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>); a flat value(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 xml:space="preserve">) gives slope ≈ 0, so the worm has </w:t>
      </w:r>
      <w:r>
        <w:rPr>
          <w:rFonts w:ascii="Times New Roman" w:hAnsi="Times New Roman" w:eastAsia="宋体"/>
          <w:b/>
        </w:rPr>
        <w:t>no directional signal</w:t>
      </w:r>
      <w:r>
        <w:rPr>
          <w:rFonts w:ascii="Times New Roman" w:hAnsi="Times New Roman" w:eastAsia="宋体"/>
        </w:rPr>
        <w:t xml:space="preserve"> and wanders in place (Fig. 6, right).</w:t>
      </w:r>
    </w:p>
    <w:p w14:paraId="2C3455E1">
      <w:pPr>
        <w:jc w:val="center"/>
      </w:pPr>
      <w:r>
        <w:drawing>
          <wp:inline distT="0" distB="0" distL="114300" distR="114300">
            <wp:extent cx="5120640" cy="33280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8C05">
      <w:pPr>
        <w:spacing w:before="40" w:after="200"/>
        <w:jc w:val="left"/>
      </w:pPr>
      <w:r>
        <w:rPr>
          <w:rFonts w:ascii="Times New Roman" w:hAnsi="Times New Roman" w:eastAsia="宋体"/>
          <w:b/>
          <w:i/>
          <w:sz w:val="18"/>
        </w:rPr>
        <w:t>Figure 4. Value curves value(C) after training.</w:t>
      </w:r>
      <w:r>
        <w:rPr>
          <w:rFonts w:ascii="Times New Roman" w:hAnsi="Times New Roman" w:eastAsia="宋体"/>
          <w:i/>
          <w:sz w:val="18"/>
        </w:rPr>
        <w:t xml:space="preserve"> x-axis: concentration (log); y-axis: value = mean forward-motor rate − mean turning-motor rate (Hz). Heterogeneous (blue) and shuffled (orange) rise with concentration (low ~2–8 Hz at low </w:t>
      </w:r>
      <w:r>
        <w:rPr>
          <w:rFonts w:ascii="Cambria Math" w:hAnsi="Cambria Math" w:eastAsia="宋体"/>
          <w:i/>
          <w:sz w:val="18"/>
        </w:rPr>
        <w:t>C</w:t>
      </w:r>
      <w:r>
        <w:rPr>
          <w:rFonts w:ascii="Times New Roman" w:hAnsi="Times New Roman" w:eastAsia="宋体"/>
          <w:i/>
          <w:sz w:val="18"/>
        </w:rPr>
        <w:t xml:space="preserve"> to ~25–28 Hz at high </w:t>
      </w:r>
      <w:r>
        <w:rPr>
          <w:rFonts w:ascii="Cambria Math" w:hAnsi="Cambria Math" w:eastAsia="宋体"/>
          <w:i/>
          <w:sz w:val="18"/>
        </w:rPr>
        <w:t>C</w:t>
      </w:r>
      <w:r>
        <w:rPr>
          <w:rFonts w:ascii="Times New Roman" w:hAnsi="Times New Roman" w:eastAsia="宋体"/>
          <w:i/>
          <w:sz w:val="18"/>
        </w:rPr>
        <w:t>) — the network encodes "higher concentration ⇒ higher value," the chemotactic cue. Homogeneous (red) is approximately flat near ~60 Hz — concentration resolution is lost. The slope the worm turns by is the red curve's near-zero slope.</w:t>
      </w:r>
    </w:p>
    <w:p w14:paraId="78CCC966">
      <w:pPr>
        <w:jc w:val="center"/>
      </w:pPr>
      <w:r>
        <w:drawing>
          <wp:inline distT="0" distB="0" distL="114300" distR="114300">
            <wp:extent cx="5120640" cy="196913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3F66">
      <w:pPr>
        <w:spacing w:before="40" w:after="200"/>
        <w:jc w:val="left"/>
      </w:pPr>
      <w:r>
        <w:rPr>
          <w:rFonts w:ascii="Times New Roman" w:hAnsi="Times New Roman" w:eastAsia="宋体"/>
          <w:b/>
          <w:i/>
          <w:sz w:val="18"/>
        </w:rPr>
        <w:t>Figure 5. Firing-rate mechanism.</w:t>
      </w:r>
      <w:r>
        <w:rPr>
          <w:rFonts w:ascii="Times New Roman" w:hAnsi="Times New Roman" w:eastAsia="宋体"/>
          <w:i/>
          <w:sz w:val="18"/>
        </w:rPr>
        <w:t xml:space="preserve"> Left: heterogeneous — COMMAND and MOTOR_FWD rates rise with concentration (~30→55 Hz and ~25→40 Hz); concentration information is relayed all the way to the motor layer. Right: homogeneous — all cell types are pushed into a flat 80–160 Hz saturation band; concentration information is erased at every layer.</w:t>
      </w:r>
    </w:p>
    <w:p w14:paraId="0F0617E5">
      <w:pPr>
        <w:jc w:val="center"/>
      </w:pPr>
      <w:r>
        <w:drawing>
          <wp:inline distT="0" distB="0" distL="114300" distR="114300">
            <wp:extent cx="5120640" cy="247459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C5A1">
      <w:pPr>
        <w:spacing w:before="40" w:after="200"/>
        <w:jc w:val="left"/>
      </w:pPr>
      <w:r>
        <w:rPr>
          <w:rFonts w:ascii="Times New Roman" w:hAnsi="Times New Roman" w:eastAsia="宋体"/>
          <w:b/>
          <w:i/>
          <w:sz w:val="18"/>
        </w:rPr>
        <w:t>Figure 6. Example trajectories (continuous readout).</w:t>
      </w:r>
      <w:r>
        <w:rPr>
          <w:rFonts w:ascii="Times New Roman" w:hAnsi="Times New Roman" w:eastAsia="宋体"/>
          <w:i/>
          <w:sz w:val="18"/>
        </w:rPr>
        <w:t xml:space="preserve"> Left: heterogeneous — trajectories (blue) converge on the center and many enter the food zone (green dashed circle, radius 0.20; green star = food; green rings = concentration isoclines; black dots = start). Right: homogeneous — trajectories (red) loop at the periphery and almost never enter the zone.</w:t>
      </w:r>
    </w:p>
    <w:p w14:paraId="4F67DBD0">
      <w:pPr>
        <w:jc w:val="both"/>
      </w:pPr>
      <w:r>
        <w:rPr>
          <w:rFonts w:ascii="Times New Roman" w:hAnsi="Times New Roman" w:eastAsia="宋体"/>
        </w:rPr>
        <w:t>The heterogeneous condition avoids this by construction. BCM gives sensory neurons genuine concentration selectivity (different sensory cells specialize for different concentration ranges); the homeostatic rule clamps the turning motor at a low, concentration-independent rate; Hebbian STDP lets forward motor neurons faithfully relay the command layer's concentration-graded firing. As a result, firing rates remain concentration-discriminable at every layer (Fig. 5, left: COMMAND ~30→55 Hz, MOTOR_FWD ~25→40 Hz), value(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 xml:space="preserve">) rises monotonically with concentration (Fig. 4, blue), slope &gt; 0, and the worm keeps turning toward food (Fig. 6, left). This is a </w:t>
      </w:r>
      <w:r>
        <w:rPr>
          <w:rFonts w:ascii="Times New Roman" w:hAnsi="Times New Roman" w:eastAsia="宋体"/>
          <w:b/>
        </w:rPr>
        <w:t>mechanistic</w:t>
      </w:r>
      <w:r>
        <w:rPr>
          <w:rFonts w:ascii="Times New Roman" w:hAnsi="Times New Roman" w:eastAsia="宋体"/>
        </w:rPr>
        <w:t xml:space="preserve"> demonstration of the heterogeneous advantage: it does not rely on hand-set weights, but on </w:t>
      </w:r>
      <w:r>
        <w:rPr>
          <w:rFonts w:ascii="Times New Roman" w:hAnsi="Times New Roman" w:eastAsia="宋体"/>
          <w:i/>
        </w:rPr>
        <w:t>giving each cell type the rule best suited to its function</w:t>
      </w:r>
      <w:r>
        <w:rPr>
          <w:rFonts w:ascii="Times New Roman" w:hAnsi="Times New Roman" w:eastAsia="宋体"/>
        </w:rPr>
        <w:t>, so the network preserves its concentration code under the saturation pressure that a single reward-driven rule cannot withstand.</w:t>
      </w:r>
    </w:p>
    <w:p w14:paraId="1B2E2B4D">
      <w:pPr>
        <w:pStyle w:val="4"/>
      </w:pPr>
      <w:r>
        <w:rPr>
          <w:rFonts w:ascii="Times New Roman" w:hAnsi="Times New Roman" w:eastAsia="黑体"/>
        </w:rPr>
        <w:t>3.3 The shuffled ablation: at this scale, diversity suffices</w:t>
      </w:r>
    </w:p>
    <w:p w14:paraId="65998E8F">
      <w:pPr>
        <w:jc w:val="both"/>
      </w:pPr>
      <w:r>
        <w:rPr>
          <w:rFonts w:ascii="Times New Roman" w:hAnsi="Times New Roman" w:eastAsia="宋体"/>
        </w:rPr>
        <w:t xml:space="preserve">The shuffled condition assigns the </w:t>
      </w:r>
      <w:r>
        <w:rPr>
          <w:rFonts w:ascii="Times New Roman" w:hAnsi="Times New Roman" w:eastAsia="宋体"/>
          <w:i/>
        </w:rPr>
        <w:t>same five rules</w:t>
      </w:r>
      <w:r>
        <w:rPr>
          <w:rFonts w:ascii="Times New Roman" w:hAnsi="Times New Roman" w:eastAsia="宋体"/>
        </w:rPr>
        <w:t xml:space="preserve"> to the five cell types but in a random pairing (a fresh permutation per seed). Under continuous readout it performs </w:t>
      </w:r>
      <w:r>
        <w:rPr>
          <w:rFonts w:ascii="Times New Roman" w:hAnsi="Times New Roman" w:eastAsia="宋体"/>
          <w:b/>
        </w:rPr>
        <w:t>as well as the heterogeneous condition</w:t>
      </w:r>
      <w:r>
        <w:rPr>
          <w:rFonts w:ascii="Times New Roman" w:hAnsi="Times New Roman" w:eastAsia="宋体"/>
        </w:rPr>
        <w:t xml:space="preserve"> on three of four metrics (Fig. 3, right, orange; Table 4): Klinotaxis Δ = +0.033, Velocity Δ = −0.008, Endpoint Δ = +0.030, all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&gt; 0.6 (NS); only BRW shows a weak negative difference (Δ = −0.065,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= 0.018). In other words, randomly reassigning which rule goes to which cell type barely dents chemotaxis.</w:t>
      </w:r>
    </w:p>
    <w:p w14:paraId="683CEF17">
      <w:pPr>
        <w:jc w:val="both"/>
      </w:pPr>
      <w:r>
        <w:rPr>
          <w:rFonts w:ascii="Times New Roman" w:hAnsi="Times New Roman" w:eastAsia="宋体"/>
        </w:rPr>
        <w:t xml:space="preserve">The interpretation is direct. The proximate cause of the heterogeneous advantage is </w:t>
      </w:r>
      <w:r>
        <w:rPr>
          <w:rFonts w:ascii="Times New Roman" w:hAnsi="Times New Roman" w:eastAsia="宋体"/>
          <w:i/>
        </w:rPr>
        <w:t>avoiding a single rule shared across the whole network</w:t>
      </w:r>
      <w:r>
        <w:rPr>
          <w:rFonts w:ascii="Times New Roman" w:hAnsi="Times New Roman" w:eastAsia="宋体"/>
        </w:rPr>
        <w:t xml:space="preserve">, which is what produces saturation. A random but still </w:t>
      </w:r>
      <w:r>
        <w:rPr>
          <w:rFonts w:ascii="Times New Roman" w:hAnsi="Times New Roman" w:eastAsia="宋体"/>
          <w:i/>
        </w:rPr>
        <w:t>diverse</w:t>
      </w:r>
      <w:r>
        <w:rPr>
          <w:rFonts w:ascii="Times New Roman" w:hAnsi="Times New Roman" w:eastAsia="宋体"/>
        </w:rPr>
        <w:t xml:space="preserve"> assignment escapes that disaster equally well. Therefore, </w:t>
      </w:r>
      <w:r>
        <w:rPr>
          <w:rFonts w:ascii="Times New Roman" w:hAnsi="Times New Roman" w:eastAsia="宋体"/>
          <w:b/>
        </w:rPr>
        <w:t>at the scale of 34 cells and 5 types, rule diversity is sufficient to explain the advantage; the specific type→rule mapping confers no additional, detectable benefit.</w:t>
      </w:r>
      <w:r>
        <w:rPr>
          <w:rFonts w:ascii="Times New Roman" w:hAnsi="Times New Roman" w:eastAsia="宋体"/>
        </w:rPr>
        <w:t xml:space="preserve"> This does not refute the hypothesis — it </w:t>
      </w:r>
      <w:r>
        <w:rPr>
          <w:rFonts w:ascii="Times New Roman" w:hAnsi="Times New Roman" w:eastAsia="宋体"/>
          <w:i/>
        </w:rPr>
        <w:t>refines</w:t>
      </w:r>
      <w:r>
        <w:rPr>
          <w:rFonts w:ascii="Times New Roman" w:hAnsi="Times New Roman" w:eastAsia="宋体"/>
        </w:rPr>
        <w:t xml:space="preserve"> it. A specific-mapping advantage requires more cell types and richer connection structure (so that a wrong pairing has somewhere to go wrong); in a 5-type model, "don't let every cell use the same rule" is already the dominant gain. The shuffled ablation is, in this sense, the model's honesty guarantee: it rules out "heterogeneous wins because I hand-picked a good mapping" in favor of "heterogeneous wins because of diversity" (under cached readout, shuffled even </w:t>
      </w:r>
      <w:r>
        <w:rPr>
          <w:rFonts w:ascii="Times New Roman" w:hAnsi="Times New Roman" w:eastAsia="宋体"/>
          <w:i/>
        </w:rPr>
        <w:t>outperforms</w:t>
      </w:r>
      <w:r>
        <w:rPr>
          <w:rFonts w:ascii="Times New Roman" w:hAnsi="Times New Roman" w:eastAsia="宋体"/>
        </w:rPr>
        <w:t xml:space="preserve"> the hand-picked mapping — further evidence that the specific mapping is not the source of the gain at this scale).</w:t>
      </w:r>
    </w:p>
    <w:p w14:paraId="3FFF8AAC">
      <w:pPr>
        <w:pStyle w:val="4"/>
      </w:pPr>
      <w:r>
        <w:rPr>
          <w:rFonts w:ascii="Times New Roman" w:hAnsi="Times New Roman" w:eastAsia="黑体"/>
        </w:rPr>
        <w:t>3.4 Cached readout is lenient and collapses the gap</w:t>
      </w:r>
    </w:p>
    <w:p w14:paraId="09536BD5">
      <w:pPr>
        <w:jc w:val="both"/>
      </w:pPr>
      <w:r>
        <w:rPr>
          <w:rFonts w:ascii="Times New Roman" w:hAnsi="Times New Roman" w:eastAsia="宋体"/>
        </w:rPr>
        <w:t xml:space="preserve">Under the cached ideal-lookup readout, the separation between conditions largely disappears (Fig. 1, left; Table 1, Table 3): the heterogeneous − homogeneous contrast is </w:t>
      </w:r>
      <w:r>
        <w:rPr>
          <w:rFonts w:ascii="Times New Roman" w:hAnsi="Times New Roman" w:eastAsia="宋体"/>
          <w:b/>
        </w:rPr>
        <w:t>not significant</w:t>
      </w:r>
      <w:r>
        <w:rPr>
          <w:rFonts w:ascii="Times New Roman" w:hAnsi="Times New Roman" w:eastAsia="宋体"/>
        </w:rPr>
        <w:t xml:space="preserve"> on any of the four metrics (all CIs cross zero, </w:t>
      </w:r>
      <w:r>
        <w:rPr>
          <w:rFonts w:ascii="Times New Roman" w:hAnsi="Times New Roman" w:eastAsia="宋体"/>
          <w:i/>
        </w:rPr>
        <w:t>p</w:t>
      </w:r>
      <w:r>
        <w:rPr>
          <w:rFonts w:ascii="Times New Roman" w:hAnsi="Times New Roman" w:eastAsia="宋体"/>
        </w:rPr>
        <w:t xml:space="preserve"> &gt; 0.18). The reason is that cached readout </w:t>
      </w:r>
      <w:r>
        <w:rPr>
          <w:rFonts w:ascii="Times New Roman" w:hAnsi="Times New Roman" w:eastAsia="宋体"/>
          <w:i/>
        </w:rPr>
        <w:t>smooths and averages</w:t>
      </w:r>
      <w:r>
        <w:rPr>
          <w:rFonts w:ascii="Times New Roman" w:hAnsi="Times New Roman" w:eastAsia="宋体"/>
        </w:rPr>
        <w:t xml:space="preserve"> the value map during its construction; even when the homogeneous network's value(</w:t>
      </w:r>
      <w:r>
        <w:rPr>
          <w:rFonts w:ascii="Cambria Math" w:hAnsi="Cambria Math" w:eastAsia="宋体"/>
          <w:i/>
        </w:rPr>
        <w:t>C</w:t>
      </w:r>
      <w:r>
        <w:rPr>
          <w:rFonts w:ascii="Times New Roman" w:hAnsi="Times New Roman" w:eastAsia="宋体"/>
        </w:rPr>
        <w:t xml:space="preserve">) is nearly flat, interpolation across multiple averaged reads yields a small but nonzero slope — just enough for the worm to turn somewhat toward food. The cached decoder </w:t>
      </w:r>
      <w:r>
        <w:rPr>
          <w:rFonts w:ascii="Times New Roman" w:hAnsi="Times New Roman" w:eastAsia="宋体"/>
          <w:b/>
        </w:rPr>
        <w:t>leniently rescues the saturated network.</w:t>
      </w:r>
      <w:r>
        <w:rPr>
          <w:rFonts w:ascii="Times New Roman" w:hAnsi="Times New Roman" w:eastAsia="宋体"/>
        </w:rPr>
        <w:t xml:space="preserve"> Continuous readout, by contrast, reads the network's real-time gradient response with no such smoothing, and exposes the flattening directly.</w:t>
      </w:r>
    </w:p>
    <w:p w14:paraId="2F090DA7">
      <w:pPr>
        <w:jc w:val="both"/>
      </w:pPr>
      <w:r>
        <w:rPr>
          <w:rFonts w:ascii="Times New Roman" w:hAnsi="Times New Roman" w:eastAsia="宋体"/>
        </w:rPr>
        <w:t xml:space="preserve">This inversion of readout roles is itself a finding. The cached readout is the </w:t>
      </w:r>
      <w:r>
        <w:rPr>
          <w:rFonts w:ascii="Times New Roman" w:hAnsi="Times New Roman" w:eastAsia="宋体"/>
          <w:i/>
        </w:rPr>
        <w:t>more permissive</w:t>
      </w:r>
      <w:r>
        <w:rPr>
          <w:rFonts w:ascii="Times New Roman" w:hAnsi="Times New Roman" w:eastAsia="宋体"/>
        </w:rPr>
        <w:t xml:space="preserve"> one (it salvages bad internal representations), while the continuous readout is the </w:t>
      </w:r>
      <w:r>
        <w:rPr>
          <w:rFonts w:ascii="Times New Roman" w:hAnsi="Times New Roman" w:eastAsia="宋体"/>
          <w:i/>
        </w:rPr>
        <w:t>stricter criterion</w:t>
      </w:r>
      <w:r>
        <w:rPr>
          <w:rFonts w:ascii="Times New Roman" w:hAnsi="Times New Roman" w:eastAsia="宋体"/>
        </w:rPr>
        <w:t xml:space="preserve"> (it demands the network genuinely compute the gradient online). It follows that </w:t>
      </w:r>
      <w:r>
        <w:rPr>
          <w:rFonts w:ascii="Times New Roman" w:hAnsi="Times New Roman" w:eastAsia="宋体"/>
          <w:b/>
        </w:rPr>
        <w:t>the heterogeneous advantage is, at root, an advantage for real-time computation</w:t>
      </w:r>
      <w:r>
        <w:rPr>
          <w:rFonts w:ascii="Times New Roman" w:hAnsi="Times New Roman" w:eastAsia="宋体"/>
        </w:rPr>
        <w:t xml:space="preserve"> — it is precisely what lets a network compute a usable gradient signal without an external smoothing decoder. For the long-running question of whether a small circuit can chemotax by its own online activity versus by a downstream decoder, this is evidence on the strict, "the network itself suffices" side. (For the heterogeneous condition specifically, continuous readout even yields </w:t>
      </w:r>
      <w:r>
        <w:rPr>
          <w:rFonts w:ascii="Times New Roman" w:hAnsi="Times New Roman" w:eastAsia="宋体"/>
          <w:i/>
        </w:rPr>
        <w:t>stronger</w:t>
      </w:r>
      <w:r>
        <w:rPr>
          <w:rFonts w:ascii="Times New Roman" w:hAnsi="Times New Roman" w:eastAsia="宋体"/>
        </w:rPr>
        <w:t xml:space="preserve"> signals than cached, because the cached smoothing slightly attenuates the steep parts of an already-clean gradient; Fig. 7.)</w:t>
      </w:r>
    </w:p>
    <w:p w14:paraId="7BC4D562">
      <w:pPr>
        <w:jc w:val="center"/>
      </w:pPr>
      <w:r>
        <w:drawing>
          <wp:inline distT="0" distB="0" distL="114300" distR="114300">
            <wp:extent cx="5120640" cy="2047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5BE5">
      <w:pPr>
        <w:spacing w:before="40" w:after="200"/>
        <w:jc w:val="left"/>
      </w:pPr>
      <w:r>
        <w:rPr>
          <w:rFonts w:ascii="Times New Roman" w:hAnsi="Times New Roman" w:eastAsia="宋体"/>
          <w:b/>
          <w:i/>
          <w:sz w:val="18"/>
        </w:rPr>
        <w:t>Figure 7. Readout comparison (heterogeneous condition).</w:t>
      </w:r>
      <w:r>
        <w:rPr>
          <w:rFonts w:ascii="Times New Roman" w:hAnsi="Times New Roman" w:eastAsia="宋体"/>
          <w:i/>
          <w:sz w:val="18"/>
        </w:rPr>
        <w:t xml:space="preserve"> Continuous (light blue) exceeds cached (dark blue) on all four metrics: for a healthy network, reading the real-time gradient directly beats the smoothed lookup. This complements Fig. 1: cached is lenient toward bad (homogeneous) conditions and slightly conservative toward good (heterogeneous) ones.</w:t>
      </w:r>
    </w:p>
    <w:p w14:paraId="35CE7105">
      <w:pPr>
        <w:pStyle w:val="3"/>
      </w:pPr>
      <w:r>
        <w:rPr>
          <w:rFonts w:ascii="Times New Roman" w:hAnsi="Times New Roman" w:eastAsia="黑体"/>
        </w:rPr>
        <w:t>4. Discussion</w:t>
      </w:r>
    </w:p>
    <w:p w14:paraId="33B6E5B3">
      <w:pPr>
        <w:jc w:val="both"/>
      </w:pPr>
      <w:r>
        <w:rPr>
          <w:rFonts w:ascii="Times New Roman" w:hAnsi="Times New Roman" w:eastAsia="宋体"/>
          <w:b/>
        </w:rPr>
        <w:t>A falsifiable, mechanistic heterogeneity advantage.</w:t>
      </w:r>
      <w:r>
        <w:rPr>
          <w:rFonts w:ascii="Times New Roman" w:hAnsi="Times New Roman" w:eastAsia="宋体"/>
        </w:rPr>
        <w:t xml:space="preserve"> We built a model in which cell-type-specific plasticity is not an abstract lever but a mechanistic prediction: each cell type receives the rule that matches its computational role. Under this design the heterogeneous network is decisively superior to a strong single-rule baseline, and the superiority is explained by a concrete mechanism — avoidance of network-wide saturation that would otherwise flatten the concentration→value map. This addresses, positively, the question that an earlier surrogate model could not resolve: </w:t>
      </w:r>
      <w:r>
        <w:rPr>
          <w:rFonts w:ascii="Times New Roman" w:hAnsi="Times New Roman" w:eastAsia="宋体"/>
          <w:i/>
        </w:rPr>
        <w:t>when the model gives heterogeneity a real mechanistic grip, heterogeneous plasticity does emerge as the better policy.</w:t>
      </w:r>
    </w:p>
    <w:p w14:paraId="0DFB5717">
      <w:pPr>
        <w:jc w:val="both"/>
      </w:pPr>
      <w:r>
        <w:rPr>
          <w:rFonts w:ascii="Times New Roman" w:hAnsi="Times New Roman" w:eastAsia="宋体"/>
          <w:b/>
        </w:rPr>
        <w:t>Diversity versus specificity.</w:t>
      </w:r>
      <w:r>
        <w:rPr>
          <w:rFonts w:ascii="Times New Roman" w:hAnsi="Times New Roman" w:eastAsia="宋体"/>
        </w:rPr>
        <w:t xml:space="preserve"> The shuffled ablation sharpens rather than weakens the claim. At 34 cells and 5 types, the gain is carried by </w:t>
      </w:r>
      <w:r>
        <w:rPr>
          <w:rFonts w:ascii="Times New Roman" w:hAnsi="Times New Roman" w:eastAsia="宋体"/>
          <w:i/>
        </w:rPr>
        <w:t>diversity</w:t>
      </w:r>
      <w:r>
        <w:rPr>
          <w:rFonts w:ascii="Times New Roman" w:hAnsi="Times New Roman" w:eastAsia="宋体"/>
        </w:rPr>
        <w:t xml:space="preserve"> — by ensuring not every cell shares one rule — and not by the </w:t>
      </w:r>
      <w:r>
        <w:rPr>
          <w:rFonts w:ascii="Times New Roman" w:hAnsi="Times New Roman" w:eastAsia="宋体"/>
          <w:i/>
        </w:rPr>
        <w:t>specificity</w:t>
      </w:r>
      <w:r>
        <w:rPr>
          <w:rFonts w:ascii="Times New Roman" w:hAnsi="Times New Roman" w:eastAsia="宋体"/>
        </w:rPr>
        <w:t xml:space="preserve"> of the type→rule pairing. This is a quantitative statement about </w:t>
      </w:r>
      <w:r>
        <w:rPr>
          <w:rFonts w:ascii="Times New Roman" w:hAnsi="Times New Roman" w:eastAsia="宋体"/>
          <w:i/>
        </w:rPr>
        <w:t>scale</w:t>
      </w:r>
      <w:r>
        <w:rPr>
          <w:rFonts w:ascii="Times New Roman" w:hAnsi="Times New Roman" w:eastAsia="宋体"/>
        </w:rPr>
        <w:t xml:space="preserve">: with only five cell types, the space of "mismatched" pairings is small, and any diverse assignment already escapes the single-rule saturation trap. We predict that the specific-mapping advantage — where shuffled </w:t>
      </w:r>
      <w:r>
        <w:rPr>
          <w:rFonts w:ascii="Times New Roman" w:hAnsi="Times New Roman" w:eastAsia="宋体"/>
          <w:i/>
        </w:rPr>
        <w:t>underperforms</w:t>
      </w:r>
      <w:r>
        <w:rPr>
          <w:rFonts w:ascii="Times New Roman" w:hAnsi="Times New Roman" w:eastAsia="宋体"/>
        </w:rPr>
        <w:t xml:space="preserve"> heterogeneous — should emerge as the number of cell types and the richness of the connectome grow, because a richer connectome gives a wrong pairing more structure to disrupt. The natural next test is the same experiment on the reconstructed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 xml:space="preserve"> connectome (Cook et al., 2019) with biologically grounded cell classes.</w:t>
      </w:r>
    </w:p>
    <w:p w14:paraId="6C30F040">
      <w:pPr>
        <w:jc w:val="both"/>
      </w:pPr>
      <w:r>
        <w:rPr>
          <w:rFonts w:ascii="Times New Roman" w:hAnsi="Times New Roman" w:eastAsia="宋体"/>
          <w:b/>
        </w:rPr>
        <w:t>Real-time computation, not decoded representation.</w:t>
      </w:r>
      <w:r>
        <w:rPr>
          <w:rFonts w:ascii="Times New Roman" w:hAnsi="Times New Roman" w:eastAsia="宋体"/>
        </w:rPr>
        <w:t xml:space="preserve"> The cached-vs-continuous contrast reframes what kind of advantage heterogeneity provides. Because the ideal lookup salvages the homogeneous network while continuous readout does not, the advantage is specifically about </w:t>
      </w:r>
      <w:r>
        <w:rPr>
          <w:rFonts w:ascii="Times New Roman" w:hAnsi="Times New Roman" w:eastAsia="宋体"/>
          <w:i/>
        </w:rPr>
        <w:t>online</w:t>
      </w:r>
      <w:r>
        <w:rPr>
          <w:rFonts w:ascii="Times New Roman" w:hAnsi="Times New Roman" w:eastAsia="宋体"/>
        </w:rPr>
        <w:t xml:space="preserve"> gradient computation. This bears on whether small circuits perform chemotaxis through their intrinsic dynamics or require a downstream decoder (Pierce-Shimomura et al., 1999; Iino &amp; Yoshida, 2009; Kato et al., 2015): our result is consistent with, and provides a normative argument for, the network computing the directional cue itself.</w:t>
      </w:r>
    </w:p>
    <w:p w14:paraId="181F3E85">
      <w:pPr>
        <w:jc w:val="both"/>
      </w:pPr>
      <w:r>
        <w:rPr>
          <w:rFonts w:ascii="Times New Roman" w:hAnsi="Times New Roman" w:eastAsia="宋体"/>
          <w:b/>
        </w:rPr>
        <w:t>Relation to biology.</w:t>
      </w:r>
      <w:r>
        <w:rPr>
          <w:rFonts w:ascii="Times New Roman" w:hAnsi="Times New Roman" w:eastAsia="宋体"/>
        </w:rPr>
        <w:t xml:space="preserve"> The rules we use are each grounded in biology: BCM-style sliding thresholds and input selectivity (Bienenstock et al., 1982), spike-timing-dependent Hebbian plasticity (Bi &amp; Poo, 1998, 2001; Song et al., 2000), reward-/neuromodulator-gated three-factor rules (Izhikevich, 2007; Frémaux &amp; Gerstner, 2016; Gerstner et al., 2018), and homeostatic stabilization (Turrigiano et al., 1998; Turrigiano, 2012). The model's claim is not that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 xml:space="preserve"> uses exactly this assignment, but that the </w:t>
      </w:r>
      <w:r>
        <w:rPr>
          <w:rFonts w:ascii="Times New Roman" w:hAnsi="Times New Roman" w:eastAsia="宋体"/>
          <w:i/>
        </w:rPr>
        <w:t>principle</w:t>
      </w:r>
      <w:r>
        <w:rPr>
          <w:rFonts w:ascii="Times New Roman" w:hAnsi="Times New Roman" w:eastAsia="宋体"/>
        </w:rPr>
        <w:t xml:space="preserve"> — distributing mechanistically-suited rules across cell types to keep a small network's representation from saturating — is a computationally coherent one that biology could, and plausibly does, exploit given its molecularly diverse plasticity repertoire (Citri &amp; Malenka, 2008; Marder &amp; Goaillard, 2006).</w:t>
      </w:r>
    </w:p>
    <w:p w14:paraId="6B442B45">
      <w:pPr>
        <w:pStyle w:val="4"/>
      </w:pPr>
      <w:r>
        <w:rPr>
          <w:rFonts w:ascii="Times New Roman" w:hAnsi="Times New Roman" w:eastAsia="黑体"/>
        </w:rPr>
        <w:t>4.1 Limitations</w:t>
      </w:r>
    </w:p>
    <w:p w14:paraId="707E4E3F">
      <w:pPr>
        <w:jc w:val="both"/>
      </w:pPr>
      <w:r>
        <w:rPr>
          <w:rFonts w:ascii="Times New Roman" w:hAnsi="Times New Roman" w:eastAsia="宋体"/>
        </w:rPr>
        <w:t xml:space="preserve">We are explicit about what the model does </w:t>
      </w:r>
      <w:r>
        <w:rPr>
          <w:rFonts w:ascii="Times New Roman" w:hAnsi="Times New Roman" w:eastAsia="宋体"/>
          <w:i/>
        </w:rPr>
        <w:t>not</w:t>
      </w:r>
      <w:r>
        <w:rPr>
          <w:rFonts w:ascii="Times New Roman" w:hAnsi="Times New Roman" w:eastAsia="宋体"/>
        </w:rPr>
        <w:t xml:space="preserve"> show.</w:t>
      </w:r>
    </w:p>
    <w:p w14:paraId="5CEE52FD">
      <w:pPr>
        <w:ind w:left="432" w:hanging="432"/>
      </w:pPr>
      <w:r>
        <w:rPr>
          <w:rFonts w:ascii="Times New Roman" w:hAnsi="Times New Roman" w:eastAsia="宋体"/>
          <w:b/>
        </w:rPr>
        <w:t>1. Not the real connectome.</w:t>
      </w:r>
      <w:r>
        <w:rPr>
          <w:rFonts w:ascii="Times New Roman" w:hAnsi="Times New Roman" w:eastAsia="宋体"/>
        </w:rPr>
        <w:t xml:space="preserve"> The network is 34 cells with a hand-constructed adjacency, not the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 xml:space="preserve"> 302-cell connectome. The result is a claim </w:t>
      </w:r>
      <w:r>
        <w:rPr>
          <w:rFonts w:ascii="Times New Roman" w:hAnsi="Times New Roman" w:eastAsia="宋体"/>
          <w:i/>
        </w:rPr>
        <w:t>in principle</w:t>
      </w:r>
      <w:r>
        <w:rPr>
          <w:rFonts w:ascii="Times New Roman" w:hAnsi="Times New Roman" w:eastAsia="宋体"/>
        </w:rPr>
        <w:t xml:space="preserve"> — that cell-type-specific plasticity can, mechanistically, yield better real-time chemotaxis — not a quantitative prediction about the real animal.</w:t>
      </w:r>
    </w:p>
    <w:p w14:paraId="482D3DA0">
      <w:pPr>
        <w:ind w:left="432" w:hanging="432"/>
      </w:pPr>
      <w:r>
        <w:rPr>
          <w:rFonts w:ascii="Times New Roman" w:hAnsi="Times New Roman" w:eastAsia="宋体"/>
          <w:b/>
        </w:rPr>
        <w:t>2. Specific-mapping advantage not yet observed.</w:t>
      </w:r>
      <w:r>
        <w:rPr>
          <w:rFonts w:ascii="Times New Roman" w:hAnsi="Times New Roman" w:eastAsia="宋体"/>
        </w:rPr>
        <w:t xml:space="preserve"> As discussed, demonstrating that the specific pairing matters (beyond diversity) requires larger, type-richer networks; this is the predicted next result, not a current one.</w:t>
      </w:r>
    </w:p>
    <w:p w14:paraId="2BA1FD35">
      <w:pPr>
        <w:ind w:left="432" w:hanging="432"/>
      </w:pPr>
      <w:r>
        <w:rPr>
          <w:rFonts w:ascii="Times New Roman" w:hAnsi="Times New Roman" w:eastAsia="宋体"/>
          <w:b/>
        </w:rPr>
        <w:t>3. Parameters are tuned</w:t>
      </w:r>
      <w:r>
        <w:rPr>
          <w:rFonts w:ascii="Times New Roman" w:hAnsi="Times New Roman" w:eastAsia="宋体"/>
        </w:rPr>
        <w:t xml:space="preserve"> — to keep each rule healthy (avoiding the saturation-chaos of high recurrent gain and the cold-start deadlock of unconstrained BCM), </w:t>
      </w:r>
      <w:r>
        <w:rPr>
          <w:rFonts w:ascii="Times New Roman" w:hAnsi="Times New Roman" w:eastAsia="宋体"/>
          <w:i/>
        </w:rPr>
        <w:t>not</w:t>
      </w:r>
      <w:r>
        <w:rPr>
          <w:rFonts w:ascii="Times New Roman" w:hAnsi="Times New Roman" w:eastAsia="宋体"/>
        </w:rPr>
        <w:t xml:space="preserve"> to make heterogeneous win. The fact that the shuffled condition benefits equally from these parameters is the operative evidence that the tuning is rule-health-oriented rather than outcome-oriented.</w:t>
      </w:r>
    </w:p>
    <w:p w14:paraId="1AB29013">
      <w:pPr>
        <w:ind w:left="432" w:hanging="432"/>
      </w:pPr>
      <w:r>
        <w:rPr>
          <w:rFonts w:ascii="Times New Roman" w:hAnsi="Times New Roman" w:eastAsia="宋体"/>
          <w:b/>
        </w:rPr>
        <w:t>4. Cached readout is lenient in this model.</w:t>
      </w:r>
      <w:r>
        <w:rPr>
          <w:rFonts w:ascii="Times New Roman" w:hAnsi="Times New Roman" w:eastAsia="宋体"/>
        </w:rPr>
        <w:t xml:space="preserve"> Unlike settings where an ideal lookup simply provides a stronger signal, here it actively masks the homogeneous failure. Cross-study comparisons of readout strength should note this inversion.</w:t>
      </w:r>
    </w:p>
    <w:p w14:paraId="398297B8">
      <w:pPr>
        <w:ind w:left="432" w:hanging="432"/>
      </w:pPr>
      <w:r>
        <w:rPr>
          <w:rFonts w:ascii="Times New Roman" w:hAnsi="Times New Roman" w:eastAsia="宋体"/>
          <w:b/>
        </w:rPr>
        <w:t>5. Simplified chemotaxis controller.</w:t>
      </w:r>
      <w:r>
        <w:rPr>
          <w:rFonts w:ascii="Times New Roman" w:hAnsi="Times New Roman" w:eastAsia="宋体"/>
        </w:rPr>
        <w:t xml:space="preserve"> The motor controller is a compact abstraction of biased-random-walk chemotaxis; we do not model body mechanics, run-and-pirouette statistics, or sensory adaptation in detail.</w:t>
      </w:r>
    </w:p>
    <w:p w14:paraId="0247EC8E">
      <w:pPr>
        <w:pStyle w:val="3"/>
      </w:pPr>
      <w:r>
        <w:rPr>
          <w:rFonts w:ascii="Times New Roman" w:hAnsi="Times New Roman" w:eastAsia="黑体"/>
        </w:rPr>
        <w:t>5. Reproducibility, code, and data availability</w:t>
      </w:r>
    </w:p>
    <w:p w14:paraId="2A1A781C">
      <w:pPr>
        <w:jc w:val="both"/>
      </w:pPr>
      <w:r>
        <w:rPr>
          <w:rFonts w:ascii="Times New Roman" w:hAnsi="Times New Roman" w:eastAsia="宋体"/>
        </w:rPr>
        <w:t xml:space="preserve">All code (pure NumPy), generated data, and figures are released with this paper in the </w:t>
      </w:r>
      <w:r>
        <w:rPr>
          <w:rFonts w:ascii="Consolas" w:hAnsi="Consolas" w:eastAsia="宋体"/>
          <w:sz w:val="20"/>
        </w:rPr>
        <w:t>plasticity_2</w:t>
      </w:r>
      <w:r>
        <w:rPr>
          <w:rFonts w:ascii="Times New Roman" w:hAnsi="Times New Roman" w:eastAsia="宋体"/>
        </w:rPr>
        <w:t xml:space="preserve"> package. To reproduce from source:</w:t>
      </w:r>
    </w:p>
    <w:p w14:paraId="69B3B076">
      <w:pPr>
        <w:shd w:val="clear" w:color="auto" w:fill="F2F2F2"/>
        <w:spacing w:before="0" w:after="0"/>
      </w:pPr>
      <w:r>
        <w:rPr>
          <w:rFonts w:ascii="Consolas" w:hAnsi="Consolas" w:eastAsia="宋体"/>
          <w:sz w:val="19"/>
        </w:rPr>
        <w:t># in the project's code directory</w:t>
      </w:r>
    </w:p>
    <w:p w14:paraId="4D210E4A">
      <w:pPr>
        <w:shd w:val="clear" w:color="auto" w:fill="F2F2F2"/>
        <w:spacing w:before="0" w:after="0"/>
      </w:pPr>
      <w:r>
        <w:rPr>
          <w:rFonts w:ascii="Consolas" w:hAnsi="Consolas" w:eastAsia="宋体"/>
          <w:sz w:val="19"/>
        </w:rPr>
        <w:t>python run_experiment.py 10     # full 10-seed grid (~2 min), writes the data CSVs</w:t>
      </w:r>
    </w:p>
    <w:p w14:paraId="0C3E2636">
      <w:pPr>
        <w:shd w:val="clear" w:color="auto" w:fill="F2F2F2"/>
        <w:spacing w:before="0" w:after="0"/>
      </w:pPr>
      <w:r>
        <w:rPr>
          <w:rFonts w:ascii="Consolas" w:hAnsi="Consolas" w:eastAsia="宋体"/>
          <w:sz w:val="19"/>
        </w:rPr>
        <w:t>python make_figures.py          # regenerates the 7 figures into the figures folder</w:t>
      </w:r>
    </w:p>
    <w:p w14:paraId="711755ED">
      <w:pPr>
        <w:jc w:val="both"/>
      </w:pPr>
      <w:r>
        <w:rPr>
          <w:rFonts w:ascii="Times New Roman" w:hAnsi="Times New Roman" w:eastAsia="宋体"/>
        </w:rPr>
        <w:t xml:space="preserve">Environment: Python 3.12 + NumPy + pandas + SciPy + Matplotlib. Random seeds are fixed (base 20260802); results are bit-reproducible. Training and readout parameters are frozen in </w:t>
      </w:r>
      <w:r>
        <w:rPr>
          <w:rFonts w:ascii="Consolas" w:hAnsi="Consolas" w:eastAsia="宋体"/>
          <w:sz w:val="20"/>
        </w:rPr>
        <w:t>plasticity_model.py</w:t>
      </w:r>
      <w:r>
        <w:rPr>
          <w:rFonts w:ascii="Times New Roman" w:hAnsi="Times New Roman" w:eastAsia="宋体"/>
        </w:rPr>
        <w:t xml:space="preserve">; changing the seed count in </w:t>
      </w:r>
      <w:r>
        <w:rPr>
          <w:rFonts w:ascii="Consolas" w:hAnsi="Consolas" w:eastAsia="宋体"/>
          <w:sz w:val="20"/>
        </w:rPr>
        <w:t>run_experiment.py</w:t>
      </w:r>
      <w:r>
        <w:rPr>
          <w:rFonts w:ascii="Times New Roman" w:hAnsi="Times New Roman" w:eastAsia="宋体"/>
        </w:rPr>
        <w:t xml:space="preserve"> scales statistical power without altering the conclusions (the core result holds at </w:t>
      </w:r>
      <w:r>
        <w:rPr>
          <w:rFonts w:ascii="Times New Roman" w:hAnsi="Times New Roman" w:eastAsia="宋体"/>
          <w:i/>
        </w:rPr>
        <w:t>n</w:t>
      </w:r>
      <w:r>
        <w:rPr>
          <w:rFonts w:ascii="Times New Roman" w:hAnsi="Times New Roman" w:eastAsia="宋体"/>
        </w:rPr>
        <w:t xml:space="preserve"> = 3 seeds). Raw per-run metrics (</w:t>
      </w:r>
      <w:r>
        <w:rPr>
          <w:rFonts w:ascii="Consolas" w:hAnsi="Consolas" w:eastAsia="宋体"/>
          <w:sz w:val="20"/>
        </w:rPr>
        <w:t>per_run.csv</w:t>
      </w:r>
      <w:r>
        <w:rPr>
          <w:rFonts w:ascii="Times New Roman" w:hAnsi="Times New Roman" w:eastAsia="宋体"/>
        </w:rPr>
        <w:t>), condition summaries (</w:t>
      </w:r>
      <w:r>
        <w:rPr>
          <w:rFonts w:ascii="Consolas" w:hAnsi="Consolas" w:eastAsia="宋体"/>
          <w:sz w:val="20"/>
        </w:rPr>
        <w:t>condition_summary.csv</w:t>
      </w:r>
      <w:r>
        <w:rPr>
          <w:rFonts w:ascii="Times New Roman" w:hAnsi="Times New Roman" w:eastAsia="宋体"/>
        </w:rPr>
        <w:t>), contrast statistics (</w:t>
      </w:r>
      <w:r>
        <w:rPr>
          <w:rFonts w:ascii="Consolas" w:hAnsi="Consolas" w:eastAsia="宋体"/>
          <w:sz w:val="20"/>
        </w:rPr>
        <w:t>comparison.csv</w:t>
      </w:r>
      <w:r>
        <w:rPr>
          <w:rFonts w:ascii="Times New Roman" w:hAnsi="Times New Roman" w:eastAsia="宋体"/>
        </w:rPr>
        <w:t>), and value curves (</w:t>
      </w:r>
      <w:r>
        <w:rPr>
          <w:rFonts w:ascii="Consolas" w:hAnsi="Consolas" w:eastAsia="宋体"/>
          <w:sz w:val="20"/>
        </w:rPr>
        <w:t>value_curves.csv</w:t>
      </w:r>
      <w:r>
        <w:rPr>
          <w:rFonts w:ascii="Times New Roman" w:hAnsi="Times New Roman" w:eastAsia="宋体"/>
        </w:rPr>
        <w:t>) are provided alongside a full configuration manifest (</w:t>
      </w:r>
      <w:r>
        <w:rPr>
          <w:rFonts w:ascii="Consolas" w:hAnsi="Consolas" w:eastAsia="宋体"/>
          <w:sz w:val="20"/>
        </w:rPr>
        <w:t>manifest.json</w:t>
      </w:r>
      <w:r>
        <w:rPr>
          <w:rFonts w:ascii="Times New Roman" w:hAnsi="Times New Roman" w:eastAsia="宋体"/>
        </w:rPr>
        <w:t>).</w:t>
      </w:r>
    </w:p>
    <w:p w14:paraId="0A76BB09">
      <w:pPr>
        <w:jc w:val="both"/>
      </w:pPr>
      <w:r>
        <w:rPr>
          <w:rFonts w:ascii="Times New Roman" w:hAnsi="Times New Roman" w:eastAsia="宋体"/>
          <w:b/>
        </w:rPr>
        <w:t>Author contributions: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[single-author — model design, implementation, experiments, analysis, writing.]</w:t>
      </w:r>
    </w:p>
    <w:p w14:paraId="277B3DD4">
      <w:pPr>
        <w:jc w:val="both"/>
      </w:pPr>
      <w:r>
        <w:rPr>
          <w:rFonts w:ascii="Times New Roman" w:hAnsi="Times New Roman" w:eastAsia="宋体"/>
          <w:b/>
        </w:rPr>
        <w:t>Competing interests:</w:t>
      </w:r>
      <w:r>
        <w:rPr>
          <w:rFonts w:ascii="Times New Roman" w:hAnsi="Times New Roman" w:eastAsia="宋体"/>
        </w:rPr>
        <w:t xml:space="preserve"> none.</w:t>
      </w:r>
    </w:p>
    <w:p w14:paraId="1950AE0A">
      <w:pPr>
        <w:pStyle w:val="3"/>
      </w:pPr>
      <w:r>
        <w:rPr>
          <w:rFonts w:ascii="Times New Roman" w:hAnsi="Times New Roman" w:eastAsia="黑体"/>
        </w:rPr>
        <w:t>References</w:t>
      </w:r>
    </w:p>
    <w:p w14:paraId="0B3CFF91">
      <w:pPr>
        <w:ind w:left="432" w:hanging="432"/>
      </w:pPr>
      <w:r>
        <w:rPr>
          <w:rFonts w:ascii="Times New Roman" w:hAnsi="Times New Roman" w:eastAsia="宋体"/>
          <w:b/>
        </w:rPr>
        <w:t xml:space="preserve">1. </w:t>
      </w:r>
      <w:r>
        <w:rPr>
          <w:rFonts w:ascii="Times New Roman" w:hAnsi="Times New Roman" w:eastAsia="宋体"/>
        </w:rPr>
        <w:t xml:space="preserve">Bargmann, C. I. (2006). Chemosensation in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 xml:space="preserve">. </w:t>
      </w:r>
      <w:r>
        <w:rPr>
          <w:rFonts w:ascii="Times New Roman" w:hAnsi="Times New Roman" w:eastAsia="宋体"/>
          <w:i/>
        </w:rPr>
        <w:t>WormBook</w:t>
      </w:r>
      <w:r>
        <w:rPr>
          <w:rFonts w:ascii="Times New Roman" w:hAnsi="Times New Roman" w:eastAsia="宋体"/>
        </w:rPr>
        <w:t xml:space="preserve"> (ed. The </w:t>
      </w:r>
      <w:r>
        <w:rPr>
          <w:rFonts w:ascii="Times New Roman" w:hAnsi="Times New Roman" w:eastAsia="宋体"/>
          <w:i/>
        </w:rPr>
        <w:t>C. elegans</w:t>
      </w:r>
      <w:r>
        <w:rPr>
          <w:rFonts w:ascii="Times New Roman" w:hAnsi="Times New Roman" w:eastAsia="宋体"/>
        </w:rPr>
        <w:t xml:space="preserve"> Research Community). doi:10.1895/wormbook.1.123.1</w:t>
      </w:r>
    </w:p>
    <w:p w14:paraId="05C6DB31">
      <w:pPr>
        <w:ind w:left="432" w:hanging="432"/>
      </w:pPr>
      <w:r>
        <w:rPr>
          <w:rFonts w:ascii="Times New Roman" w:hAnsi="Times New Roman" w:eastAsia="宋体"/>
          <w:b/>
        </w:rPr>
        <w:t xml:space="preserve">2. </w:t>
      </w:r>
      <w:r>
        <w:rPr>
          <w:rFonts w:ascii="Times New Roman" w:hAnsi="Times New Roman" w:eastAsia="宋体"/>
        </w:rPr>
        <w:t xml:space="preserve">Bi, G.-Q., &amp; Poo, M.-M. (1998). Synaptic modifications in cultured hippocampal neurons: dependence on spike timing, synaptic strength, and postsynaptic cell type. </w:t>
      </w:r>
      <w:r>
        <w:rPr>
          <w:rFonts w:ascii="Times New Roman" w:hAnsi="Times New Roman" w:eastAsia="宋体"/>
          <w:i/>
        </w:rPr>
        <w:t>Journal of Neuroscience, 18</w:t>
      </w:r>
      <w:r>
        <w:rPr>
          <w:rFonts w:ascii="Times New Roman" w:hAnsi="Times New Roman" w:eastAsia="宋体"/>
        </w:rPr>
        <w:t>(24), 10464–10472.</w:t>
      </w:r>
    </w:p>
    <w:p w14:paraId="1DF087C1">
      <w:pPr>
        <w:ind w:left="432" w:hanging="432"/>
      </w:pPr>
      <w:r>
        <w:rPr>
          <w:rFonts w:ascii="Times New Roman" w:hAnsi="Times New Roman" w:eastAsia="宋体"/>
          <w:b/>
        </w:rPr>
        <w:t xml:space="preserve">3. </w:t>
      </w:r>
      <w:r>
        <w:rPr>
          <w:rFonts w:ascii="Times New Roman" w:hAnsi="Times New Roman" w:eastAsia="宋体"/>
        </w:rPr>
        <w:t xml:space="preserve">Bi, G.-Q., &amp; Poo, M.-M. (2001). Synaptic modification by correlated activity: Hebb's postulate revisited. </w:t>
      </w:r>
      <w:r>
        <w:rPr>
          <w:rFonts w:ascii="Times New Roman" w:hAnsi="Times New Roman" w:eastAsia="宋体"/>
          <w:i/>
        </w:rPr>
        <w:t>Annual Review of Neuroscience, 24</w:t>
      </w:r>
      <w:r>
        <w:rPr>
          <w:rFonts w:ascii="Times New Roman" w:hAnsi="Times New Roman" w:eastAsia="宋体"/>
        </w:rPr>
        <w:t>, 139–166.</w:t>
      </w:r>
    </w:p>
    <w:p w14:paraId="726FF26F">
      <w:pPr>
        <w:ind w:left="432" w:hanging="432"/>
      </w:pPr>
      <w:r>
        <w:rPr>
          <w:rFonts w:ascii="Times New Roman" w:hAnsi="Times New Roman" w:eastAsia="宋体"/>
          <w:b/>
        </w:rPr>
        <w:t xml:space="preserve">4. </w:t>
      </w:r>
      <w:r>
        <w:rPr>
          <w:rFonts w:ascii="Times New Roman" w:hAnsi="Times New Roman" w:eastAsia="宋体"/>
        </w:rPr>
        <w:t xml:space="preserve">Bienenstock, E. L., Cooper, L. N., &amp; Munro, P. W. (1982). Theory for the development of neuron selectivity: orientation specificity and binocular interaction in visual cortex. </w:t>
      </w:r>
      <w:r>
        <w:rPr>
          <w:rFonts w:ascii="Times New Roman" w:hAnsi="Times New Roman" w:eastAsia="宋体"/>
          <w:i/>
        </w:rPr>
        <w:t>Journal of Neuroscience, 2</w:t>
      </w:r>
      <w:r>
        <w:rPr>
          <w:rFonts w:ascii="Times New Roman" w:hAnsi="Times New Roman" w:eastAsia="宋体"/>
        </w:rPr>
        <w:t>(1), 32–48.</w:t>
      </w:r>
    </w:p>
    <w:p w14:paraId="2CD8CCBF">
      <w:pPr>
        <w:ind w:left="432" w:hanging="432"/>
      </w:pPr>
      <w:r>
        <w:rPr>
          <w:rFonts w:ascii="Times New Roman" w:hAnsi="Times New Roman" w:eastAsia="宋体"/>
          <w:b/>
        </w:rPr>
        <w:t xml:space="preserve">5. </w:t>
      </w:r>
      <w:r>
        <w:rPr>
          <w:rFonts w:ascii="Times New Roman" w:hAnsi="Times New Roman" w:eastAsia="宋体"/>
        </w:rPr>
        <w:t xml:space="preserve">Citri, A., &amp; Malenka, R. C. (2008). Synaptic plasticity: multiple forms, functions, and mechanisms. </w:t>
      </w:r>
      <w:r>
        <w:rPr>
          <w:rFonts w:ascii="Times New Roman" w:hAnsi="Times New Roman" w:eastAsia="宋体"/>
          <w:i/>
        </w:rPr>
        <w:t>Neuropsychopharmacology, 33</w:t>
      </w:r>
      <w:r>
        <w:rPr>
          <w:rFonts w:ascii="Times New Roman" w:hAnsi="Times New Roman" w:eastAsia="宋体"/>
        </w:rPr>
        <w:t>(1), 18–41.</w:t>
      </w:r>
    </w:p>
    <w:p w14:paraId="4B965C5D">
      <w:pPr>
        <w:ind w:left="432" w:hanging="432"/>
      </w:pPr>
      <w:r>
        <w:rPr>
          <w:rFonts w:ascii="Times New Roman" w:hAnsi="Times New Roman" w:eastAsia="宋体"/>
          <w:b/>
        </w:rPr>
        <w:t xml:space="preserve">6. </w:t>
      </w:r>
      <w:r>
        <w:rPr>
          <w:rFonts w:ascii="Times New Roman" w:hAnsi="Times New Roman" w:eastAsia="宋体"/>
        </w:rPr>
        <w:t xml:space="preserve">Cook, S. J., Jarrell, T. A., Brittin, C. A., et al. (2019). Whole-animal connectomes of both </w:t>
      </w:r>
      <w:r>
        <w:rPr>
          <w:rFonts w:ascii="Times New Roman" w:hAnsi="Times New Roman" w:eastAsia="宋体"/>
          <w:i/>
        </w:rPr>
        <w:t>Caenorhabditis elegans</w:t>
      </w:r>
      <w:r>
        <w:rPr>
          <w:rFonts w:ascii="Times New Roman" w:hAnsi="Times New Roman" w:eastAsia="宋体"/>
        </w:rPr>
        <w:t xml:space="preserve"> sexes. </w:t>
      </w:r>
      <w:r>
        <w:rPr>
          <w:rFonts w:ascii="Times New Roman" w:hAnsi="Times New Roman" w:eastAsia="宋体"/>
          <w:i/>
        </w:rPr>
        <w:t>Nature, 571</w:t>
      </w:r>
      <w:r>
        <w:rPr>
          <w:rFonts w:ascii="Times New Roman" w:hAnsi="Times New Roman" w:eastAsia="宋体"/>
        </w:rPr>
        <w:t>(7763), 63–71.</w:t>
      </w:r>
    </w:p>
    <w:p w14:paraId="31E77057">
      <w:pPr>
        <w:ind w:left="432" w:hanging="432"/>
      </w:pPr>
      <w:r>
        <w:rPr>
          <w:rFonts w:ascii="Times New Roman" w:hAnsi="Times New Roman" w:eastAsia="宋体"/>
          <w:b/>
        </w:rPr>
        <w:t xml:space="preserve">7. </w:t>
      </w:r>
      <w:r>
        <w:rPr>
          <w:rFonts w:ascii="Times New Roman" w:hAnsi="Times New Roman" w:eastAsia="宋体"/>
        </w:rPr>
        <w:t xml:space="preserve">Frémaux, N., &amp; Gerstner, W. (2016). Neuromodulated spike-timing-dependent plasticity, and theory of three-factor learning rules. </w:t>
      </w:r>
      <w:r>
        <w:rPr>
          <w:rFonts w:ascii="Times New Roman" w:hAnsi="Times New Roman" w:eastAsia="宋体"/>
          <w:i/>
        </w:rPr>
        <w:t>Frontiers in Neural Circuits, 9</w:t>
      </w:r>
      <w:r>
        <w:rPr>
          <w:rFonts w:ascii="Times New Roman" w:hAnsi="Times New Roman" w:eastAsia="宋体"/>
        </w:rPr>
        <w:t>, 85.</w:t>
      </w:r>
    </w:p>
    <w:p w14:paraId="668B5997">
      <w:pPr>
        <w:ind w:left="432" w:hanging="432"/>
      </w:pPr>
      <w:r>
        <w:rPr>
          <w:rFonts w:ascii="Times New Roman" w:hAnsi="Times New Roman" w:eastAsia="宋体"/>
          <w:b/>
        </w:rPr>
        <w:t xml:space="preserve">8. </w:t>
      </w:r>
      <w:r>
        <w:rPr>
          <w:rFonts w:ascii="Times New Roman" w:hAnsi="Times New Roman" w:eastAsia="宋体"/>
        </w:rPr>
        <w:t xml:space="preserve">Gerstner, W., Lehmann, M., Liakoni, V., Corneil, D., &amp; Brea, J. (2018). Eligibility traces and plasticity on behavioral time scales: experimental support of neoHebbian three-factor learning rules. </w:t>
      </w:r>
      <w:r>
        <w:rPr>
          <w:rFonts w:ascii="Times New Roman" w:hAnsi="Times New Roman" w:eastAsia="宋体"/>
          <w:i/>
        </w:rPr>
        <w:t>Frontiers in Neural Circuits, 12</w:t>
      </w:r>
      <w:r>
        <w:rPr>
          <w:rFonts w:ascii="Times New Roman" w:hAnsi="Times New Roman" w:eastAsia="宋体"/>
        </w:rPr>
        <w:t>, 53.</w:t>
      </w:r>
    </w:p>
    <w:p w14:paraId="0D5B6849">
      <w:pPr>
        <w:ind w:left="432" w:hanging="432"/>
      </w:pPr>
      <w:r>
        <w:rPr>
          <w:rFonts w:ascii="Times New Roman" w:hAnsi="Times New Roman" w:eastAsia="宋体"/>
          <w:b/>
        </w:rPr>
        <w:t xml:space="preserve">9. </w:t>
      </w:r>
      <w:r>
        <w:rPr>
          <w:rFonts w:ascii="Times New Roman" w:hAnsi="Times New Roman" w:eastAsia="宋体"/>
        </w:rPr>
        <w:t xml:space="preserve">Iino, Y., &amp; Yoshida, K. (2009). Parallel use of two behavioral mechanisms for chemotaxis in </w:t>
      </w:r>
      <w:r>
        <w:rPr>
          <w:rFonts w:ascii="Times New Roman" w:hAnsi="Times New Roman" w:eastAsia="宋体"/>
          <w:i/>
        </w:rPr>
        <w:t>Caenorhabditis elegans</w:t>
      </w:r>
      <w:r>
        <w:rPr>
          <w:rFonts w:ascii="Times New Roman" w:hAnsi="Times New Roman" w:eastAsia="宋体"/>
        </w:rPr>
        <w:t xml:space="preserve">. </w:t>
      </w:r>
      <w:r>
        <w:rPr>
          <w:rFonts w:ascii="Times New Roman" w:hAnsi="Times New Roman" w:eastAsia="宋体"/>
          <w:i/>
        </w:rPr>
        <w:t>Journal of Neuroscience, 29</w:t>
      </w:r>
      <w:r>
        <w:rPr>
          <w:rFonts w:ascii="Times New Roman" w:hAnsi="Times New Roman" w:eastAsia="宋体"/>
        </w:rPr>
        <w:t>(17), 5370–5380.</w:t>
      </w:r>
    </w:p>
    <w:p w14:paraId="43E5EB64">
      <w:pPr>
        <w:ind w:left="432" w:hanging="432"/>
      </w:pPr>
      <w:r>
        <w:rPr>
          <w:rFonts w:ascii="Times New Roman" w:hAnsi="Times New Roman" w:eastAsia="宋体"/>
          <w:b/>
        </w:rPr>
        <w:t xml:space="preserve">10. </w:t>
      </w:r>
      <w:r>
        <w:rPr>
          <w:rFonts w:ascii="Times New Roman" w:hAnsi="Times New Roman" w:eastAsia="宋体"/>
        </w:rPr>
        <w:t xml:space="preserve">Izhikevich, E. M. (2007). Solving the distal reward problem through linkage of contiguity and reward. </w:t>
      </w:r>
      <w:r>
        <w:rPr>
          <w:rFonts w:ascii="Times New Roman" w:hAnsi="Times New Roman" w:eastAsia="宋体"/>
          <w:i/>
        </w:rPr>
        <w:t>Cerebral Cortex, 17</w:t>
      </w:r>
      <w:r>
        <w:rPr>
          <w:rFonts w:ascii="Times New Roman" w:hAnsi="Times New Roman" w:eastAsia="宋体"/>
        </w:rPr>
        <w:t>(10), 2443–2452.</w:t>
      </w:r>
    </w:p>
    <w:p w14:paraId="07B56A43">
      <w:pPr>
        <w:ind w:left="432" w:hanging="432"/>
      </w:pPr>
      <w:r>
        <w:rPr>
          <w:rFonts w:ascii="Times New Roman" w:hAnsi="Times New Roman" w:eastAsia="宋体"/>
          <w:b/>
        </w:rPr>
        <w:t xml:space="preserve">11. </w:t>
      </w:r>
      <w:r>
        <w:rPr>
          <w:rFonts w:ascii="Times New Roman" w:hAnsi="Times New Roman" w:eastAsia="宋体"/>
        </w:rPr>
        <w:t xml:space="preserve">Kato, S., Kaplan, H. S., Schrödel, T., Skora, S., Lindsay, T. H., Yemini, E., Lockery, S., &amp; Zimmer, M. (2015). Global brain dynamics embed the motor command sequence of </w:t>
      </w:r>
      <w:r>
        <w:rPr>
          <w:rFonts w:ascii="Times New Roman" w:hAnsi="Times New Roman" w:eastAsia="宋体"/>
          <w:i/>
        </w:rPr>
        <w:t>Caenorhabditis elegans</w:t>
      </w:r>
      <w:r>
        <w:rPr>
          <w:rFonts w:ascii="Times New Roman" w:hAnsi="Times New Roman" w:eastAsia="宋体"/>
        </w:rPr>
        <w:t xml:space="preserve">. </w:t>
      </w:r>
      <w:r>
        <w:rPr>
          <w:rFonts w:ascii="Times New Roman" w:hAnsi="Times New Roman" w:eastAsia="宋体"/>
          <w:i/>
        </w:rPr>
        <w:t>Cell, 163</w:t>
      </w:r>
      <w:r>
        <w:rPr>
          <w:rFonts w:ascii="Times New Roman" w:hAnsi="Times New Roman" w:eastAsia="宋体"/>
        </w:rPr>
        <w:t>(3), 656–669.</w:t>
      </w:r>
    </w:p>
    <w:p w14:paraId="70E3407F">
      <w:pPr>
        <w:ind w:left="432" w:hanging="432"/>
      </w:pPr>
      <w:r>
        <w:rPr>
          <w:rFonts w:ascii="Times New Roman" w:hAnsi="Times New Roman" w:eastAsia="宋体"/>
          <w:b/>
        </w:rPr>
        <w:t xml:space="preserve">12. </w:t>
      </w:r>
      <w:r>
        <w:rPr>
          <w:rFonts w:ascii="Times New Roman" w:hAnsi="Times New Roman" w:eastAsia="宋体"/>
        </w:rPr>
        <w:t xml:space="preserve">Marder, E., &amp; Goaillard, J.-M. (2006). Variability, compensation and homeostasis in neuron and network function. </w:t>
      </w:r>
      <w:r>
        <w:rPr>
          <w:rFonts w:ascii="Times New Roman" w:hAnsi="Times New Roman" w:eastAsia="宋体"/>
          <w:i/>
        </w:rPr>
        <w:t>Nature Reviews Neuroscience, 7</w:t>
      </w:r>
      <w:r>
        <w:rPr>
          <w:rFonts w:ascii="Times New Roman" w:hAnsi="Times New Roman" w:eastAsia="宋体"/>
        </w:rPr>
        <w:t>(7), 563–574.</w:t>
      </w:r>
    </w:p>
    <w:p w14:paraId="247CA905">
      <w:pPr>
        <w:ind w:left="432" w:hanging="432"/>
      </w:pPr>
      <w:r>
        <w:rPr>
          <w:rFonts w:ascii="Times New Roman" w:hAnsi="Times New Roman" w:eastAsia="宋体"/>
          <w:b/>
        </w:rPr>
        <w:t xml:space="preserve">13. </w:t>
      </w:r>
      <w:r>
        <w:rPr>
          <w:rFonts w:ascii="Times New Roman" w:hAnsi="Times New Roman" w:eastAsia="宋体"/>
        </w:rPr>
        <w:t xml:space="preserve">Pierce-Shimomura, J. T., Morse, T. M., &amp; Lockery, S. R. (1999). The fundamental role of pirouettes in </w:t>
      </w:r>
      <w:r>
        <w:rPr>
          <w:rFonts w:ascii="Times New Roman" w:hAnsi="Times New Roman" w:eastAsia="宋体"/>
          <w:i/>
        </w:rPr>
        <w:t>Caenorhabditis elegans</w:t>
      </w:r>
      <w:r>
        <w:rPr>
          <w:rFonts w:ascii="Times New Roman" w:hAnsi="Times New Roman" w:eastAsia="宋体"/>
        </w:rPr>
        <w:t xml:space="preserve"> chemotaxis. </w:t>
      </w:r>
      <w:r>
        <w:rPr>
          <w:rFonts w:ascii="Times New Roman" w:hAnsi="Times New Roman" w:eastAsia="宋体"/>
          <w:i/>
        </w:rPr>
        <w:t>Journal of Neuroscience, 19</w:t>
      </w:r>
      <w:r>
        <w:rPr>
          <w:rFonts w:ascii="Times New Roman" w:hAnsi="Times New Roman" w:eastAsia="宋体"/>
        </w:rPr>
        <w:t>(21), 9557–9569.</w:t>
      </w:r>
    </w:p>
    <w:p w14:paraId="01142BA3">
      <w:pPr>
        <w:ind w:left="432" w:hanging="432"/>
      </w:pPr>
      <w:r>
        <w:rPr>
          <w:rFonts w:ascii="Times New Roman" w:hAnsi="Times New Roman" w:eastAsia="宋体"/>
          <w:b/>
        </w:rPr>
        <w:t xml:space="preserve">14. </w:t>
      </w:r>
      <w:r>
        <w:rPr>
          <w:rFonts w:ascii="Times New Roman" w:hAnsi="Times New Roman" w:eastAsia="宋体"/>
        </w:rPr>
        <w:t xml:space="preserve">Song, S., Miller, K. D., &amp; Abbott, L. F. (2000). Competitive Hebbian learning through spike-timing-dependent synaptic plasticity. </w:t>
      </w:r>
      <w:r>
        <w:rPr>
          <w:rFonts w:ascii="Times New Roman" w:hAnsi="Times New Roman" w:eastAsia="宋体"/>
          <w:i/>
        </w:rPr>
        <w:t>Nature Neuroscience, 3</w:t>
      </w:r>
      <w:r>
        <w:rPr>
          <w:rFonts w:ascii="Times New Roman" w:hAnsi="Times New Roman" w:eastAsia="宋体"/>
        </w:rPr>
        <w:t>(9), 919–926.</w:t>
      </w:r>
    </w:p>
    <w:p w14:paraId="73CCE6B8">
      <w:pPr>
        <w:ind w:left="432" w:hanging="432"/>
      </w:pPr>
      <w:r>
        <w:rPr>
          <w:rFonts w:ascii="Times New Roman" w:hAnsi="Times New Roman" w:eastAsia="宋体"/>
          <w:b/>
        </w:rPr>
        <w:t xml:space="preserve">15. </w:t>
      </w:r>
      <w:r>
        <w:rPr>
          <w:rFonts w:ascii="Times New Roman" w:hAnsi="Times New Roman" w:eastAsia="宋体"/>
        </w:rPr>
        <w:t xml:space="preserve">Turrigiano, G. G., Leslie, K. R., Desai, N. S., Rutherford, L. C., &amp; Nelson, S. B. (1998). Activity-dependent scaling of quantal amplitude in neocortical neurons. </w:t>
      </w:r>
      <w:r>
        <w:rPr>
          <w:rFonts w:ascii="Times New Roman" w:hAnsi="Times New Roman" w:eastAsia="宋体"/>
          <w:i/>
        </w:rPr>
        <w:t>Nature, 392</w:t>
      </w:r>
      <w:r>
        <w:rPr>
          <w:rFonts w:ascii="Times New Roman" w:hAnsi="Times New Roman" w:eastAsia="宋体"/>
        </w:rPr>
        <w:t>(6678), 892–896.</w:t>
      </w:r>
    </w:p>
    <w:p w14:paraId="7869010D">
      <w:pPr>
        <w:ind w:left="432" w:hanging="432"/>
      </w:pPr>
      <w:r>
        <w:rPr>
          <w:rFonts w:ascii="Times New Roman" w:hAnsi="Times New Roman" w:eastAsia="宋体"/>
          <w:b/>
        </w:rPr>
        <w:t xml:space="preserve">16. </w:t>
      </w:r>
      <w:r>
        <w:rPr>
          <w:rFonts w:ascii="Times New Roman" w:hAnsi="Times New Roman" w:eastAsia="宋体"/>
        </w:rPr>
        <w:t xml:space="preserve">Turrigiano, G. (2012). Homeostatic synaptic plasticity: local and global mechanisms for stabilizing neuronal function. </w:t>
      </w:r>
      <w:r>
        <w:rPr>
          <w:rFonts w:ascii="Times New Roman" w:hAnsi="Times New Roman" w:eastAsia="宋体"/>
          <w:i/>
        </w:rPr>
        <w:t>Cold Spring Harbor Perspectives in Biology, 4</w:t>
      </w:r>
      <w:r>
        <w:rPr>
          <w:rFonts w:ascii="Times New Roman" w:hAnsi="Times New Roman" w:eastAsia="宋体"/>
        </w:rPr>
        <w:t>(1), a005736.</w:t>
      </w:r>
    </w:p>
    <w:p w14:paraId="72056179">
      <w:pPr>
        <w:ind w:left="432" w:hanging="432"/>
      </w:pPr>
      <w:r>
        <w:rPr>
          <w:rFonts w:ascii="Times New Roman" w:hAnsi="Times New Roman" w:eastAsia="宋体"/>
          <w:b/>
        </w:rPr>
        <w:t xml:space="preserve">17. </w:t>
      </w:r>
      <w:r>
        <w:rPr>
          <w:rFonts w:ascii="Times New Roman" w:hAnsi="Times New Roman" w:eastAsia="宋体"/>
        </w:rPr>
        <w:t xml:space="preserve">White, J. G., Southgate, E., Thomson, J. N., &amp; Brenner, S. (1986). The structure of the nervous system of the nematode </w:t>
      </w:r>
      <w:r>
        <w:rPr>
          <w:rFonts w:ascii="Times New Roman" w:hAnsi="Times New Roman" w:eastAsia="宋体"/>
          <w:i/>
        </w:rPr>
        <w:t>Caenorhabditis elegans</w:t>
      </w:r>
      <w:r>
        <w:rPr>
          <w:rFonts w:ascii="Times New Roman" w:hAnsi="Times New Roman" w:eastAsia="宋体"/>
        </w:rPr>
        <w:t xml:space="preserve">. </w:t>
      </w:r>
      <w:r>
        <w:rPr>
          <w:rFonts w:ascii="Times New Roman" w:hAnsi="Times New Roman" w:eastAsia="宋体"/>
          <w:i/>
        </w:rPr>
        <w:t>Philosophical Transactions of the Royal Society of London. B, Biological Sciences, 314</w:t>
      </w:r>
      <w:r>
        <w:rPr>
          <w:rFonts w:ascii="Times New Roman" w:hAnsi="Times New Roman" w:eastAsia="宋体"/>
        </w:rPr>
        <w:t>(1165), 1–340.</w:t>
      </w:r>
    </w:p>
    <w:p w14:paraId="33649B79">
      <w:pPr>
        <w:pStyle w:val="4"/>
      </w:pPr>
      <w:r>
        <w:rPr>
          <w:rFonts w:ascii="Times New Roman" w:hAnsi="Times New Roman" w:eastAsia="黑体"/>
        </w:rPr>
        <w:t>Tables</w:t>
      </w:r>
    </w:p>
    <w:p w14:paraId="1B3284B2">
      <w:pPr>
        <w:jc w:val="both"/>
      </w:pPr>
      <w:r>
        <w:rPr>
          <w:rFonts w:ascii="Times New Roman" w:hAnsi="Times New Roman" w:eastAsia="宋体"/>
          <w:b/>
        </w:rPr>
        <w:t>Table 1.</w:t>
      </w:r>
      <w:r>
        <w:rPr>
          <w:rFonts w:ascii="Times New Roman" w:hAnsi="Times New Roman" w:eastAsia="宋体"/>
        </w:rPr>
        <w:t xml:space="preserve"> Aligned strength (positive = correct chemotaxis; 0 = chance).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50C9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D9E2F3"/>
          </w:tcPr>
          <w:p w14:paraId="18301D5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Readout</w:t>
            </w:r>
          </w:p>
        </w:tc>
        <w:tc>
          <w:tcPr>
            <w:tcW w:w="1560" w:type="dxa"/>
            <w:shd w:val="clear" w:color="auto" w:fill="D9E2F3"/>
          </w:tcPr>
          <w:p w14:paraId="11ED75AC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Condition</w:t>
            </w:r>
          </w:p>
        </w:tc>
        <w:tc>
          <w:tcPr>
            <w:tcW w:w="1560" w:type="dxa"/>
            <w:shd w:val="clear" w:color="auto" w:fill="D9E2F3"/>
          </w:tcPr>
          <w:p w14:paraId="0CFBDD2C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BRW</w:t>
            </w:r>
          </w:p>
        </w:tc>
        <w:tc>
          <w:tcPr>
            <w:tcW w:w="1560" w:type="dxa"/>
            <w:shd w:val="clear" w:color="auto" w:fill="D9E2F3"/>
          </w:tcPr>
          <w:p w14:paraId="1C944D0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Klinotaxis</w:t>
            </w:r>
          </w:p>
        </w:tc>
        <w:tc>
          <w:tcPr>
            <w:tcW w:w="1560" w:type="dxa"/>
            <w:shd w:val="clear" w:color="auto" w:fill="D9E2F3"/>
          </w:tcPr>
          <w:p w14:paraId="7D4E313E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Velocity</w:t>
            </w:r>
          </w:p>
        </w:tc>
        <w:tc>
          <w:tcPr>
            <w:tcW w:w="1560" w:type="dxa"/>
            <w:shd w:val="clear" w:color="auto" w:fill="D9E2F3"/>
          </w:tcPr>
          <w:p w14:paraId="0C37BADE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Endpoint</w:t>
            </w:r>
          </w:p>
        </w:tc>
      </w:tr>
      <w:tr w14:paraId="6344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0851851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continuous</w:t>
            </w:r>
          </w:p>
        </w:tc>
        <w:tc>
          <w:tcPr>
            <w:tcW w:w="1560" w:type="dxa"/>
          </w:tcPr>
          <w:p w14:paraId="217DA5B7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heterogeneous</w:t>
            </w:r>
          </w:p>
        </w:tc>
        <w:tc>
          <w:tcPr>
            <w:tcW w:w="1560" w:type="dxa"/>
          </w:tcPr>
          <w:p w14:paraId="62C2E330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0.272</w:t>
            </w:r>
          </w:p>
        </w:tc>
        <w:tc>
          <w:tcPr>
            <w:tcW w:w="1560" w:type="dxa"/>
          </w:tcPr>
          <w:p w14:paraId="1E8C8594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6.890</w:t>
            </w:r>
          </w:p>
        </w:tc>
        <w:tc>
          <w:tcPr>
            <w:tcW w:w="1560" w:type="dxa"/>
          </w:tcPr>
          <w:p w14:paraId="3E9C72B4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0.829</w:t>
            </w:r>
          </w:p>
        </w:tc>
        <w:tc>
          <w:tcPr>
            <w:tcW w:w="1560" w:type="dxa"/>
          </w:tcPr>
          <w:p w14:paraId="7300D54A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+0.838</w:t>
            </w:r>
          </w:p>
        </w:tc>
      </w:tr>
      <w:tr w14:paraId="06D3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1356B066">
            <w:pPr>
              <w:jc w:val="left"/>
            </w:pPr>
          </w:p>
        </w:tc>
        <w:tc>
          <w:tcPr>
            <w:tcW w:w="1560" w:type="dxa"/>
          </w:tcPr>
          <w:p w14:paraId="3677760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shuffled</w:t>
            </w:r>
          </w:p>
        </w:tc>
        <w:tc>
          <w:tcPr>
            <w:tcW w:w="1560" w:type="dxa"/>
          </w:tcPr>
          <w:p w14:paraId="00821E09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0.337</w:t>
            </w:r>
          </w:p>
        </w:tc>
        <w:tc>
          <w:tcPr>
            <w:tcW w:w="1560" w:type="dxa"/>
          </w:tcPr>
          <w:p w14:paraId="6E905264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6.857</w:t>
            </w:r>
          </w:p>
        </w:tc>
        <w:tc>
          <w:tcPr>
            <w:tcW w:w="1560" w:type="dxa"/>
          </w:tcPr>
          <w:p w14:paraId="1FAF4F41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0.837</w:t>
            </w:r>
          </w:p>
        </w:tc>
        <w:tc>
          <w:tcPr>
            <w:tcW w:w="1560" w:type="dxa"/>
          </w:tcPr>
          <w:p w14:paraId="6A33159E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+0.808</w:t>
            </w:r>
          </w:p>
        </w:tc>
      </w:tr>
      <w:tr w14:paraId="7DE64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A09F533">
            <w:pPr>
              <w:jc w:val="left"/>
            </w:pPr>
          </w:p>
        </w:tc>
        <w:tc>
          <w:tcPr>
            <w:tcW w:w="1560" w:type="dxa"/>
          </w:tcPr>
          <w:p w14:paraId="78B62A2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homogeneous</w:t>
            </w:r>
          </w:p>
        </w:tc>
        <w:tc>
          <w:tcPr>
            <w:tcW w:w="1560" w:type="dxa"/>
          </w:tcPr>
          <w:p w14:paraId="74285DF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0.048</w:t>
            </w:r>
          </w:p>
        </w:tc>
        <w:tc>
          <w:tcPr>
            <w:tcW w:w="1560" w:type="dxa"/>
          </w:tcPr>
          <w:p w14:paraId="0C3D9556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2.078</w:t>
            </w:r>
          </w:p>
        </w:tc>
        <w:tc>
          <w:tcPr>
            <w:tcW w:w="1560" w:type="dxa"/>
          </w:tcPr>
          <w:p w14:paraId="572DA96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0.164</w:t>
            </w:r>
          </w:p>
        </w:tc>
        <w:tc>
          <w:tcPr>
            <w:tcW w:w="1560" w:type="dxa"/>
          </w:tcPr>
          <w:p w14:paraId="05F2378E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−0.638</w:t>
            </w:r>
          </w:p>
        </w:tc>
      </w:tr>
      <w:tr w14:paraId="6845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30564B48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cached</w:t>
            </w:r>
          </w:p>
        </w:tc>
        <w:tc>
          <w:tcPr>
            <w:tcW w:w="1560" w:type="dxa"/>
          </w:tcPr>
          <w:p w14:paraId="7698BEAE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heterogeneous</w:t>
            </w:r>
          </w:p>
        </w:tc>
        <w:tc>
          <w:tcPr>
            <w:tcW w:w="1560" w:type="dxa"/>
          </w:tcPr>
          <w:p w14:paraId="141DB646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0.165</w:t>
            </w:r>
          </w:p>
        </w:tc>
        <w:tc>
          <w:tcPr>
            <w:tcW w:w="1560" w:type="dxa"/>
          </w:tcPr>
          <w:p w14:paraId="7FDDB0C1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4.712</w:t>
            </w:r>
          </w:p>
        </w:tc>
        <w:tc>
          <w:tcPr>
            <w:tcW w:w="1560" w:type="dxa"/>
          </w:tcPr>
          <w:p w14:paraId="59E6620B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0.486</w:t>
            </w:r>
          </w:p>
        </w:tc>
        <w:tc>
          <w:tcPr>
            <w:tcW w:w="1560" w:type="dxa"/>
          </w:tcPr>
          <w:p w14:paraId="26C5DF1D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−0.001</w:t>
            </w:r>
          </w:p>
        </w:tc>
      </w:tr>
      <w:tr w14:paraId="4440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9BB0CE6">
            <w:pPr>
              <w:jc w:val="left"/>
            </w:pPr>
          </w:p>
        </w:tc>
        <w:tc>
          <w:tcPr>
            <w:tcW w:w="1560" w:type="dxa"/>
          </w:tcPr>
          <w:p w14:paraId="70CD057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shuffled</w:t>
            </w:r>
          </w:p>
        </w:tc>
        <w:tc>
          <w:tcPr>
            <w:tcW w:w="1560" w:type="dxa"/>
          </w:tcPr>
          <w:p w14:paraId="2B452229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0.360</w:t>
            </w:r>
          </w:p>
        </w:tc>
        <w:tc>
          <w:tcPr>
            <w:tcW w:w="1560" w:type="dxa"/>
          </w:tcPr>
          <w:p w14:paraId="24740DB1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6.193</w:t>
            </w:r>
          </w:p>
        </w:tc>
        <w:tc>
          <w:tcPr>
            <w:tcW w:w="1560" w:type="dxa"/>
          </w:tcPr>
          <w:p w14:paraId="3B7FEF5A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0.725</w:t>
            </w:r>
          </w:p>
        </w:tc>
        <w:tc>
          <w:tcPr>
            <w:tcW w:w="1560" w:type="dxa"/>
          </w:tcPr>
          <w:p w14:paraId="3DF2614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+0.530</w:t>
            </w:r>
          </w:p>
        </w:tc>
      </w:tr>
      <w:tr w14:paraId="2E9C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3D356FB5">
            <w:pPr>
              <w:jc w:val="left"/>
            </w:pPr>
          </w:p>
        </w:tc>
        <w:tc>
          <w:tcPr>
            <w:tcW w:w="1560" w:type="dxa"/>
          </w:tcPr>
          <w:p w14:paraId="1F1E8176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homogeneous</w:t>
            </w:r>
          </w:p>
        </w:tc>
        <w:tc>
          <w:tcPr>
            <w:tcW w:w="1560" w:type="dxa"/>
          </w:tcPr>
          <w:p w14:paraId="3E66D349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0.254</w:t>
            </w:r>
          </w:p>
        </w:tc>
        <w:tc>
          <w:tcPr>
            <w:tcW w:w="1560" w:type="dxa"/>
          </w:tcPr>
          <w:p w14:paraId="67711156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4.900</w:t>
            </w:r>
          </w:p>
        </w:tc>
        <w:tc>
          <w:tcPr>
            <w:tcW w:w="1560" w:type="dxa"/>
          </w:tcPr>
          <w:p w14:paraId="08DC843D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0.550</w:t>
            </w:r>
          </w:p>
        </w:tc>
        <w:tc>
          <w:tcPr>
            <w:tcW w:w="1560" w:type="dxa"/>
          </w:tcPr>
          <w:p w14:paraId="13FC87DD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+0.139</w:t>
            </w:r>
          </w:p>
        </w:tc>
      </w:tr>
    </w:tbl>
    <w:p w14:paraId="06B96F28"/>
    <w:p w14:paraId="2175BAE3">
      <w:pPr>
        <w:jc w:val="both"/>
      </w:pPr>
      <w:r>
        <w:rPr>
          <w:rFonts w:ascii="Times New Roman" w:hAnsi="Times New Roman" w:eastAsia="宋体"/>
          <w:b/>
        </w:rPr>
        <w:t>Table 2.</w:t>
      </w:r>
      <w:r>
        <w:rPr>
          <w:rFonts w:ascii="Times New Roman" w:hAnsi="Times New Roman" w:eastAsia="宋体"/>
        </w:rPr>
        <w:t xml:space="preserve"> Direction pass-rate (0.5 ≈ chance).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67011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D9E2F3"/>
          </w:tcPr>
          <w:p w14:paraId="27C234A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Readout</w:t>
            </w:r>
          </w:p>
        </w:tc>
        <w:tc>
          <w:tcPr>
            <w:tcW w:w="1560" w:type="dxa"/>
            <w:shd w:val="clear" w:color="auto" w:fill="D9E2F3"/>
          </w:tcPr>
          <w:p w14:paraId="3B628E8F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Condition</w:t>
            </w:r>
          </w:p>
        </w:tc>
        <w:tc>
          <w:tcPr>
            <w:tcW w:w="1560" w:type="dxa"/>
            <w:shd w:val="clear" w:color="auto" w:fill="D9E2F3"/>
          </w:tcPr>
          <w:p w14:paraId="54ECCEC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BRW</w:t>
            </w:r>
          </w:p>
        </w:tc>
        <w:tc>
          <w:tcPr>
            <w:tcW w:w="1560" w:type="dxa"/>
            <w:shd w:val="clear" w:color="auto" w:fill="D9E2F3"/>
          </w:tcPr>
          <w:p w14:paraId="20962A7F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Klinotaxis</w:t>
            </w:r>
          </w:p>
        </w:tc>
        <w:tc>
          <w:tcPr>
            <w:tcW w:w="1560" w:type="dxa"/>
            <w:shd w:val="clear" w:color="auto" w:fill="D9E2F3"/>
          </w:tcPr>
          <w:p w14:paraId="167A70B2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Velocity</w:t>
            </w:r>
          </w:p>
        </w:tc>
        <w:tc>
          <w:tcPr>
            <w:tcW w:w="1560" w:type="dxa"/>
            <w:shd w:val="clear" w:color="auto" w:fill="D9E2F3"/>
          </w:tcPr>
          <w:p w14:paraId="7F0D682A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Endpoint</w:t>
            </w:r>
          </w:p>
        </w:tc>
      </w:tr>
      <w:tr w14:paraId="7DAD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21C3A72C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continuous</w:t>
            </w:r>
          </w:p>
        </w:tc>
        <w:tc>
          <w:tcPr>
            <w:tcW w:w="1560" w:type="dxa"/>
          </w:tcPr>
          <w:p w14:paraId="000853C8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heterogeneous</w:t>
            </w:r>
          </w:p>
        </w:tc>
        <w:tc>
          <w:tcPr>
            <w:tcW w:w="1560" w:type="dxa"/>
          </w:tcPr>
          <w:p w14:paraId="62F0AEC1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1.00</w:t>
            </w:r>
          </w:p>
        </w:tc>
        <w:tc>
          <w:tcPr>
            <w:tcW w:w="1560" w:type="dxa"/>
          </w:tcPr>
          <w:p w14:paraId="3AFC965E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1.00</w:t>
            </w:r>
          </w:p>
        </w:tc>
        <w:tc>
          <w:tcPr>
            <w:tcW w:w="1560" w:type="dxa"/>
          </w:tcPr>
          <w:p w14:paraId="5DCE9F68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1.00</w:t>
            </w:r>
          </w:p>
        </w:tc>
        <w:tc>
          <w:tcPr>
            <w:tcW w:w="1560" w:type="dxa"/>
          </w:tcPr>
          <w:p w14:paraId="217E5A6D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0.83</w:t>
            </w:r>
          </w:p>
        </w:tc>
      </w:tr>
      <w:tr w14:paraId="00F1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583B599">
            <w:pPr>
              <w:jc w:val="left"/>
            </w:pPr>
          </w:p>
        </w:tc>
        <w:tc>
          <w:tcPr>
            <w:tcW w:w="1560" w:type="dxa"/>
          </w:tcPr>
          <w:p w14:paraId="2976E6A2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shuffled</w:t>
            </w:r>
          </w:p>
        </w:tc>
        <w:tc>
          <w:tcPr>
            <w:tcW w:w="1560" w:type="dxa"/>
          </w:tcPr>
          <w:p w14:paraId="6EE04DB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1.00</w:t>
            </w:r>
          </w:p>
        </w:tc>
        <w:tc>
          <w:tcPr>
            <w:tcW w:w="1560" w:type="dxa"/>
          </w:tcPr>
          <w:p w14:paraId="600757B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1.00</w:t>
            </w:r>
          </w:p>
        </w:tc>
        <w:tc>
          <w:tcPr>
            <w:tcW w:w="1560" w:type="dxa"/>
          </w:tcPr>
          <w:p w14:paraId="7123D4C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1.00</w:t>
            </w:r>
          </w:p>
        </w:tc>
        <w:tc>
          <w:tcPr>
            <w:tcW w:w="1560" w:type="dxa"/>
          </w:tcPr>
          <w:p w14:paraId="27A2DA24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0.70</w:t>
            </w:r>
          </w:p>
        </w:tc>
      </w:tr>
      <w:tr w14:paraId="0ED8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7EA9E0B0">
            <w:pPr>
              <w:jc w:val="left"/>
            </w:pPr>
          </w:p>
        </w:tc>
        <w:tc>
          <w:tcPr>
            <w:tcW w:w="1560" w:type="dxa"/>
          </w:tcPr>
          <w:p w14:paraId="0A54EA7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homogeneous</w:t>
            </w:r>
          </w:p>
        </w:tc>
        <w:tc>
          <w:tcPr>
            <w:tcW w:w="1560" w:type="dxa"/>
          </w:tcPr>
          <w:p w14:paraId="379E3D0F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0.67</w:t>
            </w:r>
          </w:p>
        </w:tc>
        <w:tc>
          <w:tcPr>
            <w:tcW w:w="1560" w:type="dxa"/>
          </w:tcPr>
          <w:p w14:paraId="18A7CF3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0.67</w:t>
            </w:r>
          </w:p>
        </w:tc>
        <w:tc>
          <w:tcPr>
            <w:tcW w:w="1560" w:type="dxa"/>
          </w:tcPr>
          <w:p w14:paraId="5A1E966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0.63</w:t>
            </w:r>
          </w:p>
        </w:tc>
        <w:tc>
          <w:tcPr>
            <w:tcW w:w="1560" w:type="dxa"/>
          </w:tcPr>
          <w:p w14:paraId="02457973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0.03</w:t>
            </w:r>
          </w:p>
        </w:tc>
      </w:tr>
      <w:tr w14:paraId="3AC4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23F6D44A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cached</w:t>
            </w:r>
          </w:p>
        </w:tc>
        <w:tc>
          <w:tcPr>
            <w:tcW w:w="1560" w:type="dxa"/>
          </w:tcPr>
          <w:p w14:paraId="578CC42C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heterogeneous</w:t>
            </w:r>
          </w:p>
        </w:tc>
        <w:tc>
          <w:tcPr>
            <w:tcW w:w="1560" w:type="dxa"/>
          </w:tcPr>
          <w:p w14:paraId="234A4D6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0.95</w:t>
            </w:r>
          </w:p>
        </w:tc>
        <w:tc>
          <w:tcPr>
            <w:tcW w:w="1560" w:type="dxa"/>
          </w:tcPr>
          <w:p w14:paraId="14916830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0.97</w:t>
            </w:r>
          </w:p>
        </w:tc>
        <w:tc>
          <w:tcPr>
            <w:tcW w:w="1560" w:type="dxa"/>
          </w:tcPr>
          <w:p w14:paraId="35B62B6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0.93</w:t>
            </w:r>
          </w:p>
        </w:tc>
        <w:tc>
          <w:tcPr>
            <w:tcW w:w="1560" w:type="dxa"/>
          </w:tcPr>
          <w:p w14:paraId="4AC8E8FB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0.30</w:t>
            </w:r>
          </w:p>
        </w:tc>
      </w:tr>
      <w:tr w14:paraId="6133D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F0C89C8">
            <w:pPr>
              <w:jc w:val="left"/>
            </w:pPr>
          </w:p>
        </w:tc>
        <w:tc>
          <w:tcPr>
            <w:tcW w:w="1560" w:type="dxa"/>
          </w:tcPr>
          <w:p w14:paraId="36C08B6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shuffled</w:t>
            </w:r>
          </w:p>
        </w:tc>
        <w:tc>
          <w:tcPr>
            <w:tcW w:w="1560" w:type="dxa"/>
          </w:tcPr>
          <w:p w14:paraId="3EE1250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0.95</w:t>
            </w:r>
          </w:p>
        </w:tc>
        <w:tc>
          <w:tcPr>
            <w:tcW w:w="1560" w:type="dxa"/>
          </w:tcPr>
          <w:p w14:paraId="4BC84768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0.98</w:t>
            </w:r>
          </w:p>
        </w:tc>
        <w:tc>
          <w:tcPr>
            <w:tcW w:w="1560" w:type="dxa"/>
          </w:tcPr>
          <w:p w14:paraId="6A4B537B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0.95</w:t>
            </w:r>
          </w:p>
        </w:tc>
        <w:tc>
          <w:tcPr>
            <w:tcW w:w="1560" w:type="dxa"/>
          </w:tcPr>
          <w:p w14:paraId="56DF2DF9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0.32</w:t>
            </w:r>
          </w:p>
        </w:tc>
      </w:tr>
      <w:tr w14:paraId="78C7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707B2127">
            <w:pPr>
              <w:jc w:val="left"/>
            </w:pPr>
          </w:p>
        </w:tc>
        <w:tc>
          <w:tcPr>
            <w:tcW w:w="1560" w:type="dxa"/>
          </w:tcPr>
          <w:p w14:paraId="30E5D260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homogeneous</w:t>
            </w:r>
          </w:p>
        </w:tc>
        <w:tc>
          <w:tcPr>
            <w:tcW w:w="1560" w:type="dxa"/>
          </w:tcPr>
          <w:p w14:paraId="6F76C5DB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0.93</w:t>
            </w:r>
          </w:p>
        </w:tc>
        <w:tc>
          <w:tcPr>
            <w:tcW w:w="1560" w:type="dxa"/>
          </w:tcPr>
          <w:p w14:paraId="266EDB2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0.95</w:t>
            </w:r>
          </w:p>
        </w:tc>
        <w:tc>
          <w:tcPr>
            <w:tcW w:w="1560" w:type="dxa"/>
          </w:tcPr>
          <w:p w14:paraId="206AFB7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0.92</w:t>
            </w:r>
          </w:p>
        </w:tc>
        <w:tc>
          <w:tcPr>
            <w:tcW w:w="1560" w:type="dxa"/>
          </w:tcPr>
          <w:p w14:paraId="0370571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0.22</w:t>
            </w:r>
          </w:p>
        </w:tc>
      </w:tr>
    </w:tbl>
    <w:p w14:paraId="2F2D5F2B"/>
    <w:p w14:paraId="00404B24">
      <w:pPr>
        <w:jc w:val="both"/>
      </w:pPr>
      <w:r>
        <w:rPr>
          <w:rFonts w:ascii="Times New Roman" w:hAnsi="Times New Roman" w:eastAsia="宋体"/>
          <w:b/>
        </w:rPr>
        <w:t>Table 3.</w:t>
      </w:r>
      <w:r>
        <w:rPr>
          <w:rFonts w:ascii="Times New Roman" w:hAnsi="Times New Roman" w:eastAsia="宋体"/>
        </w:rPr>
        <w:t xml:space="preserve"> Heterogeneous − homogeneous contrast (paired by seed, </w:t>
      </w:r>
      <w:r>
        <w:rPr>
          <w:rFonts w:ascii="Times New Roman" w:hAnsi="Times New Roman" w:eastAsia="宋体"/>
          <w:i/>
        </w:rPr>
        <w:t>n</w:t>
      </w:r>
      <w:r>
        <w:rPr>
          <w:rFonts w:ascii="Times New Roman" w:hAnsi="Times New Roman" w:eastAsia="宋体"/>
        </w:rPr>
        <w:t xml:space="preserve"> = 10).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A91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2F3"/>
          </w:tcPr>
          <w:p w14:paraId="428B8EAA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Metric</w:t>
            </w:r>
          </w:p>
        </w:tc>
        <w:tc>
          <w:tcPr>
            <w:tcW w:w="1872" w:type="dxa"/>
            <w:shd w:val="clear" w:color="auto" w:fill="D9E2F3"/>
          </w:tcPr>
          <w:p w14:paraId="60AD857E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Readout</w:t>
            </w:r>
          </w:p>
        </w:tc>
        <w:tc>
          <w:tcPr>
            <w:tcW w:w="1872" w:type="dxa"/>
            <w:shd w:val="clear" w:color="auto" w:fill="D9E2F3"/>
          </w:tcPr>
          <w:p w14:paraId="3BFA191F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Δ</w:t>
            </w:r>
          </w:p>
        </w:tc>
        <w:tc>
          <w:tcPr>
            <w:tcW w:w="1872" w:type="dxa"/>
            <w:shd w:val="clear" w:color="auto" w:fill="D9E2F3"/>
          </w:tcPr>
          <w:p w14:paraId="649B761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95% CI</w:t>
            </w:r>
          </w:p>
        </w:tc>
        <w:tc>
          <w:tcPr>
            <w:tcW w:w="1872" w:type="dxa"/>
            <w:shd w:val="clear" w:color="auto" w:fill="D9E2F3"/>
          </w:tcPr>
          <w:p w14:paraId="1E1CF7C7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paired-*t* *p*</w:t>
            </w:r>
          </w:p>
        </w:tc>
      </w:tr>
      <w:tr w14:paraId="689C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A5F199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BRW</w:t>
            </w:r>
          </w:p>
        </w:tc>
        <w:tc>
          <w:tcPr>
            <w:tcW w:w="1872" w:type="dxa"/>
          </w:tcPr>
          <w:p w14:paraId="5186A568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continuous</w:t>
            </w:r>
          </w:p>
        </w:tc>
        <w:tc>
          <w:tcPr>
            <w:tcW w:w="1872" w:type="dxa"/>
          </w:tcPr>
          <w:p w14:paraId="01DE6990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+0.224</w:t>
            </w:r>
          </w:p>
        </w:tc>
        <w:tc>
          <w:tcPr>
            <w:tcW w:w="1872" w:type="dxa"/>
          </w:tcPr>
          <w:p w14:paraId="3EA8657D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[+0.198, +0.247]</w:t>
            </w:r>
          </w:p>
        </w:tc>
        <w:tc>
          <w:tcPr>
            <w:tcW w:w="1872" w:type="dxa"/>
          </w:tcPr>
          <w:p w14:paraId="0CA09ED4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4.8×10⁻⁸</w:t>
            </w:r>
          </w:p>
        </w:tc>
      </w:tr>
      <w:tr w14:paraId="64DC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8952C9F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Klinotaxis</w:t>
            </w:r>
          </w:p>
        </w:tc>
        <w:tc>
          <w:tcPr>
            <w:tcW w:w="1872" w:type="dxa"/>
          </w:tcPr>
          <w:p w14:paraId="08C5D2ED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continuous</w:t>
            </w:r>
          </w:p>
        </w:tc>
        <w:tc>
          <w:tcPr>
            <w:tcW w:w="1872" w:type="dxa"/>
          </w:tcPr>
          <w:p w14:paraId="7E13C032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+4.811</w:t>
            </w:r>
          </w:p>
        </w:tc>
        <w:tc>
          <w:tcPr>
            <w:tcW w:w="1872" w:type="dxa"/>
          </w:tcPr>
          <w:p w14:paraId="701D62F9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[+4.383, +5.262]</w:t>
            </w:r>
          </w:p>
        </w:tc>
        <w:tc>
          <w:tcPr>
            <w:tcW w:w="1872" w:type="dxa"/>
          </w:tcPr>
          <w:p w14:paraId="1AABA87C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7.6×10⁻⁹</w:t>
            </w:r>
          </w:p>
        </w:tc>
      </w:tr>
      <w:tr w14:paraId="32AB3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6BAAD2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Velocity</w:t>
            </w:r>
          </w:p>
        </w:tc>
        <w:tc>
          <w:tcPr>
            <w:tcW w:w="1872" w:type="dxa"/>
          </w:tcPr>
          <w:p w14:paraId="13DAC167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continuous</w:t>
            </w:r>
          </w:p>
        </w:tc>
        <w:tc>
          <w:tcPr>
            <w:tcW w:w="1872" w:type="dxa"/>
          </w:tcPr>
          <w:p w14:paraId="0595DDDF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+0.665</w:t>
            </w:r>
          </w:p>
        </w:tc>
        <w:tc>
          <w:tcPr>
            <w:tcW w:w="1872" w:type="dxa"/>
          </w:tcPr>
          <w:p w14:paraId="13E8F320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[+0.610, +0.720]</w:t>
            </w:r>
          </w:p>
        </w:tc>
        <w:tc>
          <w:tcPr>
            <w:tcW w:w="1872" w:type="dxa"/>
          </w:tcPr>
          <w:p w14:paraId="71837315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3.6×10⁻⁹</w:t>
            </w:r>
          </w:p>
        </w:tc>
      </w:tr>
      <w:tr w14:paraId="6AA17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FB8336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Endpoint</w:t>
            </w:r>
          </w:p>
        </w:tc>
        <w:tc>
          <w:tcPr>
            <w:tcW w:w="1872" w:type="dxa"/>
          </w:tcPr>
          <w:p w14:paraId="08A1F0C6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continuous</w:t>
            </w:r>
          </w:p>
        </w:tc>
        <w:tc>
          <w:tcPr>
            <w:tcW w:w="1872" w:type="dxa"/>
          </w:tcPr>
          <w:p w14:paraId="04EEA3EE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+1.476</w:t>
            </w:r>
          </w:p>
        </w:tc>
        <w:tc>
          <w:tcPr>
            <w:tcW w:w="1872" w:type="dxa"/>
          </w:tcPr>
          <w:p w14:paraId="60E8A90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[+1.371, +1.576]</w:t>
            </w:r>
          </w:p>
        </w:tc>
        <w:tc>
          <w:tcPr>
            <w:tcW w:w="1872" w:type="dxa"/>
          </w:tcPr>
          <w:p w14:paraId="032F6CB1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5.9×10⁻¹⁰</w:t>
            </w:r>
          </w:p>
        </w:tc>
      </w:tr>
      <w:tr w14:paraId="22E6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61C90FB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BRW</w:t>
            </w:r>
          </w:p>
        </w:tc>
        <w:tc>
          <w:tcPr>
            <w:tcW w:w="1872" w:type="dxa"/>
          </w:tcPr>
          <w:p w14:paraId="1950FEC9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305F911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−0.089</w:t>
            </w:r>
          </w:p>
        </w:tc>
        <w:tc>
          <w:tcPr>
            <w:tcW w:w="1872" w:type="dxa"/>
          </w:tcPr>
          <w:p w14:paraId="18013659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[−0.207, +0.021]</w:t>
            </w:r>
          </w:p>
        </w:tc>
        <w:tc>
          <w:tcPr>
            <w:tcW w:w="1872" w:type="dxa"/>
          </w:tcPr>
          <w:p w14:paraId="7DA3ACDD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0.186 (NS)</w:t>
            </w:r>
          </w:p>
        </w:tc>
      </w:tr>
      <w:tr w14:paraId="6672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4545CDF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Klinotaxis</w:t>
            </w:r>
          </w:p>
        </w:tc>
        <w:tc>
          <w:tcPr>
            <w:tcW w:w="1872" w:type="dxa"/>
          </w:tcPr>
          <w:p w14:paraId="17835253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09542C6B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−0.188</w:t>
            </w:r>
          </w:p>
        </w:tc>
        <w:tc>
          <w:tcPr>
            <w:tcW w:w="1872" w:type="dxa"/>
          </w:tcPr>
          <w:p w14:paraId="01041E2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[−1.449, +1.228]</w:t>
            </w:r>
          </w:p>
        </w:tc>
        <w:tc>
          <w:tcPr>
            <w:tcW w:w="1872" w:type="dxa"/>
          </w:tcPr>
          <w:p w14:paraId="45771A5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0.793 (NS)</w:t>
            </w:r>
          </w:p>
        </w:tc>
      </w:tr>
      <w:tr w14:paraId="0AAC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62240C3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Velocity</w:t>
            </w:r>
          </w:p>
        </w:tc>
        <w:tc>
          <w:tcPr>
            <w:tcW w:w="1872" w:type="dxa"/>
          </w:tcPr>
          <w:p w14:paraId="7CC57EB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47ACF966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−0.064</w:t>
            </w:r>
          </w:p>
        </w:tc>
        <w:tc>
          <w:tcPr>
            <w:tcW w:w="1872" w:type="dxa"/>
          </w:tcPr>
          <w:p w14:paraId="5922FA1A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[−0.234, +0.092]</w:t>
            </w:r>
          </w:p>
        </w:tc>
        <w:tc>
          <w:tcPr>
            <w:tcW w:w="1872" w:type="dxa"/>
          </w:tcPr>
          <w:p w14:paraId="6F27E458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0.480 (NS)</w:t>
            </w:r>
          </w:p>
        </w:tc>
      </w:tr>
      <w:tr w14:paraId="5835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7E6257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Endpoint</w:t>
            </w:r>
          </w:p>
        </w:tc>
        <w:tc>
          <w:tcPr>
            <w:tcW w:w="1872" w:type="dxa"/>
          </w:tcPr>
          <w:p w14:paraId="643CA1AB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5C3F1752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−0.140</w:t>
            </w:r>
          </w:p>
        </w:tc>
        <w:tc>
          <w:tcPr>
            <w:tcW w:w="1872" w:type="dxa"/>
          </w:tcPr>
          <w:p w14:paraId="5A4EAC3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[−0.468, +0.175]</w:t>
            </w:r>
          </w:p>
        </w:tc>
        <w:tc>
          <w:tcPr>
            <w:tcW w:w="1872" w:type="dxa"/>
          </w:tcPr>
          <w:p w14:paraId="18F7F91C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0.440 (NS)</w:t>
            </w:r>
          </w:p>
        </w:tc>
      </w:tr>
    </w:tbl>
    <w:p w14:paraId="452243DB"/>
    <w:p w14:paraId="28F766DD">
      <w:pPr>
        <w:jc w:val="both"/>
      </w:pPr>
      <w:r>
        <w:rPr>
          <w:rFonts w:ascii="Times New Roman" w:hAnsi="Times New Roman" w:eastAsia="宋体"/>
          <w:b/>
        </w:rPr>
        <w:t>Table 4.</w:t>
      </w:r>
      <w:r>
        <w:rPr>
          <w:rFonts w:ascii="Times New Roman" w:hAnsi="Times New Roman" w:eastAsia="宋体"/>
        </w:rPr>
        <w:t xml:space="preserve"> Heterogeneous − shuffled contrast (causal ablation).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95A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2F3"/>
          </w:tcPr>
          <w:p w14:paraId="56E64531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Metric</w:t>
            </w:r>
          </w:p>
        </w:tc>
        <w:tc>
          <w:tcPr>
            <w:tcW w:w="1872" w:type="dxa"/>
            <w:shd w:val="clear" w:color="auto" w:fill="D9E2F3"/>
          </w:tcPr>
          <w:p w14:paraId="06CBB19E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Readout</w:t>
            </w:r>
          </w:p>
        </w:tc>
        <w:tc>
          <w:tcPr>
            <w:tcW w:w="1872" w:type="dxa"/>
            <w:shd w:val="clear" w:color="auto" w:fill="D9E2F3"/>
          </w:tcPr>
          <w:p w14:paraId="12DD6726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Δ</w:t>
            </w:r>
          </w:p>
        </w:tc>
        <w:tc>
          <w:tcPr>
            <w:tcW w:w="1872" w:type="dxa"/>
            <w:shd w:val="clear" w:color="auto" w:fill="D9E2F3"/>
          </w:tcPr>
          <w:p w14:paraId="4B878B4D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95% CI</w:t>
            </w:r>
          </w:p>
        </w:tc>
        <w:tc>
          <w:tcPr>
            <w:tcW w:w="1872" w:type="dxa"/>
            <w:shd w:val="clear" w:color="auto" w:fill="D9E2F3"/>
          </w:tcPr>
          <w:p w14:paraId="13D96AB1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*p*</w:t>
            </w:r>
          </w:p>
        </w:tc>
      </w:tr>
      <w:tr w14:paraId="036D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408B99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BRW</w:t>
            </w:r>
          </w:p>
        </w:tc>
        <w:tc>
          <w:tcPr>
            <w:tcW w:w="1872" w:type="dxa"/>
          </w:tcPr>
          <w:p w14:paraId="0FDB182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continuous</w:t>
            </w:r>
          </w:p>
        </w:tc>
        <w:tc>
          <w:tcPr>
            <w:tcW w:w="1872" w:type="dxa"/>
          </w:tcPr>
          <w:p w14:paraId="644E257E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−0.065</w:t>
            </w:r>
          </w:p>
        </w:tc>
        <w:tc>
          <w:tcPr>
            <w:tcW w:w="1872" w:type="dxa"/>
          </w:tcPr>
          <w:p w14:paraId="5CD7B51F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[−0.105, −0.021]</w:t>
            </w:r>
          </w:p>
        </w:tc>
        <w:tc>
          <w:tcPr>
            <w:tcW w:w="1872" w:type="dxa"/>
          </w:tcPr>
          <w:p w14:paraId="21D3FE3C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0.018</w:t>
            </w:r>
          </w:p>
        </w:tc>
      </w:tr>
      <w:tr w14:paraId="77C7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E3D2A33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Klinotaxis</w:t>
            </w:r>
          </w:p>
        </w:tc>
        <w:tc>
          <w:tcPr>
            <w:tcW w:w="1872" w:type="dxa"/>
          </w:tcPr>
          <w:p w14:paraId="60E3730F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continuous</w:t>
            </w:r>
          </w:p>
        </w:tc>
        <w:tc>
          <w:tcPr>
            <w:tcW w:w="1872" w:type="dxa"/>
          </w:tcPr>
          <w:p w14:paraId="75361DDA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+0.033</w:t>
            </w:r>
          </w:p>
        </w:tc>
        <w:tc>
          <w:tcPr>
            <w:tcW w:w="1872" w:type="dxa"/>
          </w:tcPr>
          <w:p w14:paraId="72A07B5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[−0.364, +0.459]</w:t>
            </w:r>
          </w:p>
        </w:tc>
        <w:tc>
          <w:tcPr>
            <w:tcW w:w="1872" w:type="dxa"/>
          </w:tcPr>
          <w:p w14:paraId="4551A8F7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0.887 (NS)</w:t>
            </w:r>
          </w:p>
        </w:tc>
      </w:tr>
      <w:tr w14:paraId="55C6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9A9C42B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Velocity</w:t>
            </w:r>
          </w:p>
        </w:tc>
        <w:tc>
          <w:tcPr>
            <w:tcW w:w="1872" w:type="dxa"/>
          </w:tcPr>
          <w:p w14:paraId="3E46947E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continuous</w:t>
            </w:r>
          </w:p>
        </w:tc>
        <w:tc>
          <w:tcPr>
            <w:tcW w:w="1872" w:type="dxa"/>
          </w:tcPr>
          <w:p w14:paraId="1B4990B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−0.008</w:t>
            </w:r>
          </w:p>
        </w:tc>
        <w:tc>
          <w:tcPr>
            <w:tcW w:w="1872" w:type="dxa"/>
          </w:tcPr>
          <w:p w14:paraId="4E125BAA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[−0.065, +0.063]</w:t>
            </w:r>
          </w:p>
        </w:tc>
        <w:tc>
          <w:tcPr>
            <w:tcW w:w="1872" w:type="dxa"/>
          </w:tcPr>
          <w:p w14:paraId="5EF502E6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0.813 (NS)</w:t>
            </w:r>
          </w:p>
        </w:tc>
      </w:tr>
      <w:tr w14:paraId="38EE6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CE24539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Endpoint</w:t>
            </w:r>
          </w:p>
        </w:tc>
        <w:tc>
          <w:tcPr>
            <w:tcW w:w="1872" w:type="dxa"/>
          </w:tcPr>
          <w:p w14:paraId="7F9FD89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continuous</w:t>
            </w:r>
          </w:p>
        </w:tc>
        <w:tc>
          <w:tcPr>
            <w:tcW w:w="1872" w:type="dxa"/>
          </w:tcPr>
          <w:p w14:paraId="5F4C91F6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+0.030</w:t>
            </w:r>
          </w:p>
        </w:tc>
        <w:tc>
          <w:tcPr>
            <w:tcW w:w="1872" w:type="dxa"/>
          </w:tcPr>
          <w:p w14:paraId="09EF8FC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[−0.083, +0.165]</w:t>
            </w:r>
          </w:p>
        </w:tc>
        <w:tc>
          <w:tcPr>
            <w:tcW w:w="1872" w:type="dxa"/>
          </w:tcPr>
          <w:p w14:paraId="09D1F159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0.665 (NS)</w:t>
            </w:r>
          </w:p>
        </w:tc>
      </w:tr>
      <w:tr w14:paraId="40C5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8A9AE8A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BRW</w:t>
            </w:r>
          </w:p>
        </w:tc>
        <w:tc>
          <w:tcPr>
            <w:tcW w:w="1872" w:type="dxa"/>
          </w:tcPr>
          <w:p w14:paraId="4FC1E227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3F81843F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−0.195</w:t>
            </w:r>
          </w:p>
        </w:tc>
        <w:tc>
          <w:tcPr>
            <w:tcW w:w="1872" w:type="dxa"/>
          </w:tcPr>
          <w:p w14:paraId="33A5BA51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[−0.257, −0.129]</w:t>
            </w:r>
          </w:p>
        </w:tc>
        <w:tc>
          <w:tcPr>
            <w:tcW w:w="1872" w:type="dxa"/>
          </w:tcPr>
          <w:p w14:paraId="371ACFBB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0.0004</w:t>
            </w:r>
          </w:p>
        </w:tc>
      </w:tr>
      <w:tr w14:paraId="3C67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29ECD9B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Klinotaxis</w:t>
            </w:r>
          </w:p>
        </w:tc>
        <w:tc>
          <w:tcPr>
            <w:tcW w:w="1872" w:type="dxa"/>
          </w:tcPr>
          <w:p w14:paraId="48766A21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1711DCA0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−1.481</w:t>
            </w:r>
          </w:p>
        </w:tc>
        <w:tc>
          <w:tcPr>
            <w:tcW w:w="1872" w:type="dxa"/>
          </w:tcPr>
          <w:p w14:paraId="3FDA48C1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[−2.444, −0.353]</w:t>
            </w:r>
          </w:p>
        </w:tc>
        <w:tc>
          <w:tcPr>
            <w:tcW w:w="1872" w:type="dxa"/>
          </w:tcPr>
          <w:p w14:paraId="5D552C75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0.025</w:t>
            </w:r>
          </w:p>
        </w:tc>
      </w:tr>
      <w:tr w14:paraId="6D11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BEAC1D6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Velocity</w:t>
            </w:r>
          </w:p>
        </w:tc>
        <w:tc>
          <w:tcPr>
            <w:tcW w:w="1872" w:type="dxa"/>
          </w:tcPr>
          <w:p w14:paraId="1D61A61B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295C1733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−0.239</w:t>
            </w:r>
          </w:p>
        </w:tc>
        <w:tc>
          <w:tcPr>
            <w:tcW w:w="1872" w:type="dxa"/>
          </w:tcPr>
          <w:p w14:paraId="7BCA51AC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[−0.346, −0.132]</w:t>
            </w:r>
          </w:p>
        </w:tc>
        <w:tc>
          <w:tcPr>
            <w:tcW w:w="1872" w:type="dxa"/>
          </w:tcPr>
          <w:p w14:paraId="089FAFE6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0.003</w:t>
            </w:r>
          </w:p>
        </w:tc>
      </w:tr>
      <w:tr w14:paraId="01A8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C86EBF8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Endpoint</w:t>
            </w:r>
          </w:p>
        </w:tc>
        <w:tc>
          <w:tcPr>
            <w:tcW w:w="1872" w:type="dxa"/>
          </w:tcPr>
          <w:p w14:paraId="48927D2E">
            <w:pPr>
              <w:jc w:val="left"/>
            </w:pPr>
            <w:r>
              <w:rPr>
                <w:rFonts w:ascii="Times New Roman" w:hAnsi="Times New Roman" w:eastAsia="宋体"/>
                <w:sz w:val="20"/>
              </w:rPr>
              <w:t>cached</w:t>
            </w:r>
          </w:p>
        </w:tc>
        <w:tc>
          <w:tcPr>
            <w:tcW w:w="1872" w:type="dxa"/>
          </w:tcPr>
          <w:p w14:paraId="4D814FD0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−0.530</w:t>
            </w:r>
          </w:p>
        </w:tc>
        <w:tc>
          <w:tcPr>
            <w:tcW w:w="1872" w:type="dxa"/>
          </w:tcPr>
          <w:p w14:paraId="74F7C951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[−0.803, −0.243]</w:t>
            </w:r>
          </w:p>
        </w:tc>
        <w:tc>
          <w:tcPr>
            <w:tcW w:w="1872" w:type="dxa"/>
          </w:tcPr>
          <w:p w14:paraId="0429BE31">
            <w:pPr>
              <w:jc w:val="right"/>
            </w:pPr>
            <w:r>
              <w:rPr>
                <w:rFonts w:ascii="Times New Roman" w:hAnsi="Times New Roman" w:eastAsia="宋体"/>
                <w:sz w:val="20"/>
              </w:rPr>
              <w:t>0.006</w:t>
            </w:r>
          </w:p>
        </w:tc>
      </w:tr>
    </w:tbl>
    <w:p w14:paraId="56868BE6"/>
    <w:p w14:paraId="606B653B">
      <w:pPr>
        <w:jc w:val="both"/>
      </w:pPr>
      <w:r>
        <w:rPr>
          <w:rFonts w:ascii="Times New Roman" w:hAnsi="Times New Roman" w:eastAsia="宋体"/>
          <w:i/>
        </w:rPr>
        <w:t>NS = not significant. Under continuous readout, heterogeneous ≈ shuffled on 3/4 metrics (diversity suffices); under cached readout, shuffled significantly outperforms the hand-picked mapping.</w:t>
      </w:r>
    </w:p>
    <w:p w14:paraId="79C91B54">
      <w:pPr>
        <w:jc w:val="both"/>
      </w:pPr>
      <w:r>
        <w:rPr>
          <w:rFonts w:ascii="Times New Roman" w:hAnsi="Times New Roman" w:eastAsia="宋体"/>
          <w:i/>
        </w:rPr>
        <w:t>Manuscript prepared 2026-08-03. Model, data, and figures packaged in `plasticity_2/`.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5538"/>
    <w:rsid w:val="00FC693F"/>
    <w:rsid w:val="1616443D"/>
    <w:rsid w:val="77C1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864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864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864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489</Words>
  <Characters>3069</Characters>
  <Lines>0</Lines>
  <Paragraphs>0</Paragraphs>
  <TotalTime>1</TotalTime>
  <ScaleCrop>false</ScaleCrop>
  <LinksUpToDate>false</LinksUpToDate>
  <CharactersWithSpaces>3540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WPS_1762140620</cp:lastModifiedBy>
  <dcterms:modified xsi:type="dcterms:W3CDTF">2026-08-04T04:16:19Z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eyJoZGlkIjoiMWQ3YTJjMjljOThjNTIzYzE4ZTA2YzBkODM3ZmJkZTEiLCJ1c2VySWQiOiIxNzYzODE5NDIwIn0=</vt:lpwstr>
  </property>
  <property fmtid="{D5CDD505-2E9C-101B-9397-08002B2CF9AE}" pid="3" name="KSOProductBuildVer">
    <vt:lpwstr>2052-12.1.0.28043</vt:lpwstr>
  </property>
  <property fmtid="{D5CDD505-2E9C-101B-9397-08002B2CF9AE}" pid="4" name="ICV">
    <vt:lpwstr>D2D468F3DCFF4B638DD715D031B47BF4_13</vt:lpwstr>
  </property>
</Properties>
</file>