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25FC" w:rsidRDefault="00000000">
      <w:pPr>
        <w:spacing w:before="200" w:after="40"/>
      </w:pPr>
      <w:r>
        <w:rPr>
          <w:b/>
          <w:bCs/>
          <w:color w:val="1A1A1A"/>
          <w:sz w:val="36"/>
          <w:szCs w:val="36"/>
        </w:rPr>
        <w:t>Social Media Growth Proposal</w:t>
      </w:r>
    </w:p>
    <w:p w:rsidR="004D25FC" w:rsidRDefault="00000000">
      <w:pPr>
        <w:spacing w:after="40"/>
      </w:pPr>
      <w:r>
        <w:rPr>
          <w:color w:val="8228CF"/>
          <w:sz w:val="22"/>
          <w:szCs w:val="22"/>
        </w:rPr>
        <w:t>Fiber Network Council Asia-Pacific (FTTH Council AP)</w:t>
      </w:r>
    </w:p>
    <w:p w:rsidR="004D25FC" w:rsidRDefault="00000000">
      <w:pPr>
        <w:spacing w:after="60"/>
      </w:pPr>
      <w:r>
        <w:rPr>
          <w:color w:val="AAAAAA"/>
          <w:sz w:val="17"/>
          <w:szCs w:val="17"/>
        </w:rPr>
        <w:t xml:space="preserve">Prepared by Hasan </w:t>
      </w:r>
      <w:proofErr w:type="gramStart"/>
      <w:r>
        <w:rPr>
          <w:color w:val="AAAAAA"/>
          <w:sz w:val="17"/>
          <w:szCs w:val="17"/>
        </w:rPr>
        <w:t>Choudhury  |</w:t>
      </w:r>
      <w:proofErr w:type="gramEnd"/>
      <w:r>
        <w:rPr>
          <w:color w:val="AAAAAA"/>
          <w:sz w:val="17"/>
          <w:szCs w:val="17"/>
        </w:rPr>
        <w:t xml:space="preserve">  Pebble </w:t>
      </w:r>
      <w:proofErr w:type="gramStart"/>
      <w:r>
        <w:rPr>
          <w:color w:val="AAAAAA"/>
          <w:sz w:val="17"/>
          <w:szCs w:val="17"/>
        </w:rPr>
        <w:t>Canada  |</w:t>
      </w:r>
      <w:proofErr w:type="gramEnd"/>
      <w:r>
        <w:rPr>
          <w:color w:val="AAAAAA"/>
          <w:sz w:val="17"/>
          <w:szCs w:val="17"/>
        </w:rPr>
        <w:t xml:space="preserve">  July 2026</w:t>
      </w:r>
    </w:p>
    <w:p w:rsidR="004D25FC" w:rsidRDefault="00000000">
      <w:pPr>
        <w:pBdr>
          <w:bottom w:val="single" w:sz="4" w:space="0" w:color="8228CF"/>
        </w:pBdr>
        <w:spacing w:after="200"/>
      </w:pPr>
      <w:r>
        <w:rPr>
          <w:sz w:val="2"/>
          <w:szCs w:val="2"/>
        </w:rPr>
        <w:t xml:space="preserve"> </w:t>
      </w:r>
    </w:p>
    <w:p w:rsidR="004D25FC" w:rsidRDefault="00000000">
      <w:pPr>
        <w:spacing w:before="420" w:after="60"/>
      </w:pPr>
      <w:r>
        <w:rPr>
          <w:b/>
          <w:bCs/>
          <w:color w:val="1A1A1A"/>
          <w:sz w:val="28"/>
          <w:szCs w:val="28"/>
        </w:rPr>
        <w:t>Executive Summary</w:t>
      </w:r>
    </w:p>
    <w:p w:rsidR="004D25FC" w:rsidRDefault="00000000">
      <w:pPr>
        <w:pBdr>
          <w:bottom w:val="single" w:sz="4" w:space="0" w:color="8228CF"/>
        </w:pBdr>
        <w:spacing w:after="200"/>
      </w:pPr>
      <w:r>
        <w:rPr>
          <w:sz w:val="2"/>
          <w:szCs w:val="2"/>
        </w:rPr>
        <w:t xml:space="preserve"> </w:t>
      </w:r>
    </w:p>
    <w:p w:rsidR="004D25FC" w:rsidRDefault="00000000">
      <w:pPr>
        <w:spacing w:after="200" w:line="320" w:lineRule="auto"/>
      </w:pPr>
      <w:r>
        <w:t>The Fiber Network Council Asia-Pacific represents the fastest-growing fibre broadband market in the world. Yet its social channels reach fewer people than a single mid-sized member company. With roughly 4,000 followers on LinkedIn, 2,400 on Facebook, and under 800 on X, the Council's audience is a fraction of what its policy work, research, and events deserve.</w:t>
      </w:r>
    </w:p>
    <w:p w:rsidR="004D25FC" w:rsidRDefault="00000000">
      <w:pPr>
        <w:spacing w:after="200" w:line="320" w:lineRule="auto"/>
      </w:pPr>
      <w:r>
        <w:t>The issue is not content quality. It's consistency. Industry pages that publish daily, in the language their market is already searching for, compound over time. Pages that publish occasionally get discovered occasionally.</w:t>
      </w:r>
    </w:p>
    <w:p w:rsidR="004D25FC" w:rsidRDefault="00000000">
      <w:pPr>
        <w:spacing w:after="200" w:line="320" w:lineRule="auto"/>
      </w:pPr>
      <w:r>
        <w:t xml:space="preserve">Pebble Digital Marketing will put the Council on a daily publishing rhythm across every channel you choose, in your tone, on the FTTH topics that move this industry, for a flat </w:t>
      </w:r>
      <w:r>
        <w:rPr>
          <w:b/>
          <w:bCs/>
          <w:color w:val="8228CF"/>
        </w:rPr>
        <w:t>$250 USD per month</w:t>
      </w:r>
      <w:r>
        <w:t>, cancellable at any time. Based on the benchmarks in this proposal, we project your combined social audience can more than double within 24 months, with LinkedIn alone growing 70% to 125% in the first year.</w:t>
      </w:r>
    </w:p>
    <w:p w:rsidR="004D25FC" w:rsidRDefault="00000000">
      <w:pPr>
        <w:spacing w:before="420" w:after="60"/>
      </w:pPr>
      <w:r>
        <w:rPr>
          <w:b/>
          <w:bCs/>
          <w:color w:val="1A1A1A"/>
          <w:sz w:val="28"/>
          <w:szCs w:val="28"/>
        </w:rPr>
        <w:t>Where the Council Stands Today</w:t>
      </w:r>
    </w:p>
    <w:p w:rsidR="004D25FC" w:rsidRDefault="00000000">
      <w:pPr>
        <w:pBdr>
          <w:bottom w:val="single" w:sz="4" w:space="0" w:color="8228CF"/>
        </w:pBdr>
        <w:spacing w:after="200"/>
      </w:pPr>
      <w:r>
        <w:rPr>
          <w:sz w:val="2"/>
          <w:szCs w:val="2"/>
        </w:rPr>
        <w:t xml:space="preserve"> </w:t>
      </w:r>
    </w:p>
    <w:p w:rsidR="004D25FC" w:rsidRDefault="00000000">
      <w:pPr>
        <w:spacing w:after="200" w:line="320" w:lineRule="auto"/>
      </w:pPr>
      <w:r>
        <w:rPr>
          <w:b/>
          <w:bCs/>
          <w:color w:val="1A1A1A"/>
        </w:rPr>
        <w:t xml:space="preserve">LinkedIn </w:t>
      </w:r>
      <w:r>
        <w:t>sits at about 4,000 followers. It's the Council's strongest channel and the platform where APAC telecom decision-makers spend their time.</w:t>
      </w:r>
    </w:p>
    <w:p w:rsidR="004D25FC" w:rsidRDefault="00000000">
      <w:pPr>
        <w:spacing w:after="200" w:line="320" w:lineRule="auto"/>
      </w:pPr>
      <w:r>
        <w:rPr>
          <w:b/>
          <w:bCs/>
          <w:color w:val="1A1A1A"/>
        </w:rPr>
        <w:t xml:space="preserve">Facebook </w:t>
      </w:r>
      <w:r>
        <w:t>has about 2,400 followers. It remains underused for event reach and member-country audiences.</w:t>
      </w:r>
    </w:p>
    <w:p w:rsidR="004D25FC" w:rsidRDefault="00000000">
      <w:pPr>
        <w:spacing w:after="200" w:line="320" w:lineRule="auto"/>
      </w:pPr>
      <w:r>
        <w:rPr>
          <w:b/>
          <w:bCs/>
          <w:color w:val="1A1A1A"/>
        </w:rPr>
        <w:t xml:space="preserve">X </w:t>
      </w:r>
      <w:r>
        <w:t>has 788 followers. It's currently below critical mass, but inexpensive to grow alongside the rest.</w:t>
      </w:r>
    </w:p>
    <w:p w:rsidR="004D25FC" w:rsidRDefault="00000000">
      <w:pPr>
        <w:spacing w:after="200" w:line="320" w:lineRule="auto"/>
      </w:pPr>
      <w:r>
        <w:t xml:space="preserve">Publishing today is event-driven and intermittent. Strong bursts around conferences and member spotlights, then quiet stretches in between. That pattern is common for industry associations, and it's exactly what keeps audiences flat. The algorithms on every major platform reward </w:t>
      </w:r>
      <w:proofErr w:type="gramStart"/>
      <w:r>
        <w:t>accounts</w:t>
      </w:r>
      <w:proofErr w:type="gramEnd"/>
      <w:r>
        <w:t xml:space="preserve"> that show up daily, and quietly deprioritize accounts that don't.</w:t>
      </w:r>
    </w:p>
    <w:p w:rsidR="004D25FC" w:rsidRDefault="00000000">
      <w:pPr>
        <w:spacing w:before="420" w:after="60"/>
      </w:pPr>
      <w:r>
        <w:rPr>
          <w:b/>
          <w:bCs/>
          <w:color w:val="1A1A1A"/>
          <w:sz w:val="28"/>
          <w:szCs w:val="28"/>
        </w:rPr>
        <w:lastRenderedPageBreak/>
        <w:t>Why Daily, Expert-Led Publishing Wins</w:t>
      </w:r>
    </w:p>
    <w:p w:rsidR="004D25FC" w:rsidRDefault="00000000">
      <w:pPr>
        <w:pBdr>
          <w:bottom w:val="single" w:sz="4" w:space="0" w:color="8228CF"/>
        </w:pBdr>
        <w:spacing w:after="200"/>
      </w:pPr>
      <w:r>
        <w:rPr>
          <w:sz w:val="2"/>
          <w:szCs w:val="2"/>
        </w:rPr>
        <w:t xml:space="preserve"> </w:t>
      </w:r>
    </w:p>
    <w:p w:rsidR="004D25FC" w:rsidRDefault="00000000">
      <w:pPr>
        <w:spacing w:after="200" w:line="320" w:lineRule="auto"/>
      </w:pPr>
      <w:r>
        <w:t>The evidence on consistency is clear. LinkedIn pages that post weekly grow followers 5.6 times faster than pages that post monthly. Pages posting three to five times per week grow roughly 25% faster still.</w:t>
      </w:r>
    </w:p>
    <w:p w:rsidR="004D25FC" w:rsidRDefault="00000000">
      <w:pPr>
        <w:spacing w:after="200" w:line="320" w:lineRule="auto"/>
      </w:pPr>
      <w:r>
        <w:t>Companies posting four or more times per week see around twice the engagement per post compared with occasional publishers.</w:t>
      </w:r>
    </w:p>
    <w:p w:rsidR="004D25FC" w:rsidRDefault="00000000">
      <w:pPr>
        <w:spacing w:after="200" w:line="320" w:lineRule="auto"/>
      </w:pPr>
      <w:r>
        <w:t>Pages in the Council's size band (1,000 to 5,000 followers) average roughly 40% annual follower growth once they publish consistently. That's the fastest-growing band on the platform. Niche B2B pages of this size routinely reach 4% to 8% engagement rates, double to quadruple the platform average of about 2%.</w:t>
      </w:r>
    </w:p>
    <w:p w:rsidR="004D25FC" w:rsidRDefault="00000000">
      <w:pPr>
        <w:spacing w:after="200" w:line="320" w:lineRule="auto"/>
      </w:pPr>
      <w:r>
        <w:t>The Council sits in the exact size band and niche where consistent publishing pays off fastest. The audience (operators, vendors, regulators, investors across APAC) already exists and is already active on these platforms. Someone will become their daily read on fibre. It should be you.</w:t>
      </w:r>
    </w:p>
    <w:p w:rsidR="004D25FC" w:rsidRDefault="00000000">
      <w:pPr>
        <w:spacing w:before="420" w:after="60"/>
      </w:pPr>
      <w:r>
        <w:rPr>
          <w:b/>
          <w:bCs/>
          <w:color w:val="1A1A1A"/>
          <w:sz w:val="28"/>
          <w:szCs w:val="28"/>
        </w:rPr>
        <w:t>What Pebble Delivers</w:t>
      </w:r>
    </w:p>
    <w:p w:rsidR="004D25FC" w:rsidRDefault="00000000">
      <w:pPr>
        <w:pBdr>
          <w:bottom w:val="single" w:sz="4" w:space="0" w:color="8228CF"/>
        </w:pBdr>
        <w:spacing w:after="200"/>
      </w:pPr>
      <w:r>
        <w:rPr>
          <w:sz w:val="2"/>
          <w:szCs w:val="2"/>
        </w:rPr>
        <w:t xml:space="preserve"> </w:t>
      </w:r>
    </w:p>
    <w:p w:rsidR="004D25FC" w:rsidRDefault="00000000">
      <w:pPr>
        <w:spacing w:after="200" w:line="320" w:lineRule="auto"/>
      </w:pPr>
      <w:r>
        <w:rPr>
          <w:b/>
          <w:bCs/>
          <w:color w:val="1A1A1A"/>
        </w:rPr>
        <w:t xml:space="preserve">Daily presence. </w:t>
      </w:r>
      <w:r>
        <w:t>One post every day on each channel you choose, timed to when your audience is online across APAC time zones.</w:t>
      </w:r>
    </w:p>
    <w:p w:rsidR="004D25FC" w:rsidRDefault="00000000">
      <w:pPr>
        <w:spacing w:after="200" w:line="320" w:lineRule="auto"/>
      </w:pPr>
      <w:r>
        <w:rPr>
          <w:b/>
          <w:bCs/>
          <w:color w:val="1A1A1A"/>
        </w:rPr>
        <w:t xml:space="preserve">Content that matters. </w:t>
      </w:r>
      <w:r>
        <w:t>Fibre deployment milestones, spectrum and broadband policy, FTTH penetration data, technology shifts (XGS-PON, fibre-to-the-everything), regional case studies, member spotlights, and event promotion.</w:t>
      </w:r>
    </w:p>
    <w:p w:rsidR="004D25FC" w:rsidRDefault="00000000">
      <w:pPr>
        <w:spacing w:after="200" w:line="320" w:lineRule="auto"/>
      </w:pPr>
      <w:r>
        <w:rPr>
          <w:b/>
          <w:bCs/>
          <w:color w:val="1A1A1A"/>
        </w:rPr>
        <w:t xml:space="preserve">Your tone, amplified. </w:t>
      </w:r>
      <w:r>
        <w:t>We match the Council's established voice and adapt tone per platform. LinkedIn reads like your policy briefings. Facebook carries your community and event energy. You approve the editorial direction; we execute it.</w:t>
      </w:r>
    </w:p>
    <w:p w:rsidR="004D25FC" w:rsidRDefault="00000000">
      <w:pPr>
        <w:spacing w:after="200" w:line="320" w:lineRule="auto"/>
      </w:pPr>
      <w:r>
        <w:rPr>
          <w:b/>
          <w:bCs/>
          <w:color w:val="1A1A1A"/>
        </w:rPr>
        <w:t xml:space="preserve">Formats that travel. </w:t>
      </w:r>
      <w:r>
        <w:t>Platform-native formats that earn distribution, including document and carousel posts on LinkedIn, which consistently outperform link-only posts.</w:t>
      </w:r>
    </w:p>
    <w:p w:rsidR="004D25FC" w:rsidRDefault="00000000">
      <w:pPr>
        <w:spacing w:after="200" w:line="320" w:lineRule="auto"/>
      </w:pPr>
      <w:r>
        <w:rPr>
          <w:b/>
          <w:bCs/>
          <w:color w:val="1A1A1A"/>
        </w:rPr>
        <w:t xml:space="preserve">Full transparency. </w:t>
      </w:r>
      <w:r>
        <w:t>A monthly performance report with follower growth, engagement, and reach per channel, plus the next month's content themes for your sign-off.</w:t>
      </w:r>
    </w:p>
    <w:p w:rsidR="004D25FC" w:rsidRDefault="00000000">
      <w:pPr>
        <w:spacing w:after="200" w:line="320" w:lineRule="auto"/>
      </w:pPr>
      <w:r>
        <w:rPr>
          <w:b/>
          <w:bCs/>
          <w:color w:val="1A1A1A"/>
        </w:rPr>
        <w:t xml:space="preserve">Zero-risk terms. </w:t>
      </w:r>
      <w:r>
        <w:t>No lock-in, no setup fee, cancel any month. If we're not visibly growing your reach, you stop paying. The risk sits with us.</w:t>
      </w:r>
    </w:p>
    <w:p w:rsidR="006B581C" w:rsidRDefault="006B581C">
      <w:pPr>
        <w:spacing w:after="200" w:line="320" w:lineRule="auto"/>
      </w:pPr>
    </w:p>
    <w:p w:rsidR="006B581C" w:rsidRDefault="006B581C">
      <w:pPr>
        <w:spacing w:after="200" w:line="320" w:lineRule="auto"/>
      </w:pPr>
    </w:p>
    <w:p w:rsidR="004D25FC" w:rsidRDefault="00000000">
      <w:pPr>
        <w:spacing w:before="420" w:after="60"/>
      </w:pPr>
      <w:r>
        <w:rPr>
          <w:b/>
          <w:bCs/>
          <w:color w:val="1A1A1A"/>
          <w:sz w:val="28"/>
          <w:szCs w:val="28"/>
        </w:rPr>
        <w:lastRenderedPageBreak/>
        <w:t>Projected Growth</w:t>
      </w:r>
    </w:p>
    <w:p w:rsidR="004D25FC" w:rsidRDefault="00000000">
      <w:pPr>
        <w:pBdr>
          <w:bottom w:val="single" w:sz="4" w:space="0" w:color="8228CF"/>
        </w:pBdr>
        <w:spacing w:after="200"/>
      </w:pPr>
      <w:r>
        <w:rPr>
          <w:sz w:val="2"/>
          <w:szCs w:val="2"/>
        </w:rPr>
        <w:t xml:space="preserve"> </w:t>
      </w:r>
    </w:p>
    <w:p w:rsidR="004D25FC" w:rsidRDefault="00000000">
      <w:pPr>
        <w:spacing w:after="200" w:line="320" w:lineRule="auto"/>
      </w:pPr>
      <w:r>
        <w:t>The projections below assume daily publishing on LinkedIn and Facebook and five posts per week on X. They apply the consistency benchmarks above to the Council's current baseline, with ranges reflecting conservative to strong scenarios. These are projections, not guarantees, but they are grounded in published platform data and in how specialist B2B audiences behave.</w:t>
      </w:r>
    </w:p>
    <w:p w:rsidR="004D25FC" w:rsidRDefault="004D25FC">
      <w:pPr>
        <w:spacing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400"/>
        <w:gridCol w:w="1800"/>
        <w:gridCol w:w="1800"/>
        <w:gridCol w:w="2200"/>
      </w:tblGrid>
      <w:tr w:rsidR="004D25FC">
        <w:tblPrEx>
          <w:tblCellMar>
            <w:top w:w="0" w:type="dxa"/>
            <w:bottom w:w="0" w:type="dxa"/>
          </w:tblCellMar>
        </w:tblPrEx>
        <w:trPr>
          <w:tblHeader/>
        </w:trPr>
        <w:tc>
          <w:tcPr>
            <w:tcW w:w="2000" w:type="dxa"/>
            <w:tcBorders>
              <w:bottom w:val="none" w:sz="1" w:space="0" w:color="E0E0E0"/>
            </w:tcBorders>
            <w:shd w:val="clear" w:color="auto" w:fill="1A1A1A"/>
            <w:tcMar>
              <w:top w:w="100" w:type="dxa"/>
              <w:left w:w="140" w:type="dxa"/>
              <w:bottom w:w="100" w:type="dxa"/>
              <w:right w:w="140" w:type="dxa"/>
            </w:tcMar>
            <w:vAlign w:val="center"/>
          </w:tcPr>
          <w:p w:rsidR="004D25FC" w:rsidRDefault="00000000">
            <w:r>
              <w:rPr>
                <w:b/>
                <w:bCs/>
                <w:color w:val="FFFFFF"/>
                <w:sz w:val="19"/>
                <w:szCs w:val="19"/>
              </w:rPr>
              <w:t>Channel</w:t>
            </w:r>
          </w:p>
        </w:tc>
        <w:tc>
          <w:tcPr>
            <w:tcW w:w="1400" w:type="dxa"/>
            <w:tcBorders>
              <w:bottom w:val="none" w:sz="1" w:space="0" w:color="E0E0E0"/>
            </w:tcBorders>
            <w:shd w:val="clear" w:color="auto" w:fill="1A1A1A"/>
            <w:tcMar>
              <w:top w:w="100" w:type="dxa"/>
              <w:left w:w="140" w:type="dxa"/>
              <w:bottom w:w="100" w:type="dxa"/>
              <w:right w:w="140" w:type="dxa"/>
            </w:tcMar>
            <w:vAlign w:val="center"/>
          </w:tcPr>
          <w:p w:rsidR="004D25FC" w:rsidRDefault="00000000">
            <w:pPr>
              <w:jc w:val="center"/>
            </w:pPr>
            <w:r>
              <w:rPr>
                <w:b/>
                <w:bCs/>
                <w:color w:val="FFFFFF"/>
                <w:sz w:val="19"/>
                <w:szCs w:val="19"/>
              </w:rPr>
              <w:t>Today</w:t>
            </w:r>
          </w:p>
        </w:tc>
        <w:tc>
          <w:tcPr>
            <w:tcW w:w="1800" w:type="dxa"/>
            <w:tcBorders>
              <w:bottom w:val="none" w:sz="1" w:space="0" w:color="E0E0E0"/>
            </w:tcBorders>
            <w:shd w:val="clear" w:color="auto" w:fill="1A1A1A"/>
            <w:tcMar>
              <w:top w:w="100" w:type="dxa"/>
              <w:left w:w="140" w:type="dxa"/>
              <w:bottom w:w="100" w:type="dxa"/>
              <w:right w:w="140" w:type="dxa"/>
            </w:tcMar>
            <w:vAlign w:val="center"/>
          </w:tcPr>
          <w:p w:rsidR="004D25FC" w:rsidRDefault="00000000">
            <w:pPr>
              <w:jc w:val="center"/>
            </w:pPr>
            <w:r>
              <w:rPr>
                <w:b/>
                <w:bCs/>
                <w:color w:val="FFFFFF"/>
                <w:sz w:val="19"/>
                <w:szCs w:val="19"/>
              </w:rPr>
              <w:t>6 Months</w:t>
            </w:r>
          </w:p>
        </w:tc>
        <w:tc>
          <w:tcPr>
            <w:tcW w:w="1800" w:type="dxa"/>
            <w:tcBorders>
              <w:bottom w:val="none" w:sz="1" w:space="0" w:color="E0E0E0"/>
            </w:tcBorders>
            <w:shd w:val="clear" w:color="auto" w:fill="1A1A1A"/>
            <w:tcMar>
              <w:top w:w="100" w:type="dxa"/>
              <w:left w:w="140" w:type="dxa"/>
              <w:bottom w:w="100" w:type="dxa"/>
              <w:right w:w="140" w:type="dxa"/>
            </w:tcMar>
            <w:vAlign w:val="center"/>
          </w:tcPr>
          <w:p w:rsidR="004D25FC" w:rsidRDefault="00000000">
            <w:pPr>
              <w:jc w:val="center"/>
            </w:pPr>
            <w:r>
              <w:rPr>
                <w:b/>
                <w:bCs/>
                <w:color w:val="FFFFFF"/>
                <w:sz w:val="19"/>
                <w:szCs w:val="19"/>
              </w:rPr>
              <w:t>12 Months</w:t>
            </w:r>
          </w:p>
        </w:tc>
        <w:tc>
          <w:tcPr>
            <w:tcW w:w="2200" w:type="dxa"/>
            <w:tcBorders>
              <w:bottom w:val="none" w:sz="1" w:space="0" w:color="E0E0E0"/>
            </w:tcBorders>
            <w:shd w:val="clear" w:color="auto" w:fill="1A1A1A"/>
            <w:tcMar>
              <w:top w:w="100" w:type="dxa"/>
              <w:left w:w="140" w:type="dxa"/>
              <w:bottom w:w="100" w:type="dxa"/>
              <w:right w:w="140" w:type="dxa"/>
            </w:tcMar>
            <w:vAlign w:val="center"/>
          </w:tcPr>
          <w:p w:rsidR="004D25FC" w:rsidRDefault="00000000">
            <w:pPr>
              <w:jc w:val="center"/>
            </w:pPr>
            <w:r>
              <w:rPr>
                <w:b/>
                <w:bCs/>
                <w:color w:val="FFFFFF"/>
                <w:sz w:val="19"/>
                <w:szCs w:val="19"/>
              </w:rPr>
              <w:t>24 Months</w:t>
            </w:r>
          </w:p>
        </w:tc>
      </w:tr>
      <w:tr w:rsidR="004D25FC">
        <w:tblPrEx>
          <w:tblCellMar>
            <w:top w:w="0" w:type="dxa"/>
            <w:bottom w:w="0" w:type="dxa"/>
          </w:tblCellMar>
        </w:tblPrEx>
        <w:tc>
          <w:tcPr>
            <w:tcW w:w="2000" w:type="dxa"/>
            <w:tcBorders>
              <w:bottom w:val="single" w:sz="1" w:space="0" w:color="E0E0E0"/>
            </w:tcBorders>
            <w:shd w:val="clear" w:color="auto" w:fill="F8F8F8"/>
            <w:tcMar>
              <w:top w:w="100" w:type="dxa"/>
              <w:left w:w="140" w:type="dxa"/>
              <w:bottom w:w="100" w:type="dxa"/>
              <w:right w:w="140" w:type="dxa"/>
            </w:tcMar>
            <w:vAlign w:val="center"/>
          </w:tcPr>
          <w:p w:rsidR="004D25FC" w:rsidRDefault="00000000">
            <w:r>
              <w:rPr>
                <w:b/>
                <w:bCs/>
                <w:color w:val="1A1A1A"/>
                <w:sz w:val="19"/>
                <w:szCs w:val="19"/>
              </w:rPr>
              <w:t>LinkedIn</w:t>
            </w:r>
          </w:p>
        </w:tc>
        <w:tc>
          <w:tcPr>
            <w:tcW w:w="1400" w:type="dxa"/>
            <w:tcBorders>
              <w:bottom w:val="single" w:sz="1" w:space="0" w:color="E0E0E0"/>
            </w:tcBorders>
            <w:shd w:val="clear" w:color="auto" w:fill="F8F8F8"/>
            <w:tcMar>
              <w:top w:w="100" w:type="dxa"/>
              <w:left w:w="140" w:type="dxa"/>
              <w:bottom w:w="100" w:type="dxa"/>
              <w:right w:w="140" w:type="dxa"/>
            </w:tcMar>
            <w:vAlign w:val="center"/>
          </w:tcPr>
          <w:p w:rsidR="004D25FC" w:rsidRDefault="00000000">
            <w:pPr>
              <w:jc w:val="center"/>
            </w:pPr>
            <w:r>
              <w:rPr>
                <w:sz w:val="19"/>
                <w:szCs w:val="19"/>
              </w:rPr>
              <w:t>4,000</w:t>
            </w:r>
          </w:p>
        </w:tc>
        <w:tc>
          <w:tcPr>
            <w:tcW w:w="1800" w:type="dxa"/>
            <w:tcBorders>
              <w:bottom w:val="single" w:sz="1" w:space="0" w:color="E0E0E0"/>
            </w:tcBorders>
            <w:shd w:val="clear" w:color="auto" w:fill="F8F8F8"/>
            <w:tcMar>
              <w:top w:w="100" w:type="dxa"/>
              <w:left w:w="140" w:type="dxa"/>
              <w:bottom w:w="100" w:type="dxa"/>
              <w:right w:w="140" w:type="dxa"/>
            </w:tcMar>
            <w:vAlign w:val="center"/>
          </w:tcPr>
          <w:p w:rsidR="004D25FC" w:rsidRDefault="00000000">
            <w:pPr>
              <w:jc w:val="center"/>
            </w:pPr>
            <w:r>
              <w:rPr>
                <w:sz w:val="19"/>
                <w:szCs w:val="19"/>
              </w:rPr>
              <w:t>5,200 – 5,800</w:t>
            </w:r>
          </w:p>
        </w:tc>
        <w:tc>
          <w:tcPr>
            <w:tcW w:w="1800" w:type="dxa"/>
            <w:tcBorders>
              <w:bottom w:val="single" w:sz="1" w:space="0" w:color="E0E0E0"/>
            </w:tcBorders>
            <w:shd w:val="clear" w:color="auto" w:fill="F8F8F8"/>
            <w:tcMar>
              <w:top w:w="100" w:type="dxa"/>
              <w:left w:w="140" w:type="dxa"/>
              <w:bottom w:w="100" w:type="dxa"/>
              <w:right w:w="140" w:type="dxa"/>
            </w:tcMar>
            <w:vAlign w:val="center"/>
          </w:tcPr>
          <w:p w:rsidR="004D25FC" w:rsidRDefault="00000000">
            <w:pPr>
              <w:jc w:val="center"/>
            </w:pPr>
            <w:r>
              <w:rPr>
                <w:sz w:val="19"/>
                <w:szCs w:val="19"/>
              </w:rPr>
              <w:t>6,800 – 9,000</w:t>
            </w:r>
          </w:p>
        </w:tc>
        <w:tc>
          <w:tcPr>
            <w:tcW w:w="2200" w:type="dxa"/>
            <w:tcBorders>
              <w:bottom w:val="single" w:sz="1" w:space="0" w:color="E0E0E0"/>
            </w:tcBorders>
            <w:shd w:val="clear" w:color="auto" w:fill="F8F8F8"/>
            <w:tcMar>
              <w:top w:w="100" w:type="dxa"/>
              <w:left w:w="140" w:type="dxa"/>
              <w:bottom w:w="100" w:type="dxa"/>
              <w:right w:w="140" w:type="dxa"/>
            </w:tcMar>
            <w:vAlign w:val="center"/>
          </w:tcPr>
          <w:p w:rsidR="004D25FC" w:rsidRDefault="00000000">
            <w:pPr>
              <w:jc w:val="center"/>
            </w:pPr>
            <w:r>
              <w:rPr>
                <w:sz w:val="19"/>
                <w:szCs w:val="19"/>
              </w:rPr>
              <w:t>11,500 – 17,000</w:t>
            </w:r>
          </w:p>
        </w:tc>
      </w:tr>
      <w:tr w:rsidR="004D25FC">
        <w:tblPrEx>
          <w:tblCellMar>
            <w:top w:w="0" w:type="dxa"/>
            <w:bottom w:w="0" w:type="dxa"/>
          </w:tblCellMar>
        </w:tblPrEx>
        <w:tc>
          <w:tcPr>
            <w:tcW w:w="2000" w:type="dxa"/>
            <w:tcBorders>
              <w:bottom w:val="single" w:sz="1" w:space="0" w:color="E0E0E0"/>
            </w:tcBorders>
            <w:shd w:val="clear" w:color="auto" w:fill="FFFFFF"/>
            <w:tcMar>
              <w:top w:w="100" w:type="dxa"/>
              <w:left w:w="140" w:type="dxa"/>
              <w:bottom w:w="100" w:type="dxa"/>
              <w:right w:w="140" w:type="dxa"/>
            </w:tcMar>
            <w:vAlign w:val="center"/>
          </w:tcPr>
          <w:p w:rsidR="004D25FC" w:rsidRDefault="00000000">
            <w:r>
              <w:rPr>
                <w:b/>
                <w:bCs/>
                <w:color w:val="1A1A1A"/>
                <w:sz w:val="19"/>
                <w:szCs w:val="19"/>
              </w:rPr>
              <w:t>Facebook</w:t>
            </w:r>
          </w:p>
        </w:tc>
        <w:tc>
          <w:tcPr>
            <w:tcW w:w="1400" w:type="dxa"/>
            <w:tcBorders>
              <w:bottom w:val="single" w:sz="1" w:space="0" w:color="E0E0E0"/>
            </w:tcBorders>
            <w:shd w:val="clear" w:color="auto" w:fill="FFFFFF"/>
            <w:tcMar>
              <w:top w:w="100" w:type="dxa"/>
              <w:left w:w="140" w:type="dxa"/>
              <w:bottom w:w="100" w:type="dxa"/>
              <w:right w:w="140" w:type="dxa"/>
            </w:tcMar>
            <w:vAlign w:val="center"/>
          </w:tcPr>
          <w:p w:rsidR="004D25FC" w:rsidRDefault="00000000">
            <w:pPr>
              <w:jc w:val="center"/>
            </w:pPr>
            <w:r>
              <w:rPr>
                <w:sz w:val="19"/>
                <w:szCs w:val="19"/>
              </w:rPr>
              <w:t>2,400</w:t>
            </w:r>
          </w:p>
        </w:tc>
        <w:tc>
          <w:tcPr>
            <w:tcW w:w="1800" w:type="dxa"/>
            <w:tcBorders>
              <w:bottom w:val="single" w:sz="1" w:space="0" w:color="E0E0E0"/>
            </w:tcBorders>
            <w:shd w:val="clear" w:color="auto" w:fill="FFFFFF"/>
            <w:tcMar>
              <w:top w:w="100" w:type="dxa"/>
              <w:left w:w="140" w:type="dxa"/>
              <w:bottom w:w="100" w:type="dxa"/>
              <w:right w:w="140" w:type="dxa"/>
            </w:tcMar>
            <w:vAlign w:val="center"/>
          </w:tcPr>
          <w:p w:rsidR="004D25FC" w:rsidRDefault="00000000">
            <w:pPr>
              <w:jc w:val="center"/>
            </w:pPr>
            <w:r>
              <w:rPr>
                <w:sz w:val="19"/>
                <w:szCs w:val="19"/>
              </w:rPr>
              <w:t>2,800 – 3,100</w:t>
            </w:r>
          </w:p>
        </w:tc>
        <w:tc>
          <w:tcPr>
            <w:tcW w:w="1800" w:type="dxa"/>
            <w:tcBorders>
              <w:bottom w:val="single" w:sz="1" w:space="0" w:color="E0E0E0"/>
            </w:tcBorders>
            <w:shd w:val="clear" w:color="auto" w:fill="FFFFFF"/>
            <w:tcMar>
              <w:top w:w="100" w:type="dxa"/>
              <w:left w:w="140" w:type="dxa"/>
              <w:bottom w:w="100" w:type="dxa"/>
              <w:right w:w="140" w:type="dxa"/>
            </w:tcMar>
            <w:vAlign w:val="center"/>
          </w:tcPr>
          <w:p w:rsidR="004D25FC" w:rsidRDefault="00000000">
            <w:pPr>
              <w:jc w:val="center"/>
            </w:pPr>
            <w:r>
              <w:rPr>
                <w:sz w:val="19"/>
                <w:szCs w:val="19"/>
              </w:rPr>
              <w:t>3,400 – 4,100</w:t>
            </w:r>
          </w:p>
        </w:tc>
        <w:tc>
          <w:tcPr>
            <w:tcW w:w="2200" w:type="dxa"/>
            <w:tcBorders>
              <w:bottom w:val="single" w:sz="1" w:space="0" w:color="E0E0E0"/>
            </w:tcBorders>
            <w:shd w:val="clear" w:color="auto" w:fill="FFFFFF"/>
            <w:tcMar>
              <w:top w:w="100" w:type="dxa"/>
              <w:left w:w="140" w:type="dxa"/>
              <w:bottom w:w="100" w:type="dxa"/>
              <w:right w:w="140" w:type="dxa"/>
            </w:tcMar>
            <w:vAlign w:val="center"/>
          </w:tcPr>
          <w:p w:rsidR="004D25FC" w:rsidRDefault="00000000">
            <w:pPr>
              <w:jc w:val="center"/>
            </w:pPr>
            <w:r>
              <w:rPr>
                <w:sz w:val="19"/>
                <w:szCs w:val="19"/>
              </w:rPr>
              <w:t>4,800 – 6,500</w:t>
            </w:r>
          </w:p>
        </w:tc>
      </w:tr>
      <w:tr w:rsidR="004D25FC">
        <w:tblPrEx>
          <w:tblCellMar>
            <w:top w:w="0" w:type="dxa"/>
            <w:bottom w:w="0" w:type="dxa"/>
          </w:tblCellMar>
        </w:tblPrEx>
        <w:tc>
          <w:tcPr>
            <w:tcW w:w="2000" w:type="dxa"/>
            <w:tcBorders>
              <w:bottom w:val="single" w:sz="1" w:space="0" w:color="E0E0E0"/>
            </w:tcBorders>
            <w:shd w:val="clear" w:color="auto" w:fill="F8F8F8"/>
            <w:tcMar>
              <w:top w:w="100" w:type="dxa"/>
              <w:left w:w="140" w:type="dxa"/>
              <w:bottom w:w="100" w:type="dxa"/>
              <w:right w:w="140" w:type="dxa"/>
            </w:tcMar>
            <w:vAlign w:val="center"/>
          </w:tcPr>
          <w:p w:rsidR="004D25FC" w:rsidRDefault="00000000">
            <w:r>
              <w:rPr>
                <w:b/>
                <w:bCs/>
                <w:color w:val="1A1A1A"/>
                <w:sz w:val="19"/>
                <w:szCs w:val="19"/>
              </w:rPr>
              <w:t>X (Twitter)</w:t>
            </w:r>
          </w:p>
        </w:tc>
        <w:tc>
          <w:tcPr>
            <w:tcW w:w="1400" w:type="dxa"/>
            <w:tcBorders>
              <w:bottom w:val="single" w:sz="1" w:space="0" w:color="E0E0E0"/>
            </w:tcBorders>
            <w:shd w:val="clear" w:color="auto" w:fill="F8F8F8"/>
            <w:tcMar>
              <w:top w:w="100" w:type="dxa"/>
              <w:left w:w="140" w:type="dxa"/>
              <w:bottom w:w="100" w:type="dxa"/>
              <w:right w:w="140" w:type="dxa"/>
            </w:tcMar>
            <w:vAlign w:val="center"/>
          </w:tcPr>
          <w:p w:rsidR="004D25FC" w:rsidRDefault="00000000">
            <w:pPr>
              <w:jc w:val="center"/>
            </w:pPr>
            <w:r>
              <w:rPr>
                <w:sz w:val="19"/>
                <w:szCs w:val="19"/>
              </w:rPr>
              <w:t>788</w:t>
            </w:r>
          </w:p>
        </w:tc>
        <w:tc>
          <w:tcPr>
            <w:tcW w:w="1800" w:type="dxa"/>
            <w:tcBorders>
              <w:bottom w:val="single" w:sz="1" w:space="0" w:color="E0E0E0"/>
            </w:tcBorders>
            <w:shd w:val="clear" w:color="auto" w:fill="F8F8F8"/>
            <w:tcMar>
              <w:top w:w="100" w:type="dxa"/>
              <w:left w:w="140" w:type="dxa"/>
              <w:bottom w:w="100" w:type="dxa"/>
              <w:right w:w="140" w:type="dxa"/>
            </w:tcMar>
            <w:vAlign w:val="center"/>
          </w:tcPr>
          <w:p w:rsidR="004D25FC" w:rsidRDefault="00000000">
            <w:pPr>
              <w:jc w:val="center"/>
            </w:pPr>
            <w:r>
              <w:rPr>
                <w:sz w:val="19"/>
                <w:szCs w:val="19"/>
              </w:rPr>
              <w:t>1,000 – 1,200</w:t>
            </w:r>
          </w:p>
        </w:tc>
        <w:tc>
          <w:tcPr>
            <w:tcW w:w="1800" w:type="dxa"/>
            <w:tcBorders>
              <w:bottom w:val="single" w:sz="1" w:space="0" w:color="E0E0E0"/>
            </w:tcBorders>
            <w:shd w:val="clear" w:color="auto" w:fill="F8F8F8"/>
            <w:tcMar>
              <w:top w:w="100" w:type="dxa"/>
              <w:left w:w="140" w:type="dxa"/>
              <w:bottom w:w="100" w:type="dxa"/>
              <w:right w:w="140" w:type="dxa"/>
            </w:tcMar>
            <w:vAlign w:val="center"/>
          </w:tcPr>
          <w:p w:rsidR="004D25FC" w:rsidRDefault="00000000">
            <w:pPr>
              <w:jc w:val="center"/>
            </w:pPr>
            <w:r>
              <w:rPr>
                <w:sz w:val="19"/>
                <w:szCs w:val="19"/>
              </w:rPr>
              <w:t>1,400 – 1,900</w:t>
            </w:r>
          </w:p>
        </w:tc>
        <w:tc>
          <w:tcPr>
            <w:tcW w:w="2200" w:type="dxa"/>
            <w:tcBorders>
              <w:bottom w:val="single" w:sz="1" w:space="0" w:color="E0E0E0"/>
            </w:tcBorders>
            <w:shd w:val="clear" w:color="auto" w:fill="F8F8F8"/>
            <w:tcMar>
              <w:top w:w="100" w:type="dxa"/>
              <w:left w:w="140" w:type="dxa"/>
              <w:bottom w:w="100" w:type="dxa"/>
              <w:right w:w="140" w:type="dxa"/>
            </w:tcMar>
            <w:vAlign w:val="center"/>
          </w:tcPr>
          <w:p w:rsidR="004D25FC" w:rsidRDefault="00000000">
            <w:pPr>
              <w:jc w:val="center"/>
            </w:pPr>
            <w:r>
              <w:rPr>
                <w:sz w:val="19"/>
                <w:szCs w:val="19"/>
              </w:rPr>
              <w:t>2,300 – 3,400</w:t>
            </w:r>
          </w:p>
        </w:tc>
      </w:tr>
    </w:tbl>
    <w:p w:rsidR="004D25FC" w:rsidRDefault="004D25FC"/>
    <w:p w:rsidR="004D25FC" w:rsidRDefault="00000000">
      <w:pPr>
        <w:spacing w:after="200" w:line="320" w:lineRule="auto"/>
      </w:pPr>
      <w:r>
        <w:t>At the midpoint of these ranges, the Council's combined audience grows from roughly 7,200 today to about 12,000 within 12 months and 21,000 within 24 months. That's nearly triple the current reach.</w:t>
      </w:r>
    </w:p>
    <w:p w:rsidR="004D25FC" w:rsidRDefault="00000000">
      <w:pPr>
        <w:spacing w:after="200" w:line="320" w:lineRule="auto"/>
      </w:pPr>
      <w:r>
        <w:t>Engagement compounds faster than follower counts. Daily publishing typically doubles per-post engagement within the first quarter, and that's what your members, sponsors, and event partners actually see.</w:t>
      </w:r>
    </w:p>
    <w:p w:rsidR="004D25FC" w:rsidRDefault="00000000">
      <w:pPr>
        <w:spacing w:before="420" w:after="60"/>
      </w:pPr>
      <w:r>
        <w:rPr>
          <w:b/>
          <w:bCs/>
          <w:color w:val="1A1A1A"/>
          <w:sz w:val="28"/>
          <w:szCs w:val="28"/>
        </w:rPr>
        <w:t>Investment</w:t>
      </w:r>
    </w:p>
    <w:p w:rsidR="004D25FC" w:rsidRDefault="00000000">
      <w:pPr>
        <w:pBdr>
          <w:bottom w:val="single" w:sz="4" w:space="0" w:color="8228CF"/>
        </w:pBdr>
        <w:spacing w:after="200"/>
      </w:pPr>
      <w:r>
        <w:rPr>
          <w:sz w:val="2"/>
          <w:szCs w:val="2"/>
        </w:rPr>
        <w:t xml:space="preserve"> </w:t>
      </w:r>
    </w:p>
    <w:tbl>
      <w:tblPr>
        <w:tblW w:w="936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D25FC">
        <w:tblPrEx>
          <w:tblCellMar>
            <w:top w:w="0" w:type="dxa"/>
            <w:bottom w:w="0" w:type="dxa"/>
          </w:tblCellMar>
        </w:tblPrEx>
        <w:tc>
          <w:tcPr>
            <w:tcW w:w="9360" w:type="dxa"/>
            <w:tcBorders>
              <w:left w:val="single" w:sz="10" w:space="0" w:color="8228CF"/>
            </w:tcBorders>
            <w:shd w:val="clear" w:color="auto" w:fill="F5EEFF"/>
            <w:tcMar>
              <w:top w:w="260" w:type="dxa"/>
              <w:left w:w="360" w:type="dxa"/>
              <w:bottom w:w="260" w:type="dxa"/>
              <w:right w:w="360" w:type="dxa"/>
            </w:tcMar>
          </w:tcPr>
          <w:p w:rsidR="004D25FC" w:rsidRDefault="00000000">
            <w:pPr>
              <w:spacing w:after="60"/>
            </w:pPr>
            <w:r>
              <w:rPr>
                <w:b/>
                <w:bCs/>
                <w:color w:val="8228CF"/>
                <w:sz w:val="30"/>
                <w:szCs w:val="30"/>
              </w:rPr>
              <w:t>$250 USD per month, flat.</w:t>
            </w:r>
          </w:p>
          <w:p w:rsidR="004D25FC" w:rsidRDefault="00000000">
            <w:pPr>
              <w:spacing w:after="0"/>
            </w:pPr>
            <w:r>
              <w:rPr>
                <w:sz w:val="19"/>
                <w:szCs w:val="19"/>
              </w:rPr>
              <w:t>All channels. All content. Monthly reporting included. No setup fee, no contract, cancel anytime.</w:t>
            </w:r>
          </w:p>
        </w:tc>
      </w:tr>
    </w:tbl>
    <w:p w:rsidR="004D25FC" w:rsidRDefault="004D25FC"/>
    <w:p w:rsidR="004D25FC" w:rsidRDefault="00000000">
      <w:pPr>
        <w:spacing w:after="200" w:line="320" w:lineRule="auto"/>
      </w:pPr>
      <w:r>
        <w:t>For context, a single freelance social media manager in the region typically costs 8 to 15 times this figure per month, and most agencies quote $1,500 to $5,000 monthly for daily multi-channel publishing.</w:t>
      </w:r>
    </w:p>
    <w:p w:rsidR="004D25FC" w:rsidRDefault="00000000">
      <w:pPr>
        <w:spacing w:after="200" w:line="320" w:lineRule="auto"/>
      </w:pPr>
      <w:r>
        <w:t>We can keep the price at this level because Pebble has invested in a highly efficient content operation. You get the output of a full editorial team at the cost of a conference dinner.</w:t>
      </w:r>
    </w:p>
    <w:p w:rsidR="006B581C" w:rsidRDefault="006B581C">
      <w:pPr>
        <w:spacing w:after="200" w:line="320" w:lineRule="auto"/>
      </w:pPr>
    </w:p>
    <w:p w:rsidR="004D25FC" w:rsidRDefault="00000000">
      <w:pPr>
        <w:spacing w:before="420" w:after="60"/>
      </w:pPr>
      <w:r>
        <w:rPr>
          <w:b/>
          <w:bCs/>
          <w:color w:val="1A1A1A"/>
          <w:sz w:val="28"/>
          <w:szCs w:val="28"/>
        </w:rPr>
        <w:lastRenderedPageBreak/>
        <w:t>Why Pebble</w:t>
      </w:r>
    </w:p>
    <w:p w:rsidR="004D25FC" w:rsidRDefault="00000000">
      <w:pPr>
        <w:pBdr>
          <w:bottom w:val="single" w:sz="4" w:space="0" w:color="8228CF"/>
        </w:pBdr>
        <w:spacing w:after="200"/>
      </w:pPr>
      <w:r>
        <w:rPr>
          <w:sz w:val="2"/>
          <w:szCs w:val="2"/>
        </w:rPr>
        <w:t xml:space="preserve"> </w:t>
      </w:r>
    </w:p>
    <w:p w:rsidR="004D25FC" w:rsidRDefault="00000000">
      <w:pPr>
        <w:spacing w:after="200" w:line="320" w:lineRule="auto"/>
      </w:pPr>
      <w:r>
        <w:t>Pebble runs always-on, multi-channel publishing for its own brands every single day, in a technical B2B niche, under the same discipline we're proposing here. Daily rhythm, platform-native voice, published performance logs, and zero missed days.</w:t>
      </w:r>
    </w:p>
    <w:p w:rsidR="004D25FC" w:rsidRDefault="00000000">
      <w:pPr>
        <w:spacing w:after="200" w:line="320" w:lineRule="auto"/>
      </w:pPr>
      <w:r>
        <w:t>We know the infrastructure economy: telecom, technology, logistics, defence. We write for the people who build it. Fibre is the backbone of everything we cover, and it's a story we'd be proud to help the Council tell louder.</w:t>
      </w:r>
    </w:p>
    <w:p w:rsidR="004D25FC" w:rsidRDefault="00000000">
      <w:pPr>
        <w:spacing w:before="420" w:after="60"/>
      </w:pPr>
      <w:r>
        <w:rPr>
          <w:b/>
          <w:bCs/>
          <w:color w:val="1A1A1A"/>
          <w:sz w:val="28"/>
          <w:szCs w:val="28"/>
        </w:rPr>
        <w:t>Getting Started</w:t>
      </w:r>
    </w:p>
    <w:p w:rsidR="004D25FC" w:rsidRDefault="00000000">
      <w:pPr>
        <w:pBdr>
          <w:bottom w:val="single" w:sz="4" w:space="0" w:color="8228CF"/>
        </w:pBdr>
        <w:spacing w:after="200"/>
      </w:pPr>
      <w:r>
        <w:rPr>
          <w:sz w:val="2"/>
          <w:szCs w:val="2"/>
        </w:rPr>
        <w:t xml:space="preserve"> </w:t>
      </w:r>
    </w:p>
    <w:p w:rsidR="004D25FC" w:rsidRDefault="00000000">
      <w:pPr>
        <w:spacing w:after="200" w:line="320" w:lineRule="auto"/>
      </w:pPr>
      <w:r>
        <w:rPr>
          <w:b/>
          <w:bCs/>
          <w:color w:val="8228CF"/>
        </w:rPr>
        <w:t xml:space="preserve">Week </w:t>
      </w:r>
      <w:proofErr w:type="gramStart"/>
      <w:r>
        <w:rPr>
          <w:b/>
          <w:bCs/>
          <w:color w:val="8228CF"/>
        </w:rPr>
        <w:t xml:space="preserve">1  </w:t>
      </w:r>
      <w:r>
        <w:t>A</w:t>
      </w:r>
      <w:proofErr w:type="gramEnd"/>
      <w:r>
        <w:t xml:space="preserve"> 30-minute call to confirm channels, tone, and priority topics. We then deliver a sample week of posts for your approval before anything goes live.</w:t>
      </w:r>
    </w:p>
    <w:p w:rsidR="004D25FC" w:rsidRDefault="00000000">
      <w:pPr>
        <w:spacing w:after="200" w:line="320" w:lineRule="auto"/>
      </w:pPr>
      <w:r>
        <w:rPr>
          <w:b/>
          <w:bCs/>
          <w:color w:val="8228CF"/>
        </w:rPr>
        <w:t xml:space="preserve">Week </w:t>
      </w:r>
      <w:proofErr w:type="gramStart"/>
      <w:r>
        <w:rPr>
          <w:b/>
          <w:bCs/>
          <w:color w:val="8228CF"/>
        </w:rPr>
        <w:t xml:space="preserve">2  </w:t>
      </w:r>
      <w:r>
        <w:t>Daily</w:t>
      </w:r>
      <w:proofErr w:type="gramEnd"/>
      <w:r>
        <w:t xml:space="preserve"> publishing begins. Your first monthly performance report lands 30 days later.</w:t>
      </w:r>
    </w:p>
    <w:p w:rsidR="004D25FC" w:rsidRDefault="004D25FC">
      <w:pPr>
        <w:spacing w:after="40"/>
      </w:pPr>
    </w:p>
    <w:p w:rsidR="004D25FC" w:rsidRDefault="00000000">
      <w:pPr>
        <w:spacing w:after="200" w:line="320" w:lineRule="auto"/>
      </w:pPr>
      <w:r>
        <w:t>If the first month doesn't convince you, cancel and owe nothing further. We're confident it will.</w:t>
      </w:r>
    </w:p>
    <w:p w:rsidR="004D25FC" w:rsidRDefault="004D25FC">
      <w:pPr>
        <w:spacing w:after="160"/>
      </w:pPr>
    </w:p>
    <w:p w:rsidR="004D25FC" w:rsidRDefault="00000000">
      <w:pPr>
        <w:pBdr>
          <w:top w:val="single" w:sz="1" w:space="0" w:color="E0E0E0"/>
        </w:pBdr>
        <w:spacing w:after="0"/>
      </w:pPr>
      <w:r>
        <w:rPr>
          <w:sz w:val="2"/>
          <w:szCs w:val="2"/>
        </w:rPr>
        <w:t xml:space="preserve"> </w:t>
      </w:r>
    </w:p>
    <w:p w:rsidR="004D25FC" w:rsidRDefault="004D25FC">
      <w:pPr>
        <w:spacing w:after="80"/>
      </w:pPr>
    </w:p>
    <w:p w:rsidR="004D25FC" w:rsidRDefault="00000000">
      <w:pPr>
        <w:spacing w:after="40"/>
      </w:pPr>
      <w:r>
        <w:rPr>
          <w:noProof/>
        </w:rPr>
        <w:drawing>
          <wp:inline distT="0" distB="0" distL="0" distR="0">
            <wp:extent cx="285750" cy="28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 cy="285750"/>
                    </a:xfrm>
                    <a:prstGeom prst="rect">
                      <a:avLst/>
                    </a:prstGeom>
                  </pic:spPr>
                </pic:pic>
              </a:graphicData>
            </a:graphic>
          </wp:inline>
        </w:drawing>
      </w:r>
    </w:p>
    <w:p w:rsidR="004D25FC" w:rsidRDefault="00000000">
      <w:pPr>
        <w:spacing w:after="20"/>
      </w:pPr>
      <w:r>
        <w:rPr>
          <w:b/>
          <w:bCs/>
          <w:color w:val="1A1A1A"/>
        </w:rPr>
        <w:t>Hasan Choudhury</w:t>
      </w:r>
    </w:p>
    <w:p w:rsidR="004D25FC" w:rsidRDefault="00000000">
      <w:pPr>
        <w:spacing w:after="20"/>
      </w:pPr>
      <w:r>
        <w:rPr>
          <w:sz w:val="18"/>
          <w:szCs w:val="18"/>
        </w:rPr>
        <w:t>Founder, Pebble Canada</w:t>
      </w:r>
    </w:p>
    <w:p w:rsidR="004D25FC" w:rsidRDefault="00000000">
      <w:pPr>
        <w:spacing w:after="0"/>
      </w:pPr>
      <w:r>
        <w:rPr>
          <w:color w:val="8228CF"/>
          <w:sz w:val="18"/>
          <w:szCs w:val="18"/>
        </w:rPr>
        <w:t>pebblecanada.ca</w:t>
      </w:r>
    </w:p>
    <w:sectPr w:rsidR="004D25FC">
      <w:headerReference w:type="default" r:id="rId8"/>
      <w:footerReference w:type="default" r:id="rId9"/>
      <w:pgSz w:w="12240" w:h="15840"/>
      <w:pgMar w:top="110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4A28" w:rsidRDefault="00DC4A28">
      <w:pPr>
        <w:spacing w:after="0" w:line="240" w:lineRule="auto"/>
      </w:pPr>
      <w:r>
        <w:separator/>
      </w:r>
    </w:p>
  </w:endnote>
  <w:endnote w:type="continuationSeparator" w:id="0">
    <w:p w:rsidR="00DC4A28" w:rsidRDefault="00DC4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25FC" w:rsidRDefault="00000000">
    <w:pPr>
      <w:spacing w:before="60"/>
      <w:jc w:val="right"/>
    </w:pPr>
    <w:r>
      <w:rPr>
        <w:color w:val="8228CF"/>
        <w:sz w:val="15"/>
        <w:szCs w:val="15"/>
      </w:rPr>
      <w:t>pebblecanada.ca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4A28" w:rsidRDefault="00DC4A28">
      <w:pPr>
        <w:spacing w:after="0" w:line="240" w:lineRule="auto"/>
      </w:pPr>
      <w:r>
        <w:separator/>
      </w:r>
    </w:p>
  </w:footnote>
  <w:footnote w:type="continuationSeparator" w:id="0">
    <w:p w:rsidR="00DC4A28" w:rsidRDefault="00DC4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25FC" w:rsidRDefault="00000000">
    <w:pPr>
      <w:spacing w:after="0"/>
    </w:pPr>
    <w:r>
      <w:rPr>
        <w:noProof/>
      </w:rPr>
      <w:drawing>
        <wp:inline distT="0" distB="0" distL="0" distR="0">
          <wp:extent cx="209550" cy="209550"/>
          <wp:effectExtent l="0" t="0" r="0" b="0"/>
          <wp:docPr id="1405019133" name="Picture 1405019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9550" cy="209550"/>
                  </a:xfrm>
                  <a:prstGeom prst="rect">
                    <a:avLst/>
                  </a:prstGeom>
                </pic:spPr>
              </pic:pic>
            </a:graphicData>
          </a:graphic>
        </wp:inline>
      </w:drawing>
    </w:r>
    <w:r>
      <w:rPr>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D0952"/>
    <w:multiLevelType w:val="hybridMultilevel"/>
    <w:tmpl w:val="7D606904"/>
    <w:lvl w:ilvl="0" w:tplc="3A344DF8">
      <w:start w:val="1"/>
      <w:numFmt w:val="bullet"/>
      <w:lvlText w:val="●"/>
      <w:lvlJc w:val="left"/>
      <w:pPr>
        <w:ind w:left="720" w:hanging="360"/>
      </w:pPr>
    </w:lvl>
    <w:lvl w:ilvl="1" w:tplc="A8D0AF54">
      <w:start w:val="1"/>
      <w:numFmt w:val="bullet"/>
      <w:lvlText w:val="○"/>
      <w:lvlJc w:val="left"/>
      <w:pPr>
        <w:ind w:left="1440" w:hanging="360"/>
      </w:pPr>
    </w:lvl>
    <w:lvl w:ilvl="2" w:tplc="B9F0C29E">
      <w:start w:val="1"/>
      <w:numFmt w:val="bullet"/>
      <w:lvlText w:val="■"/>
      <w:lvlJc w:val="left"/>
      <w:pPr>
        <w:ind w:left="2160" w:hanging="360"/>
      </w:pPr>
    </w:lvl>
    <w:lvl w:ilvl="3" w:tplc="E0FCBA22">
      <w:start w:val="1"/>
      <w:numFmt w:val="bullet"/>
      <w:lvlText w:val="●"/>
      <w:lvlJc w:val="left"/>
      <w:pPr>
        <w:ind w:left="2880" w:hanging="360"/>
      </w:pPr>
    </w:lvl>
    <w:lvl w:ilvl="4" w:tplc="3BD6D4C2">
      <w:start w:val="1"/>
      <w:numFmt w:val="bullet"/>
      <w:lvlText w:val="○"/>
      <w:lvlJc w:val="left"/>
      <w:pPr>
        <w:ind w:left="3600" w:hanging="360"/>
      </w:pPr>
    </w:lvl>
    <w:lvl w:ilvl="5" w:tplc="9732C6BE">
      <w:start w:val="1"/>
      <w:numFmt w:val="bullet"/>
      <w:lvlText w:val="■"/>
      <w:lvlJc w:val="left"/>
      <w:pPr>
        <w:ind w:left="4320" w:hanging="360"/>
      </w:pPr>
    </w:lvl>
    <w:lvl w:ilvl="6" w:tplc="F4145EC6">
      <w:start w:val="1"/>
      <w:numFmt w:val="bullet"/>
      <w:lvlText w:val="●"/>
      <w:lvlJc w:val="left"/>
      <w:pPr>
        <w:ind w:left="5040" w:hanging="360"/>
      </w:pPr>
    </w:lvl>
    <w:lvl w:ilvl="7" w:tplc="442C9840">
      <w:start w:val="1"/>
      <w:numFmt w:val="bullet"/>
      <w:lvlText w:val="●"/>
      <w:lvlJc w:val="left"/>
      <w:pPr>
        <w:ind w:left="5760" w:hanging="360"/>
      </w:pPr>
    </w:lvl>
    <w:lvl w:ilvl="8" w:tplc="37646428">
      <w:start w:val="1"/>
      <w:numFmt w:val="bullet"/>
      <w:lvlText w:val="●"/>
      <w:lvlJc w:val="left"/>
      <w:pPr>
        <w:ind w:left="6480" w:hanging="360"/>
      </w:pPr>
    </w:lvl>
  </w:abstractNum>
  <w:num w:numId="1" w16cid:durableId="1705668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5FC"/>
    <w:rsid w:val="004D25FC"/>
    <w:rsid w:val="00606C9E"/>
    <w:rsid w:val="006B581C"/>
    <w:rsid w:val="00DC4A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5DDEFEF"/>
  <w15:docId w15:val="{D0D844AF-07B5-754D-8443-8FDFFAF72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5A5A5A"/>
        <w:sz w:val="21"/>
        <w:szCs w:val="21"/>
        <w:lang w:val="en-CA" w:eastAsia="en-US"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B5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81C"/>
  </w:style>
  <w:style w:type="paragraph" w:styleId="Footer">
    <w:name w:val="footer"/>
    <w:basedOn w:val="Normal"/>
    <w:link w:val="FooterChar"/>
    <w:uiPriority w:val="99"/>
    <w:unhideWhenUsed/>
    <w:rsid w:val="006B5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5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954</Words>
  <Characters>5438</Characters>
  <Application>Microsoft Office Word</Application>
  <DocSecurity>0</DocSecurity>
  <Lines>45</Lines>
  <Paragraphs>12</Paragraphs>
  <ScaleCrop>false</ScaleCrop>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Hasan Choudhury</cp:lastModifiedBy>
  <cp:revision>2</cp:revision>
  <dcterms:created xsi:type="dcterms:W3CDTF">2026-07-15T15:55:00Z</dcterms:created>
  <dcterms:modified xsi:type="dcterms:W3CDTF">2026-07-15T16:08:00Z</dcterms:modified>
</cp:coreProperties>
</file>